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2DB0" w:rsidRDefault="00E82DB0" w:rsidP="00F000AD">
      <w:pPr>
        <w:rPr>
          <w:rFonts w:ascii="Times New Roman" w:hAnsi="Times New Roman" w:cs="Times New Roman"/>
          <w:i/>
          <w:noProof/>
          <w:sz w:val="24"/>
          <w:szCs w:val="24"/>
          <w:u w:val="single"/>
          <w:lang w:val="en-GB"/>
        </w:rPr>
      </w:pPr>
      <w:r w:rsidRPr="00AB3E43">
        <w:rPr>
          <w:noProof/>
          <w:spacing w:val="10"/>
          <w:lang w:val="en-US"/>
        </w:rPr>
        <w:drawing>
          <wp:anchor distT="0" distB="0" distL="114300" distR="114300" simplePos="0" relativeHeight="251659264" behindDoc="0" locked="0" layoutInCell="1" allowOverlap="1" wp14:anchorId="27FB9601" wp14:editId="79B677FB">
            <wp:simplePos x="0" y="0"/>
            <wp:positionH relativeFrom="column">
              <wp:posOffset>7620</wp:posOffset>
            </wp:positionH>
            <wp:positionV relativeFrom="paragraph">
              <wp:posOffset>98425</wp:posOffset>
            </wp:positionV>
            <wp:extent cx="1410970" cy="1036320"/>
            <wp:effectExtent l="0" t="0" r="0" b="0"/>
            <wp:wrapSquare wrapText="bothSides"/>
            <wp:docPr id="98" name="Imagin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ADR 2008.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10970" cy="1036320"/>
                    </a:xfrm>
                    <a:prstGeom prst="rect">
                      <a:avLst/>
                    </a:prstGeom>
                  </pic:spPr>
                </pic:pic>
              </a:graphicData>
            </a:graphic>
          </wp:anchor>
        </w:drawing>
      </w:r>
    </w:p>
    <w:p w:rsidR="00E82DB0" w:rsidRDefault="00E82DB0" w:rsidP="00F000AD">
      <w:pPr>
        <w:rPr>
          <w:rFonts w:ascii="Times New Roman" w:hAnsi="Times New Roman" w:cs="Times New Roman"/>
          <w:i/>
          <w:noProof/>
          <w:sz w:val="24"/>
          <w:szCs w:val="24"/>
          <w:u w:val="single"/>
          <w:lang w:val="en-GB"/>
        </w:rPr>
      </w:pPr>
    </w:p>
    <w:p w:rsidR="00E82DB0" w:rsidRDefault="00E82DB0" w:rsidP="00F000AD">
      <w:pPr>
        <w:rPr>
          <w:rFonts w:ascii="Times New Roman" w:hAnsi="Times New Roman" w:cs="Times New Roman"/>
          <w:i/>
          <w:noProof/>
          <w:sz w:val="24"/>
          <w:szCs w:val="24"/>
          <w:u w:val="single"/>
          <w:lang w:val="en-GB"/>
        </w:rPr>
      </w:pPr>
    </w:p>
    <w:p w:rsidR="00E82DB0" w:rsidRDefault="00E82DB0" w:rsidP="00F000AD">
      <w:pPr>
        <w:rPr>
          <w:rFonts w:ascii="Times New Roman" w:hAnsi="Times New Roman" w:cs="Times New Roman"/>
          <w:i/>
          <w:noProof/>
          <w:sz w:val="24"/>
          <w:szCs w:val="24"/>
          <w:u w:val="single"/>
          <w:lang w:val="en-GB"/>
        </w:rPr>
      </w:pPr>
    </w:p>
    <w:p w:rsidR="00E82DB0" w:rsidRDefault="00E82DB0" w:rsidP="00F000AD">
      <w:pPr>
        <w:rPr>
          <w:rFonts w:ascii="Times New Roman" w:hAnsi="Times New Roman" w:cs="Times New Roman"/>
          <w:i/>
          <w:noProof/>
          <w:sz w:val="24"/>
          <w:szCs w:val="24"/>
          <w:u w:val="single"/>
          <w:lang w:val="en-GB"/>
        </w:rPr>
      </w:pPr>
    </w:p>
    <w:p w:rsidR="00E82DB0" w:rsidRDefault="00E82DB0" w:rsidP="00F000AD">
      <w:pPr>
        <w:rPr>
          <w:rFonts w:ascii="Times New Roman" w:hAnsi="Times New Roman" w:cs="Times New Roman"/>
          <w:i/>
          <w:noProof/>
          <w:sz w:val="24"/>
          <w:szCs w:val="24"/>
          <w:u w:val="single"/>
          <w:lang w:val="en-GB"/>
        </w:rPr>
      </w:pPr>
      <w:r w:rsidRPr="00AB3E43">
        <w:rPr>
          <w:b/>
          <w:i/>
          <w:noProof/>
          <w:color w:val="0070C0"/>
          <w:spacing w:val="10"/>
          <w:sz w:val="56"/>
          <w:szCs w:val="56"/>
          <w:lang w:val="en-US"/>
        </w:rPr>
        <w:drawing>
          <wp:anchor distT="0" distB="0" distL="114300" distR="114300" simplePos="0" relativeHeight="251661312" behindDoc="0" locked="0" layoutInCell="1" allowOverlap="1" wp14:anchorId="6825CD4B" wp14:editId="0D41B2DB">
            <wp:simplePos x="0" y="0"/>
            <wp:positionH relativeFrom="margin">
              <wp:posOffset>91440</wp:posOffset>
            </wp:positionH>
            <wp:positionV relativeFrom="paragraph">
              <wp:posOffset>232410</wp:posOffset>
            </wp:positionV>
            <wp:extent cx="6178450" cy="3171825"/>
            <wp:effectExtent l="323850" t="323850" r="318135" b="314325"/>
            <wp:wrapNone/>
            <wp:docPr id="8" name="I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Harta-ADR-header-FB-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178450" cy="3171825"/>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p>
    <w:p w:rsidR="00E82DB0" w:rsidRDefault="00E82DB0" w:rsidP="00F000AD">
      <w:pPr>
        <w:rPr>
          <w:rFonts w:ascii="Times New Roman" w:hAnsi="Times New Roman" w:cs="Times New Roman"/>
          <w:i/>
          <w:noProof/>
          <w:sz w:val="24"/>
          <w:szCs w:val="24"/>
          <w:u w:val="single"/>
          <w:lang w:val="en-GB"/>
        </w:rPr>
      </w:pPr>
    </w:p>
    <w:p w:rsidR="00E82DB0" w:rsidRDefault="00E82DB0" w:rsidP="00F000AD">
      <w:pPr>
        <w:rPr>
          <w:rFonts w:ascii="Times New Roman" w:hAnsi="Times New Roman" w:cs="Times New Roman"/>
          <w:i/>
          <w:noProof/>
          <w:sz w:val="24"/>
          <w:szCs w:val="24"/>
          <w:u w:val="single"/>
          <w:lang w:val="en-GB"/>
        </w:rPr>
      </w:pPr>
    </w:p>
    <w:p w:rsidR="00E82DB0" w:rsidRDefault="00E82DB0" w:rsidP="00F000AD">
      <w:pPr>
        <w:rPr>
          <w:rFonts w:ascii="Times New Roman" w:hAnsi="Times New Roman" w:cs="Times New Roman"/>
          <w:i/>
          <w:noProof/>
          <w:sz w:val="24"/>
          <w:szCs w:val="24"/>
          <w:u w:val="single"/>
          <w:lang w:val="en-GB"/>
        </w:rPr>
      </w:pPr>
    </w:p>
    <w:p w:rsidR="00E82DB0" w:rsidRDefault="00E82DB0" w:rsidP="00F000AD">
      <w:pPr>
        <w:rPr>
          <w:rFonts w:ascii="Times New Roman" w:hAnsi="Times New Roman" w:cs="Times New Roman"/>
          <w:i/>
          <w:noProof/>
          <w:sz w:val="24"/>
          <w:szCs w:val="24"/>
          <w:u w:val="single"/>
          <w:lang w:val="en-GB"/>
        </w:rPr>
      </w:pPr>
    </w:p>
    <w:p w:rsidR="00E82DB0" w:rsidRDefault="00E82DB0" w:rsidP="00F000AD">
      <w:pPr>
        <w:rPr>
          <w:rFonts w:ascii="Times New Roman" w:hAnsi="Times New Roman" w:cs="Times New Roman"/>
          <w:i/>
          <w:noProof/>
          <w:sz w:val="24"/>
          <w:szCs w:val="24"/>
          <w:u w:val="single"/>
          <w:lang w:val="en-GB"/>
        </w:rPr>
      </w:pPr>
    </w:p>
    <w:p w:rsidR="00E82DB0" w:rsidRDefault="00E82DB0" w:rsidP="00F000AD">
      <w:pPr>
        <w:rPr>
          <w:rFonts w:ascii="Times New Roman" w:hAnsi="Times New Roman" w:cs="Times New Roman"/>
          <w:i/>
          <w:noProof/>
          <w:sz w:val="24"/>
          <w:szCs w:val="24"/>
          <w:u w:val="single"/>
          <w:lang w:val="en-GB"/>
        </w:rPr>
      </w:pPr>
    </w:p>
    <w:p w:rsidR="00E82DB0" w:rsidRDefault="00E82DB0" w:rsidP="00F000AD">
      <w:pPr>
        <w:rPr>
          <w:rFonts w:ascii="Times New Roman" w:hAnsi="Times New Roman" w:cs="Times New Roman"/>
          <w:i/>
          <w:noProof/>
          <w:sz w:val="24"/>
          <w:szCs w:val="24"/>
          <w:u w:val="single"/>
          <w:lang w:val="en-GB"/>
        </w:rPr>
      </w:pPr>
    </w:p>
    <w:p w:rsidR="00E82DB0" w:rsidRDefault="00E82DB0" w:rsidP="00F000AD">
      <w:pPr>
        <w:rPr>
          <w:rFonts w:ascii="Times New Roman" w:hAnsi="Times New Roman" w:cs="Times New Roman"/>
          <w:i/>
          <w:noProof/>
          <w:sz w:val="24"/>
          <w:szCs w:val="24"/>
          <w:u w:val="single"/>
          <w:lang w:val="en-GB"/>
        </w:rPr>
      </w:pPr>
    </w:p>
    <w:p w:rsidR="00E82DB0" w:rsidRDefault="00E82DB0" w:rsidP="00F000AD">
      <w:pPr>
        <w:rPr>
          <w:rFonts w:ascii="Times New Roman" w:hAnsi="Times New Roman" w:cs="Times New Roman"/>
          <w:i/>
          <w:noProof/>
          <w:sz w:val="24"/>
          <w:szCs w:val="24"/>
          <w:u w:val="single"/>
          <w:lang w:val="en-GB"/>
        </w:rPr>
      </w:pPr>
    </w:p>
    <w:p w:rsidR="00E82DB0" w:rsidRDefault="00E82DB0" w:rsidP="00F000AD">
      <w:pPr>
        <w:rPr>
          <w:rFonts w:ascii="Times New Roman" w:hAnsi="Times New Roman" w:cs="Times New Roman"/>
          <w:i/>
          <w:noProof/>
          <w:sz w:val="24"/>
          <w:szCs w:val="24"/>
          <w:u w:val="single"/>
          <w:lang w:val="en-GB"/>
        </w:rPr>
      </w:pPr>
    </w:p>
    <w:p w:rsidR="00E82DB0" w:rsidRDefault="00E82DB0" w:rsidP="00F000AD">
      <w:pPr>
        <w:rPr>
          <w:rFonts w:ascii="Times New Roman" w:hAnsi="Times New Roman" w:cs="Times New Roman"/>
          <w:i/>
          <w:noProof/>
          <w:sz w:val="24"/>
          <w:szCs w:val="24"/>
          <w:u w:val="single"/>
          <w:lang w:val="en-GB"/>
        </w:rPr>
      </w:pPr>
      <w:r w:rsidRPr="00AB3E43">
        <w:rPr>
          <w:noProof/>
          <w:spacing w:val="10"/>
          <w:lang w:val="en-US"/>
        </w:rPr>
        <mc:AlternateContent>
          <mc:Choice Requires="wps">
            <w:drawing>
              <wp:anchor distT="0" distB="0" distL="114300" distR="114300" simplePos="0" relativeHeight="251663360" behindDoc="0" locked="0" layoutInCell="1" allowOverlap="1" wp14:anchorId="2C7731A9" wp14:editId="73B8D96A">
                <wp:simplePos x="0" y="0"/>
                <wp:positionH relativeFrom="column">
                  <wp:posOffset>-129540</wp:posOffset>
                </wp:positionH>
                <wp:positionV relativeFrom="paragraph">
                  <wp:posOffset>400050</wp:posOffset>
                </wp:positionV>
                <wp:extent cx="6588760" cy="382905"/>
                <wp:effectExtent l="0" t="0" r="0" b="0"/>
                <wp:wrapSquare wrapText="bothSides"/>
                <wp:docPr id="6146"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8760" cy="382905"/>
                        </a:xfrm>
                        <a:prstGeom prst="rect">
                          <a:avLst/>
                        </a:prstGeom>
                        <a:solidFill>
                          <a:srgbClr val="FFFFFF"/>
                        </a:solidFill>
                        <a:ln w="9525">
                          <a:noFill/>
                          <a:miter lim="800000"/>
                          <a:headEnd/>
                          <a:tailEnd/>
                        </a:ln>
                      </wps:spPr>
                      <wps:txbx>
                        <w:txbxContent>
                          <w:p w:rsidR="00F273D0" w:rsidRDefault="00F273D0" w:rsidP="00E82DB0">
                            <w:pPr>
                              <w:jc w:val="center"/>
                              <w:rPr>
                                <w:b/>
                                <w:color w:val="0070C0"/>
                                <w:spacing w:val="10"/>
                                <w:sz w:val="40"/>
                                <w:szCs w:val="40"/>
                              </w:rPr>
                            </w:pPr>
                            <w:r>
                              <w:rPr>
                                <w:b/>
                                <w:color w:val="0070C0"/>
                                <w:spacing w:val="10"/>
                                <w:sz w:val="40"/>
                                <w:szCs w:val="40"/>
                              </w:rPr>
                              <w:t>PROGRAMUL OPERAȚIONAL REGIONAL 2021-2027</w:t>
                            </w:r>
                          </w:p>
                          <w:p w:rsidR="00F273D0" w:rsidRDefault="00F273D0" w:rsidP="00E82DB0">
                            <w:pPr>
                              <w:jc w:val="center"/>
                              <w:rPr>
                                <w:b/>
                                <w:color w:val="0070C0"/>
                                <w:spacing w:val="10"/>
                                <w:sz w:val="40"/>
                                <w:szCs w:val="40"/>
                              </w:rPr>
                            </w:pPr>
                            <w:r>
                              <w:rPr>
                                <w:b/>
                                <w:color w:val="0070C0"/>
                                <w:spacing w:val="10"/>
                                <w:sz w:val="40"/>
                                <w:szCs w:val="40"/>
                              </w:rPr>
                              <w:t>REGIUNEA CENTRU – ROMÂNIA</w:t>
                            </w:r>
                          </w:p>
                          <w:p w:rsidR="00F273D0" w:rsidRPr="002B7493" w:rsidRDefault="00F273D0" w:rsidP="00E82DB0">
                            <w:pPr>
                              <w:jc w:val="center"/>
                              <w:rPr>
                                <w:color w:val="0070C0"/>
                                <w:sz w:val="40"/>
                                <w:szCs w:val="40"/>
                              </w:rPr>
                            </w:pPr>
                            <w:r>
                              <w:rPr>
                                <w:b/>
                                <w:color w:val="0070C0"/>
                                <w:spacing w:val="10"/>
                                <w:sz w:val="40"/>
                                <w:szCs w:val="40"/>
                              </w:rPr>
                              <w:t>Versiunea 1 – septembrie 2020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7731A9" id="_x0000_t202" coordsize="21600,21600" o:spt="202" path="m,l,21600r21600,l21600,xe">
                <v:stroke joinstyle="miter"/>
                <v:path gradientshapeok="t" o:connecttype="rect"/>
              </v:shapetype>
              <v:shape id="Casetă text 2" o:spid="_x0000_s1026" type="#_x0000_t202" style="position:absolute;margin-left:-10.2pt;margin-top:31.5pt;width:518.8pt;height:30.1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" stroked="f">
                <v:textbox style="mso-fit-shape-to-text:t">
                  <w:txbxContent>
                    <w:p w:rsidR="00F273D0" w:rsidRDefault="00F273D0" w:rsidP="00E82DB0">
                      <w:pPr>
                        <w:jc w:val="center"/>
                        <w:rPr>
                          <w:b/>
                          <w:color w:val="0070C0"/>
                          <w:spacing w:val="10"/>
                          <w:sz w:val="40"/>
                          <w:szCs w:val="40"/>
                        </w:rPr>
                      </w:pPr>
                      <w:r>
                        <w:rPr>
                          <w:b/>
                          <w:color w:val="0070C0"/>
                          <w:spacing w:val="10"/>
                          <w:sz w:val="40"/>
                          <w:szCs w:val="40"/>
                        </w:rPr>
                        <w:t>PROGRAMUL OPERAȚIONAL REGIONAL 2021-2027</w:t>
                      </w:r>
                    </w:p>
                    <w:p w:rsidR="00F273D0" w:rsidRDefault="00F273D0" w:rsidP="00E82DB0">
                      <w:pPr>
                        <w:jc w:val="center"/>
                        <w:rPr>
                          <w:b/>
                          <w:color w:val="0070C0"/>
                          <w:spacing w:val="10"/>
                          <w:sz w:val="40"/>
                          <w:szCs w:val="40"/>
                        </w:rPr>
                      </w:pPr>
                      <w:r>
                        <w:rPr>
                          <w:b/>
                          <w:color w:val="0070C0"/>
                          <w:spacing w:val="10"/>
                          <w:sz w:val="40"/>
                          <w:szCs w:val="40"/>
                        </w:rPr>
                        <w:t>REGIUNEA CENTRU – ROMÂNIA</w:t>
                      </w:r>
                    </w:p>
                    <w:p w:rsidR="00F273D0" w:rsidRPr="002B7493" w:rsidRDefault="00F273D0" w:rsidP="00E82DB0">
                      <w:pPr>
                        <w:jc w:val="center"/>
                        <w:rPr>
                          <w:color w:val="0070C0"/>
                          <w:sz w:val="40"/>
                          <w:szCs w:val="40"/>
                        </w:rPr>
                      </w:pPr>
                      <w:r>
                        <w:rPr>
                          <w:b/>
                          <w:color w:val="0070C0"/>
                          <w:spacing w:val="10"/>
                          <w:sz w:val="40"/>
                          <w:szCs w:val="40"/>
                        </w:rPr>
                        <w:t>Versiunea 1 – septembrie 2020</w:t>
                      </w:r>
                    </w:p>
                  </w:txbxContent>
                </v:textbox>
                <w10:wrap type="square"/>
              </v:shape>
            </w:pict>
          </mc:Fallback>
        </mc:AlternateContent>
      </w:r>
    </w:p>
    <w:p w:rsidR="00E82DB0" w:rsidRDefault="00E82DB0" w:rsidP="00F000AD">
      <w:pPr>
        <w:rPr>
          <w:rFonts w:ascii="Times New Roman" w:hAnsi="Times New Roman" w:cs="Times New Roman"/>
          <w:i/>
          <w:noProof/>
          <w:sz w:val="24"/>
          <w:szCs w:val="24"/>
          <w:u w:val="single"/>
          <w:lang w:val="en-GB"/>
        </w:rPr>
      </w:pPr>
    </w:p>
    <w:p w:rsidR="00E82DB0" w:rsidRDefault="00E82DB0" w:rsidP="00F000AD">
      <w:pPr>
        <w:rPr>
          <w:rFonts w:ascii="Times New Roman" w:hAnsi="Times New Roman" w:cs="Times New Roman"/>
          <w:i/>
          <w:noProof/>
          <w:sz w:val="24"/>
          <w:szCs w:val="24"/>
          <w:u w:val="single"/>
          <w:lang w:val="en-GB"/>
        </w:rPr>
      </w:pPr>
    </w:p>
    <w:p w:rsidR="00E82DB0" w:rsidRDefault="00E82DB0" w:rsidP="00F000AD">
      <w:pPr>
        <w:rPr>
          <w:rFonts w:ascii="Times New Roman" w:hAnsi="Times New Roman" w:cs="Times New Roman"/>
          <w:i/>
          <w:noProof/>
          <w:sz w:val="24"/>
          <w:szCs w:val="24"/>
          <w:u w:val="single"/>
          <w:lang w:val="en-GB"/>
        </w:rPr>
      </w:pPr>
    </w:p>
    <w:p w:rsidR="00E82DB0" w:rsidRDefault="00E82DB0" w:rsidP="00F000AD">
      <w:pPr>
        <w:rPr>
          <w:rFonts w:ascii="Times New Roman" w:hAnsi="Times New Roman" w:cs="Times New Roman"/>
          <w:i/>
          <w:noProof/>
          <w:sz w:val="24"/>
          <w:szCs w:val="24"/>
          <w:u w:val="single"/>
          <w:lang w:val="en-GB"/>
        </w:rPr>
      </w:pPr>
    </w:p>
    <w:p w:rsidR="00E82DB0" w:rsidRDefault="00E82DB0" w:rsidP="00F000AD">
      <w:pPr>
        <w:rPr>
          <w:rFonts w:ascii="Times New Roman" w:hAnsi="Times New Roman" w:cs="Times New Roman"/>
          <w:i/>
          <w:noProof/>
          <w:sz w:val="24"/>
          <w:szCs w:val="24"/>
          <w:u w:val="single"/>
          <w:lang w:val="en-GB"/>
        </w:rPr>
      </w:pPr>
    </w:p>
    <w:p w:rsidR="00E82DB0" w:rsidRDefault="00E82DB0" w:rsidP="00F000AD">
      <w:pPr>
        <w:rPr>
          <w:rFonts w:ascii="Times New Roman" w:hAnsi="Times New Roman" w:cs="Times New Roman"/>
          <w:i/>
          <w:noProof/>
          <w:sz w:val="24"/>
          <w:szCs w:val="24"/>
          <w:u w:val="single"/>
          <w:lang w:val="en-GB"/>
        </w:rPr>
      </w:pPr>
    </w:p>
    <w:p w:rsidR="00F000AD" w:rsidRPr="009720FF" w:rsidRDefault="00F000AD" w:rsidP="00F000AD">
      <w:pPr>
        <w:spacing w:before="120" w:after="120" w:line="240" w:lineRule="auto"/>
        <w:ind w:left="720"/>
        <w:jc w:val="both"/>
        <w:rPr>
          <w:rFonts w:ascii="Times New Roman" w:eastAsia="Calibri" w:hAnsi="Times New Roman" w:cs="Times New Roman"/>
          <w:noProof/>
          <w:sz w:val="24"/>
          <w:szCs w:val="24"/>
          <w:lang w:val="en-GB" w:eastAsia="en-GB"/>
        </w:rPr>
      </w:pPr>
      <w:r w:rsidRPr="00871DAF">
        <w:rPr>
          <w:rFonts w:ascii="Times New Roman" w:eastAsia="Calibri" w:hAnsi="Times New Roman" w:cs="Times New Roman"/>
          <w:b/>
          <w:noProof/>
          <w:sz w:val="24"/>
          <w:szCs w:val="24"/>
          <w:lang w:val="en-GB" w:eastAsia="en-GB"/>
        </w:rPr>
        <w:lastRenderedPageBreak/>
        <w:t>Template for programmes supported from the ERDF (Investment for Jobs and growth goal), ESF+, the JTF, the Cohesion Fund and the EMFF – Article 16(3)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5"/>
        <w:gridCol w:w="5103"/>
      </w:tblGrid>
      <w:tr w:rsidR="00F000AD" w:rsidRPr="009720FF" w:rsidTr="00F000AD">
        <w:trPr>
          <w:trHeight w:val="222"/>
          <w:jc w:val="center"/>
        </w:trPr>
        <w:tc>
          <w:tcPr>
            <w:tcW w:w="3315" w:type="dxa"/>
            <w:shd w:val="clear" w:color="auto" w:fill="auto"/>
          </w:tcPr>
          <w:p w:rsidR="00F000AD" w:rsidRPr="009720FF" w:rsidRDefault="00F000AD" w:rsidP="00F000AD">
            <w:pPr>
              <w:spacing w:after="0"/>
              <w:rPr>
                <w:rFonts w:ascii="Times New Roman" w:hAnsi="Times New Roman" w:cs="Times New Roman"/>
                <w:noProof/>
                <w:sz w:val="24"/>
                <w:szCs w:val="24"/>
                <w:lang w:val="en-GB"/>
              </w:rPr>
            </w:pPr>
            <w:r w:rsidRPr="009720FF">
              <w:rPr>
                <w:rFonts w:ascii="Times New Roman" w:hAnsi="Times New Roman" w:cs="Times New Roman"/>
                <w:noProof/>
                <w:sz w:val="24"/>
                <w:szCs w:val="24"/>
                <w:lang w:val="en-GB"/>
              </w:rPr>
              <w:t>CCI</w:t>
            </w:r>
          </w:p>
        </w:tc>
        <w:tc>
          <w:tcPr>
            <w:tcW w:w="5103" w:type="dxa"/>
            <w:shd w:val="clear" w:color="auto" w:fill="auto"/>
          </w:tcPr>
          <w:p w:rsidR="00F000AD" w:rsidRPr="009720FF" w:rsidRDefault="00F000AD" w:rsidP="00F000AD">
            <w:pPr>
              <w:spacing w:after="0"/>
              <w:rPr>
                <w:rFonts w:ascii="Times New Roman" w:hAnsi="Times New Roman" w:cs="Times New Roman"/>
                <w:noProof/>
                <w:sz w:val="24"/>
                <w:szCs w:val="24"/>
                <w:lang w:val="en-GB"/>
              </w:rPr>
            </w:pPr>
          </w:p>
        </w:tc>
      </w:tr>
      <w:tr w:rsidR="00F000AD" w:rsidRPr="009720FF" w:rsidTr="00F000AD">
        <w:trPr>
          <w:trHeight w:val="269"/>
          <w:jc w:val="center"/>
        </w:trPr>
        <w:tc>
          <w:tcPr>
            <w:tcW w:w="3315" w:type="dxa"/>
            <w:shd w:val="clear" w:color="auto" w:fill="auto"/>
          </w:tcPr>
          <w:p w:rsidR="00F000AD" w:rsidRPr="009720FF" w:rsidRDefault="00F000AD" w:rsidP="00F000AD">
            <w:pPr>
              <w:spacing w:after="0"/>
              <w:rPr>
                <w:rFonts w:ascii="Times New Roman" w:hAnsi="Times New Roman" w:cs="Times New Roman"/>
                <w:noProof/>
                <w:sz w:val="24"/>
                <w:szCs w:val="24"/>
                <w:lang w:val="en-GB"/>
              </w:rPr>
            </w:pPr>
            <w:r w:rsidRPr="009720FF">
              <w:rPr>
                <w:rFonts w:ascii="Times New Roman" w:hAnsi="Times New Roman" w:cs="Times New Roman"/>
                <w:noProof/>
                <w:sz w:val="24"/>
                <w:szCs w:val="24"/>
                <w:lang w:val="en-GB"/>
              </w:rPr>
              <w:t>Title in EN</w:t>
            </w:r>
          </w:p>
        </w:tc>
        <w:tc>
          <w:tcPr>
            <w:tcW w:w="5103" w:type="dxa"/>
            <w:shd w:val="clear" w:color="auto" w:fill="auto"/>
          </w:tcPr>
          <w:p w:rsidR="00F000AD" w:rsidRPr="009720FF" w:rsidRDefault="00F000AD" w:rsidP="00F000AD">
            <w:pPr>
              <w:spacing w:after="0"/>
              <w:rPr>
                <w:rFonts w:ascii="Times New Roman" w:hAnsi="Times New Roman" w:cs="Times New Roman"/>
                <w:noProof/>
                <w:sz w:val="24"/>
                <w:szCs w:val="24"/>
                <w:lang w:val="en-GB"/>
              </w:rPr>
            </w:pPr>
            <w:r w:rsidRPr="009720FF">
              <w:rPr>
                <w:rFonts w:ascii="Times New Roman" w:hAnsi="Times New Roman" w:cs="Times New Roman"/>
                <w:noProof/>
                <w:sz w:val="24"/>
                <w:szCs w:val="24"/>
                <w:lang w:val="en-GB"/>
              </w:rPr>
              <w:t>[255 characters</w:t>
            </w:r>
            <w:r w:rsidRPr="009720FF">
              <w:rPr>
                <w:rFonts w:ascii="Times New Roman" w:hAnsi="Times New Roman" w:cs="Times New Roman"/>
                <w:noProof/>
                <w:sz w:val="24"/>
                <w:szCs w:val="24"/>
                <w:vertAlign w:val="superscript"/>
                <w:lang w:val="en-GB"/>
              </w:rPr>
              <w:t>*</w:t>
            </w:r>
            <w:r w:rsidRPr="009720FF">
              <w:rPr>
                <w:rFonts w:ascii="Times New Roman" w:hAnsi="Times New Roman" w:cs="Times New Roman"/>
                <w:noProof/>
                <w:sz w:val="24"/>
                <w:szCs w:val="24"/>
                <w:lang w:val="en-GB"/>
              </w:rPr>
              <w:t>]</w:t>
            </w:r>
            <w:r w:rsidR="00E74716">
              <w:rPr>
                <w:rFonts w:ascii="Times New Roman" w:hAnsi="Times New Roman" w:cs="Times New Roman"/>
                <w:noProof/>
                <w:sz w:val="24"/>
                <w:szCs w:val="24"/>
                <w:lang w:val="en-GB"/>
              </w:rPr>
              <w:t xml:space="preserve"> Regional Operational Program – Centru Region</w:t>
            </w:r>
          </w:p>
        </w:tc>
      </w:tr>
      <w:tr w:rsidR="00F000AD" w:rsidRPr="009720FF" w:rsidTr="00F000AD">
        <w:trPr>
          <w:trHeight w:val="138"/>
          <w:jc w:val="center"/>
        </w:trPr>
        <w:tc>
          <w:tcPr>
            <w:tcW w:w="3315" w:type="dxa"/>
            <w:shd w:val="clear" w:color="auto" w:fill="auto"/>
          </w:tcPr>
          <w:p w:rsidR="00F000AD" w:rsidRPr="009720FF" w:rsidRDefault="00F000AD" w:rsidP="00F000AD">
            <w:pPr>
              <w:spacing w:after="0"/>
              <w:rPr>
                <w:rFonts w:ascii="Times New Roman" w:hAnsi="Times New Roman" w:cs="Times New Roman"/>
                <w:noProof/>
                <w:sz w:val="24"/>
                <w:szCs w:val="24"/>
                <w:lang w:val="en-GB"/>
              </w:rPr>
            </w:pPr>
            <w:r w:rsidRPr="009720FF">
              <w:rPr>
                <w:rFonts w:ascii="Times New Roman" w:hAnsi="Times New Roman" w:cs="Times New Roman"/>
                <w:noProof/>
                <w:sz w:val="24"/>
                <w:szCs w:val="24"/>
                <w:lang w:val="en-GB"/>
              </w:rPr>
              <w:t>Title in national language(s)</w:t>
            </w:r>
          </w:p>
        </w:tc>
        <w:tc>
          <w:tcPr>
            <w:tcW w:w="5103" w:type="dxa"/>
            <w:shd w:val="clear" w:color="auto" w:fill="auto"/>
          </w:tcPr>
          <w:p w:rsidR="00F000AD" w:rsidRPr="009720FF" w:rsidRDefault="00F000AD" w:rsidP="00F000AD">
            <w:pPr>
              <w:spacing w:after="0"/>
              <w:rPr>
                <w:rFonts w:ascii="Times New Roman" w:hAnsi="Times New Roman" w:cs="Times New Roman"/>
                <w:noProof/>
                <w:sz w:val="24"/>
                <w:szCs w:val="24"/>
                <w:lang w:val="en-GB"/>
              </w:rPr>
            </w:pPr>
            <w:r w:rsidRPr="009720FF">
              <w:rPr>
                <w:rFonts w:ascii="Times New Roman" w:hAnsi="Times New Roman" w:cs="Times New Roman"/>
                <w:noProof/>
                <w:sz w:val="24"/>
                <w:szCs w:val="24"/>
                <w:lang w:val="en-GB"/>
              </w:rPr>
              <w:t>[255]</w:t>
            </w:r>
            <w:r w:rsidR="00E82DB0">
              <w:rPr>
                <w:rFonts w:ascii="Times New Roman" w:hAnsi="Times New Roman" w:cs="Times New Roman"/>
                <w:noProof/>
                <w:sz w:val="24"/>
                <w:szCs w:val="24"/>
                <w:lang w:val="en-GB"/>
              </w:rPr>
              <w:t xml:space="preserve"> Programul Operațional Regional – Regiunea Centru</w:t>
            </w:r>
          </w:p>
        </w:tc>
      </w:tr>
      <w:tr w:rsidR="00F000AD" w:rsidRPr="009720FF" w:rsidTr="00F000AD">
        <w:trPr>
          <w:trHeight w:val="138"/>
          <w:jc w:val="center"/>
        </w:trPr>
        <w:tc>
          <w:tcPr>
            <w:tcW w:w="3315" w:type="dxa"/>
            <w:shd w:val="clear" w:color="auto" w:fill="auto"/>
          </w:tcPr>
          <w:p w:rsidR="00F000AD" w:rsidRPr="009720FF" w:rsidRDefault="00F000AD" w:rsidP="00F000AD">
            <w:pPr>
              <w:spacing w:after="0"/>
              <w:rPr>
                <w:rFonts w:ascii="Times New Roman" w:hAnsi="Times New Roman" w:cs="Times New Roman"/>
                <w:noProof/>
                <w:sz w:val="24"/>
                <w:szCs w:val="24"/>
                <w:lang w:val="en-GB"/>
              </w:rPr>
            </w:pPr>
            <w:r w:rsidRPr="009720FF">
              <w:rPr>
                <w:rFonts w:ascii="Times New Roman" w:hAnsi="Times New Roman" w:cs="Times New Roman"/>
                <w:noProof/>
                <w:sz w:val="24"/>
                <w:szCs w:val="24"/>
                <w:lang w:val="en-GB"/>
              </w:rPr>
              <w:t>Version</w:t>
            </w:r>
          </w:p>
        </w:tc>
        <w:tc>
          <w:tcPr>
            <w:tcW w:w="5103" w:type="dxa"/>
            <w:shd w:val="clear" w:color="auto" w:fill="auto"/>
          </w:tcPr>
          <w:p w:rsidR="00F000AD" w:rsidRPr="009720FF" w:rsidRDefault="00E82DB0" w:rsidP="00F000AD">
            <w:pPr>
              <w:spacing w:after="0"/>
              <w:rPr>
                <w:rFonts w:ascii="Times New Roman" w:hAnsi="Times New Roman" w:cs="Times New Roman"/>
                <w:noProof/>
                <w:sz w:val="24"/>
                <w:szCs w:val="24"/>
                <w:lang w:val="en-GB"/>
              </w:rPr>
            </w:pPr>
            <w:r>
              <w:rPr>
                <w:rFonts w:ascii="Times New Roman" w:hAnsi="Times New Roman" w:cs="Times New Roman"/>
                <w:noProof/>
                <w:sz w:val="24"/>
                <w:szCs w:val="24"/>
                <w:lang w:val="en-GB"/>
              </w:rPr>
              <w:t>1.0</w:t>
            </w:r>
          </w:p>
        </w:tc>
      </w:tr>
      <w:tr w:rsidR="00F000AD" w:rsidRPr="009720FF" w:rsidTr="00F000AD">
        <w:trPr>
          <w:jc w:val="center"/>
        </w:trPr>
        <w:tc>
          <w:tcPr>
            <w:tcW w:w="3315" w:type="dxa"/>
            <w:shd w:val="clear" w:color="auto" w:fill="auto"/>
          </w:tcPr>
          <w:p w:rsidR="00F000AD" w:rsidRPr="009720FF" w:rsidRDefault="00F000AD" w:rsidP="00F000AD">
            <w:pPr>
              <w:spacing w:after="0"/>
              <w:rPr>
                <w:rFonts w:ascii="Times New Roman" w:hAnsi="Times New Roman" w:cs="Times New Roman"/>
                <w:noProof/>
                <w:sz w:val="24"/>
                <w:szCs w:val="24"/>
                <w:lang w:val="en-GB"/>
              </w:rPr>
            </w:pPr>
            <w:r w:rsidRPr="009720FF">
              <w:rPr>
                <w:rFonts w:ascii="Times New Roman" w:hAnsi="Times New Roman" w:cs="Times New Roman"/>
                <w:noProof/>
                <w:sz w:val="24"/>
                <w:szCs w:val="24"/>
                <w:lang w:val="en-GB"/>
              </w:rPr>
              <w:t>First year</w:t>
            </w:r>
          </w:p>
        </w:tc>
        <w:tc>
          <w:tcPr>
            <w:tcW w:w="5103" w:type="dxa"/>
            <w:shd w:val="clear" w:color="auto" w:fill="auto"/>
          </w:tcPr>
          <w:p w:rsidR="00F000AD" w:rsidRPr="009720FF" w:rsidRDefault="00F000AD" w:rsidP="00F000AD">
            <w:pPr>
              <w:spacing w:after="0"/>
              <w:rPr>
                <w:rFonts w:ascii="Times New Roman" w:hAnsi="Times New Roman" w:cs="Times New Roman"/>
                <w:noProof/>
                <w:sz w:val="24"/>
                <w:szCs w:val="24"/>
                <w:lang w:val="en-GB"/>
              </w:rPr>
            </w:pPr>
            <w:r w:rsidRPr="009720FF">
              <w:rPr>
                <w:rFonts w:ascii="Times New Roman" w:hAnsi="Times New Roman" w:cs="Times New Roman"/>
                <w:noProof/>
                <w:sz w:val="24"/>
                <w:szCs w:val="24"/>
                <w:lang w:val="en-GB"/>
              </w:rPr>
              <w:t>[4]</w:t>
            </w:r>
            <w:r w:rsidR="00E82DB0">
              <w:rPr>
                <w:rFonts w:ascii="Times New Roman" w:hAnsi="Times New Roman" w:cs="Times New Roman"/>
                <w:noProof/>
                <w:sz w:val="24"/>
                <w:szCs w:val="24"/>
                <w:lang w:val="en-GB"/>
              </w:rPr>
              <w:t>2021</w:t>
            </w:r>
          </w:p>
        </w:tc>
      </w:tr>
      <w:tr w:rsidR="00F000AD" w:rsidRPr="009720FF" w:rsidTr="00F000AD">
        <w:trPr>
          <w:jc w:val="center"/>
        </w:trPr>
        <w:tc>
          <w:tcPr>
            <w:tcW w:w="3315" w:type="dxa"/>
            <w:shd w:val="clear" w:color="auto" w:fill="auto"/>
          </w:tcPr>
          <w:p w:rsidR="00F000AD" w:rsidRPr="009720FF" w:rsidRDefault="00F000AD" w:rsidP="00F000AD">
            <w:pPr>
              <w:spacing w:after="0"/>
              <w:rPr>
                <w:rFonts w:ascii="Times New Roman" w:hAnsi="Times New Roman" w:cs="Times New Roman"/>
                <w:noProof/>
                <w:sz w:val="24"/>
                <w:szCs w:val="24"/>
                <w:lang w:val="en-GB"/>
              </w:rPr>
            </w:pPr>
            <w:r w:rsidRPr="009720FF">
              <w:rPr>
                <w:rFonts w:ascii="Times New Roman" w:hAnsi="Times New Roman" w:cs="Times New Roman"/>
                <w:noProof/>
                <w:sz w:val="24"/>
                <w:szCs w:val="24"/>
                <w:lang w:val="en-GB"/>
              </w:rPr>
              <w:t>Last year</w:t>
            </w:r>
          </w:p>
        </w:tc>
        <w:tc>
          <w:tcPr>
            <w:tcW w:w="5103" w:type="dxa"/>
            <w:shd w:val="clear" w:color="auto" w:fill="auto"/>
          </w:tcPr>
          <w:p w:rsidR="00F000AD" w:rsidRPr="009720FF" w:rsidRDefault="00F000AD" w:rsidP="00F000AD">
            <w:pPr>
              <w:spacing w:after="0"/>
              <w:rPr>
                <w:rFonts w:ascii="Times New Roman" w:hAnsi="Times New Roman" w:cs="Times New Roman"/>
                <w:noProof/>
                <w:sz w:val="24"/>
                <w:szCs w:val="24"/>
                <w:lang w:val="en-GB"/>
              </w:rPr>
            </w:pPr>
            <w:r w:rsidRPr="009720FF">
              <w:rPr>
                <w:rFonts w:ascii="Times New Roman" w:hAnsi="Times New Roman" w:cs="Times New Roman"/>
                <w:noProof/>
                <w:sz w:val="24"/>
                <w:szCs w:val="24"/>
                <w:lang w:val="en-GB"/>
              </w:rPr>
              <w:t>[4]</w:t>
            </w:r>
            <w:r w:rsidR="00E82DB0">
              <w:rPr>
                <w:rFonts w:ascii="Times New Roman" w:hAnsi="Times New Roman" w:cs="Times New Roman"/>
                <w:noProof/>
                <w:sz w:val="24"/>
                <w:szCs w:val="24"/>
                <w:lang w:val="en-GB"/>
              </w:rPr>
              <w:t>2027</w:t>
            </w:r>
          </w:p>
        </w:tc>
      </w:tr>
      <w:tr w:rsidR="00F000AD" w:rsidRPr="009720FF" w:rsidTr="00F000AD">
        <w:trPr>
          <w:jc w:val="center"/>
        </w:trPr>
        <w:tc>
          <w:tcPr>
            <w:tcW w:w="3315" w:type="dxa"/>
            <w:shd w:val="clear" w:color="auto" w:fill="auto"/>
          </w:tcPr>
          <w:p w:rsidR="00F000AD" w:rsidRPr="009720FF" w:rsidRDefault="00F000AD" w:rsidP="00F000AD">
            <w:pPr>
              <w:spacing w:after="0"/>
              <w:rPr>
                <w:rFonts w:ascii="Times New Roman" w:hAnsi="Times New Roman" w:cs="Times New Roman"/>
                <w:noProof/>
                <w:sz w:val="24"/>
                <w:szCs w:val="24"/>
                <w:lang w:val="en-GB"/>
              </w:rPr>
            </w:pPr>
            <w:r w:rsidRPr="009720FF">
              <w:rPr>
                <w:rFonts w:ascii="Times New Roman" w:hAnsi="Times New Roman" w:cs="Times New Roman"/>
                <w:noProof/>
                <w:sz w:val="24"/>
                <w:szCs w:val="24"/>
                <w:lang w:val="en-GB"/>
              </w:rPr>
              <w:t>Eligible from</w:t>
            </w:r>
          </w:p>
        </w:tc>
        <w:tc>
          <w:tcPr>
            <w:tcW w:w="5103" w:type="dxa"/>
            <w:shd w:val="clear" w:color="auto" w:fill="auto"/>
          </w:tcPr>
          <w:p w:rsidR="00F000AD" w:rsidRPr="009720FF" w:rsidRDefault="00F000AD" w:rsidP="00F000AD">
            <w:pPr>
              <w:spacing w:after="0"/>
              <w:rPr>
                <w:rFonts w:ascii="Times New Roman" w:hAnsi="Times New Roman" w:cs="Times New Roman"/>
                <w:noProof/>
                <w:sz w:val="24"/>
                <w:szCs w:val="24"/>
                <w:lang w:val="en-GB"/>
              </w:rPr>
            </w:pPr>
          </w:p>
        </w:tc>
      </w:tr>
      <w:tr w:rsidR="00F000AD" w:rsidRPr="009720FF" w:rsidTr="00F000AD">
        <w:trPr>
          <w:jc w:val="center"/>
        </w:trPr>
        <w:tc>
          <w:tcPr>
            <w:tcW w:w="3315" w:type="dxa"/>
            <w:shd w:val="clear" w:color="auto" w:fill="auto"/>
          </w:tcPr>
          <w:p w:rsidR="00F000AD" w:rsidRPr="009720FF" w:rsidRDefault="00F000AD" w:rsidP="00F000AD">
            <w:pPr>
              <w:spacing w:after="0"/>
              <w:rPr>
                <w:rFonts w:ascii="Times New Roman" w:hAnsi="Times New Roman" w:cs="Times New Roman"/>
                <w:noProof/>
                <w:sz w:val="24"/>
                <w:szCs w:val="24"/>
                <w:lang w:val="en-GB"/>
              </w:rPr>
            </w:pPr>
            <w:r w:rsidRPr="009720FF">
              <w:rPr>
                <w:rFonts w:ascii="Times New Roman" w:hAnsi="Times New Roman" w:cs="Times New Roman"/>
                <w:noProof/>
                <w:sz w:val="24"/>
                <w:szCs w:val="24"/>
                <w:lang w:val="en-GB"/>
              </w:rPr>
              <w:t>Eligible until</w:t>
            </w:r>
          </w:p>
        </w:tc>
        <w:tc>
          <w:tcPr>
            <w:tcW w:w="5103" w:type="dxa"/>
            <w:shd w:val="clear" w:color="auto" w:fill="auto"/>
          </w:tcPr>
          <w:p w:rsidR="00F000AD" w:rsidRPr="009720FF" w:rsidRDefault="00F000AD" w:rsidP="00F000AD">
            <w:pPr>
              <w:spacing w:after="0"/>
              <w:rPr>
                <w:rFonts w:ascii="Times New Roman" w:hAnsi="Times New Roman" w:cs="Times New Roman"/>
                <w:noProof/>
                <w:sz w:val="24"/>
                <w:szCs w:val="24"/>
                <w:lang w:val="en-GB"/>
              </w:rPr>
            </w:pPr>
          </w:p>
        </w:tc>
      </w:tr>
      <w:tr w:rsidR="00F000AD" w:rsidRPr="009720FF" w:rsidTr="00F000AD">
        <w:trPr>
          <w:jc w:val="center"/>
        </w:trPr>
        <w:tc>
          <w:tcPr>
            <w:tcW w:w="3315" w:type="dxa"/>
            <w:shd w:val="clear" w:color="auto" w:fill="auto"/>
          </w:tcPr>
          <w:p w:rsidR="00F000AD" w:rsidRPr="009720FF" w:rsidRDefault="00F000AD" w:rsidP="00F000AD">
            <w:pPr>
              <w:spacing w:after="0"/>
              <w:rPr>
                <w:rFonts w:ascii="Times New Roman" w:hAnsi="Times New Roman" w:cs="Times New Roman"/>
                <w:noProof/>
                <w:sz w:val="24"/>
                <w:szCs w:val="24"/>
                <w:lang w:val="en-GB"/>
              </w:rPr>
            </w:pPr>
            <w:r w:rsidRPr="009720FF">
              <w:rPr>
                <w:rFonts w:ascii="Times New Roman" w:hAnsi="Times New Roman" w:cs="Times New Roman"/>
                <w:noProof/>
                <w:sz w:val="24"/>
                <w:szCs w:val="24"/>
                <w:lang w:val="en-GB"/>
              </w:rPr>
              <w:t>Commission decision number</w:t>
            </w:r>
          </w:p>
        </w:tc>
        <w:tc>
          <w:tcPr>
            <w:tcW w:w="5103" w:type="dxa"/>
            <w:shd w:val="clear" w:color="auto" w:fill="auto"/>
          </w:tcPr>
          <w:p w:rsidR="00F000AD" w:rsidRPr="009720FF" w:rsidRDefault="00F000AD" w:rsidP="00F000AD">
            <w:pPr>
              <w:spacing w:after="0"/>
              <w:rPr>
                <w:rFonts w:ascii="Times New Roman" w:hAnsi="Times New Roman" w:cs="Times New Roman"/>
                <w:noProof/>
                <w:sz w:val="24"/>
                <w:szCs w:val="24"/>
                <w:lang w:val="en-GB"/>
              </w:rPr>
            </w:pPr>
          </w:p>
        </w:tc>
      </w:tr>
      <w:tr w:rsidR="00F000AD" w:rsidRPr="009720FF" w:rsidTr="00F000AD">
        <w:trPr>
          <w:jc w:val="center"/>
        </w:trPr>
        <w:tc>
          <w:tcPr>
            <w:tcW w:w="3315" w:type="dxa"/>
            <w:shd w:val="clear" w:color="auto" w:fill="auto"/>
          </w:tcPr>
          <w:p w:rsidR="00F000AD" w:rsidRPr="009720FF" w:rsidRDefault="00F000AD" w:rsidP="00F000AD">
            <w:pPr>
              <w:spacing w:after="0"/>
              <w:rPr>
                <w:rFonts w:ascii="Times New Roman" w:hAnsi="Times New Roman" w:cs="Times New Roman"/>
                <w:noProof/>
                <w:sz w:val="24"/>
                <w:szCs w:val="24"/>
                <w:lang w:val="en-GB"/>
              </w:rPr>
            </w:pPr>
            <w:r w:rsidRPr="009720FF">
              <w:rPr>
                <w:rFonts w:ascii="Times New Roman" w:hAnsi="Times New Roman" w:cs="Times New Roman"/>
                <w:noProof/>
                <w:sz w:val="24"/>
                <w:szCs w:val="24"/>
                <w:lang w:val="en-GB"/>
              </w:rPr>
              <w:t>Commission decision date</w:t>
            </w:r>
          </w:p>
        </w:tc>
        <w:tc>
          <w:tcPr>
            <w:tcW w:w="5103" w:type="dxa"/>
            <w:shd w:val="clear" w:color="auto" w:fill="auto"/>
          </w:tcPr>
          <w:p w:rsidR="00F000AD" w:rsidRPr="009720FF" w:rsidRDefault="00F000AD" w:rsidP="00F000AD">
            <w:pPr>
              <w:spacing w:after="0"/>
              <w:rPr>
                <w:rFonts w:ascii="Times New Roman" w:hAnsi="Times New Roman" w:cs="Times New Roman"/>
                <w:noProof/>
                <w:sz w:val="24"/>
                <w:szCs w:val="24"/>
                <w:lang w:val="en-GB"/>
              </w:rPr>
            </w:pPr>
          </w:p>
        </w:tc>
      </w:tr>
      <w:tr w:rsidR="00F000AD" w:rsidRPr="009720FF" w:rsidTr="00F000AD">
        <w:trPr>
          <w:trHeight w:val="163"/>
          <w:jc w:val="center"/>
        </w:trPr>
        <w:tc>
          <w:tcPr>
            <w:tcW w:w="3315" w:type="dxa"/>
            <w:shd w:val="clear" w:color="auto" w:fill="auto"/>
          </w:tcPr>
          <w:p w:rsidR="00F000AD" w:rsidRPr="009720FF" w:rsidRDefault="00F000AD" w:rsidP="00F000AD">
            <w:pPr>
              <w:spacing w:after="0"/>
              <w:rPr>
                <w:rFonts w:ascii="Times New Roman" w:hAnsi="Times New Roman" w:cs="Times New Roman"/>
                <w:noProof/>
                <w:sz w:val="24"/>
                <w:szCs w:val="24"/>
                <w:lang w:val="en-GB"/>
              </w:rPr>
            </w:pPr>
            <w:r w:rsidRPr="009720FF">
              <w:rPr>
                <w:rFonts w:ascii="Times New Roman" w:hAnsi="Times New Roman" w:cs="Times New Roman"/>
                <w:noProof/>
                <w:sz w:val="24"/>
                <w:szCs w:val="24"/>
                <w:lang w:val="en-GB"/>
              </w:rPr>
              <w:t>Member State amending decision number</w:t>
            </w:r>
          </w:p>
        </w:tc>
        <w:tc>
          <w:tcPr>
            <w:tcW w:w="5103" w:type="dxa"/>
            <w:shd w:val="clear" w:color="auto" w:fill="auto"/>
          </w:tcPr>
          <w:p w:rsidR="00F000AD" w:rsidRPr="009720FF" w:rsidRDefault="00F000AD" w:rsidP="00F000AD">
            <w:pPr>
              <w:spacing w:after="0"/>
              <w:rPr>
                <w:rFonts w:ascii="Times New Roman" w:hAnsi="Times New Roman" w:cs="Times New Roman"/>
                <w:noProof/>
                <w:sz w:val="24"/>
                <w:szCs w:val="24"/>
                <w:lang w:val="en-GB"/>
              </w:rPr>
            </w:pPr>
          </w:p>
        </w:tc>
      </w:tr>
      <w:tr w:rsidR="00F000AD" w:rsidRPr="009720FF" w:rsidTr="00F000AD">
        <w:trPr>
          <w:trHeight w:val="163"/>
          <w:jc w:val="center"/>
        </w:trPr>
        <w:tc>
          <w:tcPr>
            <w:tcW w:w="3315" w:type="dxa"/>
            <w:shd w:val="clear" w:color="auto" w:fill="auto"/>
          </w:tcPr>
          <w:p w:rsidR="00F000AD" w:rsidRPr="009720FF" w:rsidRDefault="00F000AD" w:rsidP="00F000AD">
            <w:pPr>
              <w:spacing w:after="0"/>
              <w:rPr>
                <w:rFonts w:ascii="Times New Roman" w:hAnsi="Times New Roman" w:cs="Times New Roman"/>
                <w:noProof/>
                <w:sz w:val="24"/>
                <w:szCs w:val="24"/>
                <w:lang w:val="en-GB"/>
              </w:rPr>
            </w:pPr>
            <w:r w:rsidRPr="009720FF">
              <w:rPr>
                <w:rFonts w:ascii="Times New Roman" w:hAnsi="Times New Roman" w:cs="Times New Roman"/>
                <w:noProof/>
                <w:sz w:val="24"/>
                <w:szCs w:val="24"/>
                <w:lang w:val="en-GB"/>
              </w:rPr>
              <w:t>Member State amending decision entry into force date</w:t>
            </w:r>
          </w:p>
        </w:tc>
        <w:tc>
          <w:tcPr>
            <w:tcW w:w="5103" w:type="dxa"/>
            <w:shd w:val="clear" w:color="auto" w:fill="auto"/>
          </w:tcPr>
          <w:p w:rsidR="00F000AD" w:rsidRPr="009720FF" w:rsidRDefault="00F000AD" w:rsidP="00F000AD">
            <w:pPr>
              <w:spacing w:after="0"/>
              <w:rPr>
                <w:rFonts w:ascii="Times New Roman" w:hAnsi="Times New Roman" w:cs="Times New Roman"/>
                <w:noProof/>
                <w:sz w:val="24"/>
                <w:szCs w:val="24"/>
                <w:lang w:val="en-GB"/>
              </w:rPr>
            </w:pPr>
          </w:p>
        </w:tc>
      </w:tr>
      <w:tr w:rsidR="00F000AD" w:rsidRPr="009720FF" w:rsidTr="00F000AD">
        <w:trPr>
          <w:trHeight w:val="163"/>
          <w:jc w:val="center"/>
        </w:trPr>
        <w:tc>
          <w:tcPr>
            <w:tcW w:w="3315" w:type="dxa"/>
            <w:shd w:val="clear" w:color="auto" w:fill="auto"/>
          </w:tcPr>
          <w:p w:rsidR="00F000AD" w:rsidRPr="009720FF" w:rsidRDefault="00F000AD" w:rsidP="00F000AD">
            <w:pPr>
              <w:spacing w:after="0"/>
              <w:rPr>
                <w:rFonts w:ascii="Times New Roman" w:hAnsi="Times New Roman" w:cs="Times New Roman"/>
                <w:noProof/>
                <w:sz w:val="24"/>
                <w:szCs w:val="24"/>
                <w:lang w:val="en-GB"/>
              </w:rPr>
            </w:pPr>
            <w:r w:rsidRPr="009720FF">
              <w:rPr>
                <w:rFonts w:ascii="Times New Roman" w:hAnsi="Times New Roman" w:cs="Times New Roman"/>
                <w:noProof/>
                <w:sz w:val="24"/>
                <w:szCs w:val="24"/>
                <w:lang w:val="en-GB"/>
              </w:rPr>
              <w:t>Non substantial transfer (art. 19.5)</w:t>
            </w:r>
          </w:p>
        </w:tc>
        <w:tc>
          <w:tcPr>
            <w:tcW w:w="5103" w:type="dxa"/>
            <w:shd w:val="clear" w:color="auto" w:fill="auto"/>
          </w:tcPr>
          <w:p w:rsidR="00F000AD" w:rsidRPr="009720FF" w:rsidRDefault="00F000AD" w:rsidP="00F000AD">
            <w:pPr>
              <w:spacing w:after="0"/>
              <w:rPr>
                <w:rFonts w:ascii="Times New Roman" w:hAnsi="Times New Roman" w:cs="Times New Roman"/>
                <w:noProof/>
                <w:sz w:val="24"/>
                <w:szCs w:val="24"/>
                <w:lang w:val="en-GB"/>
              </w:rPr>
            </w:pPr>
            <w:r w:rsidRPr="009720FF">
              <w:rPr>
                <w:rFonts w:ascii="Times New Roman" w:hAnsi="Times New Roman" w:cs="Times New Roman"/>
                <w:noProof/>
                <w:sz w:val="24"/>
                <w:szCs w:val="24"/>
                <w:lang w:val="en-GB"/>
              </w:rPr>
              <w:t>Yes/No</w:t>
            </w:r>
          </w:p>
        </w:tc>
      </w:tr>
      <w:tr w:rsidR="00F000AD" w:rsidRPr="009720FF" w:rsidTr="00F000AD">
        <w:trPr>
          <w:trHeight w:val="163"/>
          <w:jc w:val="center"/>
        </w:trPr>
        <w:tc>
          <w:tcPr>
            <w:tcW w:w="3315" w:type="dxa"/>
            <w:shd w:val="clear" w:color="auto" w:fill="auto"/>
          </w:tcPr>
          <w:p w:rsidR="00F000AD" w:rsidRPr="009720FF" w:rsidRDefault="00F000AD" w:rsidP="00F000AD">
            <w:pPr>
              <w:spacing w:after="0"/>
              <w:rPr>
                <w:rFonts w:ascii="Times New Roman" w:hAnsi="Times New Roman" w:cs="Times New Roman"/>
                <w:noProof/>
                <w:sz w:val="24"/>
                <w:szCs w:val="24"/>
                <w:lang w:val="en-GB"/>
              </w:rPr>
            </w:pPr>
            <w:r w:rsidRPr="009720FF">
              <w:rPr>
                <w:rFonts w:ascii="Times New Roman" w:hAnsi="Times New Roman" w:cs="Times New Roman"/>
                <w:noProof/>
                <w:sz w:val="24"/>
                <w:szCs w:val="24"/>
                <w:lang w:val="en-GB"/>
              </w:rPr>
              <w:t>NUTS regions covered by the programme (not applicable to the EMFF)</w:t>
            </w:r>
          </w:p>
        </w:tc>
        <w:tc>
          <w:tcPr>
            <w:tcW w:w="5103" w:type="dxa"/>
            <w:shd w:val="clear" w:color="auto" w:fill="auto"/>
          </w:tcPr>
          <w:p w:rsidR="00F000AD" w:rsidRPr="009720FF" w:rsidRDefault="00E82DB0" w:rsidP="00F000AD">
            <w:pPr>
              <w:spacing w:after="0"/>
              <w:rPr>
                <w:rFonts w:ascii="Times New Roman" w:hAnsi="Times New Roman" w:cs="Times New Roman"/>
                <w:noProof/>
                <w:sz w:val="24"/>
                <w:szCs w:val="24"/>
                <w:lang w:val="en-GB"/>
              </w:rPr>
            </w:pPr>
            <w:r>
              <w:rPr>
                <w:rFonts w:ascii="Times New Roman" w:hAnsi="Times New Roman" w:cs="Times New Roman"/>
                <w:noProof/>
                <w:sz w:val="24"/>
                <w:szCs w:val="24"/>
                <w:lang w:val="en-GB"/>
              </w:rPr>
              <w:t>Regiunea Centru - România</w:t>
            </w:r>
          </w:p>
        </w:tc>
      </w:tr>
      <w:tr w:rsidR="00F000AD" w:rsidRPr="009720FF" w:rsidTr="00F000AD">
        <w:trPr>
          <w:trHeight w:val="163"/>
          <w:jc w:val="center"/>
        </w:trPr>
        <w:tc>
          <w:tcPr>
            <w:tcW w:w="3315" w:type="dxa"/>
            <w:vMerge w:val="restart"/>
            <w:shd w:val="clear" w:color="auto" w:fill="auto"/>
          </w:tcPr>
          <w:p w:rsidR="00F000AD" w:rsidRPr="009720FF" w:rsidRDefault="00F000AD" w:rsidP="00F000AD">
            <w:pPr>
              <w:spacing w:after="0"/>
              <w:rPr>
                <w:rFonts w:ascii="Times New Roman" w:hAnsi="Times New Roman" w:cs="Times New Roman"/>
                <w:noProof/>
                <w:sz w:val="24"/>
                <w:szCs w:val="24"/>
                <w:lang w:val="en-GB"/>
              </w:rPr>
            </w:pPr>
            <w:r w:rsidRPr="009720FF">
              <w:rPr>
                <w:rFonts w:ascii="Times New Roman" w:hAnsi="Times New Roman" w:cs="Times New Roman"/>
                <w:noProof/>
                <w:sz w:val="24"/>
                <w:szCs w:val="24"/>
                <w:lang w:val="en-GB"/>
              </w:rPr>
              <w:t>Fund concerned</w:t>
            </w:r>
          </w:p>
        </w:tc>
        <w:tc>
          <w:tcPr>
            <w:tcW w:w="5103" w:type="dxa"/>
            <w:shd w:val="clear" w:color="auto" w:fill="auto"/>
          </w:tcPr>
          <w:p w:rsidR="00F000AD" w:rsidRPr="009720FF" w:rsidRDefault="00E82DB0" w:rsidP="00F000AD">
            <w:pPr>
              <w:spacing w:after="0"/>
              <w:rPr>
                <w:rFonts w:ascii="Times New Roman" w:hAnsi="Times New Roman" w:cs="Times New Roman"/>
                <w:noProof/>
                <w:sz w:val="24"/>
                <w:szCs w:val="24"/>
                <w:lang w:val="en-GB"/>
              </w:rPr>
            </w:pPr>
            <w:r>
              <w:rPr>
                <w:rFonts w:ascii="Times New Roman" w:hAnsi="Times New Roman" w:cs="Times New Roman"/>
                <w:noProof/>
                <w:sz w:val="24"/>
                <w:szCs w:val="24"/>
                <w:lang w:val="en-GB"/>
              </w:rPr>
              <w:t xml:space="preserve">X </w:t>
            </w:r>
            <w:r w:rsidR="00F000AD" w:rsidRPr="009720FF">
              <w:rPr>
                <w:rFonts w:ascii="Times New Roman" w:hAnsi="Times New Roman" w:cs="Times New Roman"/>
                <w:noProof/>
                <w:sz w:val="24"/>
                <w:szCs w:val="24"/>
                <w:lang w:val="en-GB"/>
              </w:rPr>
              <w:t>ERDF</w:t>
            </w:r>
          </w:p>
        </w:tc>
      </w:tr>
      <w:tr w:rsidR="00F000AD" w:rsidRPr="009720FF" w:rsidTr="00F000AD">
        <w:trPr>
          <w:trHeight w:val="163"/>
          <w:jc w:val="center"/>
        </w:trPr>
        <w:tc>
          <w:tcPr>
            <w:tcW w:w="3315" w:type="dxa"/>
            <w:vMerge/>
            <w:shd w:val="clear" w:color="auto" w:fill="auto"/>
          </w:tcPr>
          <w:p w:rsidR="00F000AD" w:rsidRPr="009720FF" w:rsidRDefault="00F000AD" w:rsidP="00F000AD">
            <w:pPr>
              <w:spacing w:after="0"/>
              <w:rPr>
                <w:rFonts w:ascii="Times New Roman" w:hAnsi="Times New Roman" w:cs="Times New Roman"/>
                <w:noProof/>
                <w:sz w:val="24"/>
                <w:szCs w:val="24"/>
                <w:lang w:val="en-GB"/>
              </w:rPr>
            </w:pPr>
          </w:p>
        </w:tc>
        <w:tc>
          <w:tcPr>
            <w:tcW w:w="5103" w:type="dxa"/>
            <w:shd w:val="clear" w:color="auto" w:fill="auto"/>
          </w:tcPr>
          <w:p w:rsidR="00F000AD" w:rsidRPr="009720FF" w:rsidRDefault="00F000AD" w:rsidP="00F000AD">
            <w:pPr>
              <w:spacing w:after="0"/>
              <w:rPr>
                <w:rFonts w:ascii="Times New Roman" w:hAnsi="Times New Roman" w:cs="Times New Roman"/>
                <w:noProof/>
                <w:sz w:val="24"/>
                <w:szCs w:val="24"/>
                <w:lang w:val="en-GB"/>
              </w:rPr>
            </w:pPr>
            <w:r w:rsidRPr="009720FF">
              <w:rPr>
                <w:rFonts w:ascii="Times New Roman" w:hAnsi="Times New Roman" w:cs="Times New Roman"/>
                <w:noProof/>
                <w:sz w:val="24"/>
                <w:szCs w:val="24"/>
                <w:lang w:val="en-GB"/>
              </w:rPr>
              <w:fldChar w:fldCharType="begin">
                <w:ffData>
                  <w:name w:val="Check1"/>
                  <w:enabled/>
                  <w:calcOnExit w:val="0"/>
                  <w:checkBox>
                    <w:sizeAuto/>
                    <w:default w:val="0"/>
                  </w:checkBox>
                </w:ffData>
              </w:fldChar>
            </w:r>
            <w:r w:rsidRPr="009720FF">
              <w:rPr>
                <w:rFonts w:ascii="Times New Roman" w:hAnsi="Times New Roman" w:cs="Times New Roman"/>
                <w:noProof/>
                <w:sz w:val="24"/>
                <w:szCs w:val="24"/>
                <w:lang w:val="en-GB"/>
              </w:rPr>
              <w:instrText xml:space="preserve"> FORMCHECKBOX </w:instrText>
            </w:r>
            <w:r w:rsidR="00F273D0">
              <w:rPr>
                <w:rFonts w:ascii="Times New Roman" w:hAnsi="Times New Roman" w:cs="Times New Roman"/>
                <w:noProof/>
                <w:sz w:val="24"/>
                <w:szCs w:val="24"/>
                <w:lang w:val="en-GB"/>
              </w:rPr>
            </w:r>
            <w:r w:rsidR="00F273D0">
              <w:rPr>
                <w:rFonts w:ascii="Times New Roman" w:hAnsi="Times New Roman" w:cs="Times New Roman"/>
                <w:noProof/>
                <w:sz w:val="24"/>
                <w:szCs w:val="24"/>
                <w:lang w:val="en-GB"/>
              </w:rPr>
              <w:fldChar w:fldCharType="separate"/>
            </w:r>
            <w:r w:rsidRPr="009720FF">
              <w:rPr>
                <w:rFonts w:ascii="Times New Roman" w:hAnsi="Times New Roman" w:cs="Times New Roman"/>
                <w:noProof/>
                <w:sz w:val="24"/>
                <w:szCs w:val="24"/>
                <w:lang w:val="en-GB"/>
              </w:rPr>
              <w:fldChar w:fldCharType="end"/>
            </w:r>
            <w:r w:rsidRPr="009720FF">
              <w:rPr>
                <w:rFonts w:ascii="Times New Roman" w:hAnsi="Times New Roman" w:cs="Times New Roman"/>
                <w:noProof/>
                <w:sz w:val="24"/>
                <w:szCs w:val="24"/>
                <w:lang w:val="en-GB"/>
              </w:rPr>
              <w:t xml:space="preserve"> Cohesion Fund</w:t>
            </w:r>
          </w:p>
        </w:tc>
      </w:tr>
      <w:tr w:rsidR="00F000AD" w:rsidRPr="009720FF" w:rsidTr="00F000AD">
        <w:trPr>
          <w:trHeight w:val="163"/>
          <w:jc w:val="center"/>
        </w:trPr>
        <w:tc>
          <w:tcPr>
            <w:tcW w:w="3315" w:type="dxa"/>
            <w:vMerge/>
            <w:shd w:val="clear" w:color="auto" w:fill="auto"/>
          </w:tcPr>
          <w:p w:rsidR="00F000AD" w:rsidRPr="009720FF" w:rsidRDefault="00F000AD" w:rsidP="00F000AD">
            <w:pPr>
              <w:spacing w:after="0"/>
              <w:rPr>
                <w:rFonts w:ascii="Times New Roman" w:hAnsi="Times New Roman" w:cs="Times New Roman"/>
                <w:noProof/>
                <w:sz w:val="24"/>
                <w:szCs w:val="24"/>
                <w:lang w:val="en-GB"/>
              </w:rPr>
            </w:pPr>
          </w:p>
        </w:tc>
        <w:tc>
          <w:tcPr>
            <w:tcW w:w="5103" w:type="dxa"/>
            <w:shd w:val="clear" w:color="auto" w:fill="auto"/>
          </w:tcPr>
          <w:p w:rsidR="00F000AD" w:rsidRPr="009720FF" w:rsidRDefault="00F000AD" w:rsidP="00F000AD">
            <w:pPr>
              <w:spacing w:after="0"/>
              <w:rPr>
                <w:rFonts w:ascii="Times New Roman" w:hAnsi="Times New Roman" w:cs="Times New Roman"/>
                <w:noProof/>
                <w:sz w:val="24"/>
                <w:szCs w:val="24"/>
                <w:lang w:val="en-GB"/>
              </w:rPr>
            </w:pPr>
            <w:r w:rsidRPr="009720FF">
              <w:rPr>
                <w:rFonts w:ascii="Times New Roman" w:hAnsi="Times New Roman" w:cs="Times New Roman"/>
                <w:noProof/>
                <w:sz w:val="24"/>
                <w:szCs w:val="24"/>
                <w:lang w:val="en-GB"/>
              </w:rPr>
              <w:fldChar w:fldCharType="begin">
                <w:ffData>
                  <w:name w:val="Check1"/>
                  <w:enabled/>
                  <w:calcOnExit w:val="0"/>
                  <w:checkBox>
                    <w:sizeAuto/>
                    <w:default w:val="0"/>
                  </w:checkBox>
                </w:ffData>
              </w:fldChar>
            </w:r>
            <w:r w:rsidRPr="009720FF">
              <w:rPr>
                <w:rFonts w:ascii="Times New Roman" w:hAnsi="Times New Roman" w:cs="Times New Roman"/>
                <w:noProof/>
                <w:sz w:val="24"/>
                <w:szCs w:val="24"/>
                <w:lang w:val="en-GB"/>
              </w:rPr>
              <w:instrText xml:space="preserve"> FORMCHECKBOX </w:instrText>
            </w:r>
            <w:r w:rsidR="00F273D0">
              <w:rPr>
                <w:rFonts w:ascii="Times New Roman" w:hAnsi="Times New Roman" w:cs="Times New Roman"/>
                <w:noProof/>
                <w:sz w:val="24"/>
                <w:szCs w:val="24"/>
                <w:lang w:val="en-GB"/>
              </w:rPr>
            </w:r>
            <w:r w:rsidR="00F273D0">
              <w:rPr>
                <w:rFonts w:ascii="Times New Roman" w:hAnsi="Times New Roman" w:cs="Times New Roman"/>
                <w:noProof/>
                <w:sz w:val="24"/>
                <w:szCs w:val="24"/>
                <w:lang w:val="en-GB"/>
              </w:rPr>
              <w:fldChar w:fldCharType="separate"/>
            </w:r>
            <w:r w:rsidRPr="009720FF">
              <w:rPr>
                <w:rFonts w:ascii="Times New Roman" w:hAnsi="Times New Roman" w:cs="Times New Roman"/>
                <w:noProof/>
                <w:sz w:val="24"/>
                <w:szCs w:val="24"/>
                <w:lang w:val="en-GB"/>
              </w:rPr>
              <w:fldChar w:fldCharType="end"/>
            </w:r>
            <w:r w:rsidRPr="009720FF">
              <w:rPr>
                <w:rFonts w:ascii="Times New Roman" w:hAnsi="Times New Roman" w:cs="Times New Roman"/>
                <w:noProof/>
                <w:sz w:val="24"/>
                <w:szCs w:val="24"/>
                <w:lang w:val="en-GB"/>
              </w:rPr>
              <w:t xml:space="preserve"> ESF+</w:t>
            </w:r>
          </w:p>
        </w:tc>
      </w:tr>
      <w:tr w:rsidR="00F000AD" w:rsidRPr="009720FF" w:rsidTr="00F000AD">
        <w:trPr>
          <w:trHeight w:val="163"/>
          <w:jc w:val="center"/>
        </w:trPr>
        <w:tc>
          <w:tcPr>
            <w:tcW w:w="3315" w:type="dxa"/>
            <w:vMerge/>
            <w:shd w:val="clear" w:color="auto" w:fill="auto"/>
          </w:tcPr>
          <w:p w:rsidR="00F000AD" w:rsidRPr="009720FF" w:rsidRDefault="00F000AD" w:rsidP="00F000AD">
            <w:pPr>
              <w:spacing w:after="0"/>
              <w:rPr>
                <w:rFonts w:ascii="Times New Roman" w:hAnsi="Times New Roman" w:cs="Times New Roman"/>
                <w:noProof/>
                <w:sz w:val="24"/>
                <w:szCs w:val="24"/>
                <w:lang w:val="en-GB"/>
              </w:rPr>
            </w:pPr>
          </w:p>
        </w:tc>
        <w:tc>
          <w:tcPr>
            <w:tcW w:w="5103" w:type="dxa"/>
            <w:shd w:val="clear" w:color="auto" w:fill="auto"/>
          </w:tcPr>
          <w:p w:rsidR="00F000AD" w:rsidRPr="009720FF" w:rsidRDefault="00F000AD" w:rsidP="00F000AD">
            <w:pPr>
              <w:spacing w:after="0"/>
              <w:rPr>
                <w:rFonts w:ascii="Times New Roman" w:hAnsi="Times New Roman" w:cs="Times New Roman"/>
                <w:noProof/>
                <w:sz w:val="24"/>
                <w:szCs w:val="24"/>
                <w:lang w:val="en-GB"/>
              </w:rPr>
            </w:pPr>
            <w:r w:rsidRPr="009720FF">
              <w:rPr>
                <w:rFonts w:ascii="Times New Roman" w:hAnsi="Times New Roman" w:cs="Times New Roman"/>
                <w:noProof/>
                <w:sz w:val="24"/>
                <w:szCs w:val="24"/>
                <w:lang w:val="en-GB"/>
              </w:rPr>
              <w:fldChar w:fldCharType="begin">
                <w:ffData>
                  <w:name w:val="Check1"/>
                  <w:enabled/>
                  <w:calcOnExit w:val="0"/>
                  <w:checkBox>
                    <w:sizeAuto/>
                    <w:default w:val="0"/>
                  </w:checkBox>
                </w:ffData>
              </w:fldChar>
            </w:r>
            <w:r w:rsidRPr="009720FF">
              <w:rPr>
                <w:rFonts w:ascii="Times New Roman" w:hAnsi="Times New Roman" w:cs="Times New Roman"/>
                <w:noProof/>
                <w:sz w:val="24"/>
                <w:szCs w:val="24"/>
                <w:lang w:val="en-GB"/>
              </w:rPr>
              <w:instrText xml:space="preserve"> FORMCHECKBOX </w:instrText>
            </w:r>
            <w:r w:rsidR="00F273D0">
              <w:rPr>
                <w:rFonts w:ascii="Times New Roman" w:hAnsi="Times New Roman" w:cs="Times New Roman"/>
                <w:noProof/>
                <w:sz w:val="24"/>
                <w:szCs w:val="24"/>
                <w:lang w:val="en-GB"/>
              </w:rPr>
            </w:r>
            <w:r w:rsidR="00F273D0">
              <w:rPr>
                <w:rFonts w:ascii="Times New Roman" w:hAnsi="Times New Roman" w:cs="Times New Roman"/>
                <w:noProof/>
                <w:sz w:val="24"/>
                <w:szCs w:val="24"/>
                <w:lang w:val="en-GB"/>
              </w:rPr>
              <w:fldChar w:fldCharType="separate"/>
            </w:r>
            <w:r w:rsidRPr="009720FF">
              <w:rPr>
                <w:rFonts w:ascii="Times New Roman" w:hAnsi="Times New Roman" w:cs="Times New Roman"/>
                <w:noProof/>
                <w:sz w:val="24"/>
                <w:szCs w:val="24"/>
                <w:lang w:val="en-GB"/>
              </w:rPr>
              <w:fldChar w:fldCharType="end"/>
            </w:r>
            <w:r w:rsidRPr="009720FF">
              <w:rPr>
                <w:rFonts w:ascii="Times New Roman" w:hAnsi="Times New Roman" w:cs="Times New Roman"/>
                <w:noProof/>
                <w:sz w:val="24"/>
                <w:szCs w:val="24"/>
                <w:lang w:val="en-GB"/>
              </w:rPr>
              <w:t xml:space="preserve"> JTF</w:t>
            </w:r>
          </w:p>
        </w:tc>
      </w:tr>
      <w:tr w:rsidR="00F000AD" w:rsidRPr="009720FF" w:rsidTr="00F000AD">
        <w:trPr>
          <w:trHeight w:val="163"/>
          <w:jc w:val="center"/>
        </w:trPr>
        <w:tc>
          <w:tcPr>
            <w:tcW w:w="3315" w:type="dxa"/>
            <w:vMerge/>
            <w:shd w:val="clear" w:color="auto" w:fill="auto"/>
          </w:tcPr>
          <w:p w:rsidR="00F000AD" w:rsidRPr="009720FF" w:rsidRDefault="00F000AD" w:rsidP="00F000AD">
            <w:pPr>
              <w:spacing w:after="0"/>
              <w:rPr>
                <w:rFonts w:ascii="Times New Roman" w:hAnsi="Times New Roman" w:cs="Times New Roman"/>
                <w:noProof/>
                <w:sz w:val="24"/>
                <w:szCs w:val="24"/>
                <w:lang w:val="en-GB"/>
              </w:rPr>
            </w:pPr>
          </w:p>
        </w:tc>
        <w:tc>
          <w:tcPr>
            <w:tcW w:w="5103" w:type="dxa"/>
            <w:shd w:val="clear" w:color="auto" w:fill="auto"/>
          </w:tcPr>
          <w:p w:rsidR="00F000AD" w:rsidRPr="009720FF" w:rsidRDefault="00F000AD" w:rsidP="00F000AD">
            <w:pPr>
              <w:spacing w:after="0"/>
              <w:rPr>
                <w:rFonts w:ascii="Times New Roman" w:hAnsi="Times New Roman" w:cs="Times New Roman"/>
                <w:noProof/>
                <w:sz w:val="24"/>
                <w:szCs w:val="24"/>
                <w:lang w:val="en-GB"/>
              </w:rPr>
            </w:pPr>
            <w:r w:rsidRPr="009720FF">
              <w:rPr>
                <w:rFonts w:ascii="Times New Roman" w:hAnsi="Times New Roman" w:cs="Times New Roman"/>
                <w:noProof/>
                <w:sz w:val="24"/>
                <w:szCs w:val="24"/>
                <w:lang w:val="en-GB"/>
              </w:rPr>
              <w:fldChar w:fldCharType="begin">
                <w:ffData>
                  <w:name w:val="Check1"/>
                  <w:enabled/>
                  <w:calcOnExit w:val="0"/>
                  <w:checkBox>
                    <w:sizeAuto/>
                    <w:default w:val="0"/>
                  </w:checkBox>
                </w:ffData>
              </w:fldChar>
            </w:r>
            <w:r w:rsidRPr="009720FF">
              <w:rPr>
                <w:rFonts w:ascii="Times New Roman" w:hAnsi="Times New Roman" w:cs="Times New Roman"/>
                <w:noProof/>
                <w:sz w:val="24"/>
                <w:szCs w:val="24"/>
                <w:lang w:val="en-GB"/>
              </w:rPr>
              <w:instrText xml:space="preserve"> FORMCHECKBOX </w:instrText>
            </w:r>
            <w:r w:rsidR="00F273D0">
              <w:rPr>
                <w:rFonts w:ascii="Times New Roman" w:hAnsi="Times New Roman" w:cs="Times New Roman"/>
                <w:noProof/>
                <w:sz w:val="24"/>
                <w:szCs w:val="24"/>
                <w:lang w:val="en-GB"/>
              </w:rPr>
            </w:r>
            <w:r w:rsidR="00F273D0">
              <w:rPr>
                <w:rFonts w:ascii="Times New Roman" w:hAnsi="Times New Roman" w:cs="Times New Roman"/>
                <w:noProof/>
                <w:sz w:val="24"/>
                <w:szCs w:val="24"/>
                <w:lang w:val="en-GB"/>
              </w:rPr>
              <w:fldChar w:fldCharType="separate"/>
            </w:r>
            <w:r w:rsidRPr="009720FF">
              <w:rPr>
                <w:rFonts w:ascii="Times New Roman" w:hAnsi="Times New Roman" w:cs="Times New Roman"/>
                <w:noProof/>
                <w:sz w:val="24"/>
                <w:szCs w:val="24"/>
                <w:lang w:val="en-GB"/>
              </w:rPr>
              <w:fldChar w:fldCharType="end"/>
            </w:r>
            <w:r w:rsidRPr="009720FF">
              <w:rPr>
                <w:rFonts w:ascii="Times New Roman" w:hAnsi="Times New Roman" w:cs="Times New Roman"/>
                <w:noProof/>
                <w:sz w:val="24"/>
                <w:szCs w:val="24"/>
                <w:lang w:val="en-GB"/>
              </w:rPr>
              <w:t xml:space="preserve"> EMFF</w:t>
            </w:r>
          </w:p>
        </w:tc>
      </w:tr>
    </w:tbl>
    <w:p w:rsidR="00F000AD" w:rsidRPr="009720FF" w:rsidRDefault="00F000AD" w:rsidP="00F000AD">
      <w:pPr>
        <w:spacing w:after="120" w:line="240" w:lineRule="auto"/>
        <w:jc w:val="both"/>
        <w:rPr>
          <w:rFonts w:ascii="Times New Roman" w:hAnsi="Times New Roman" w:cs="Times New Roman"/>
          <w:noProof/>
          <w:sz w:val="16"/>
          <w:szCs w:val="16"/>
          <w:lang w:val="en-GB"/>
        </w:rPr>
      </w:pPr>
      <w:r w:rsidRPr="009720FF">
        <w:rPr>
          <w:rFonts w:ascii="Times New Roman" w:hAnsi="Times New Roman" w:cs="Times New Roman"/>
          <w:noProof/>
          <w:sz w:val="16"/>
          <w:szCs w:val="16"/>
          <w:vertAlign w:val="superscript"/>
          <w:lang w:val="en-GB"/>
        </w:rPr>
        <w:t>*</w:t>
      </w:r>
      <w:r w:rsidRPr="009720FF">
        <w:rPr>
          <w:rFonts w:ascii="Times New Roman" w:hAnsi="Times New Roman" w:cs="Times New Roman"/>
          <w:noProof/>
          <w:sz w:val="16"/>
          <w:szCs w:val="16"/>
          <w:lang w:val="en-GB"/>
        </w:rPr>
        <w:t xml:space="preserve"> Numbers in square brackets refer to number of characters.</w:t>
      </w:r>
      <w:r w:rsidRPr="009720FF">
        <w:rPr>
          <w:rFonts w:ascii="Times New Roman" w:eastAsia="Times New Roman" w:hAnsi="Times New Roman" w:cs="Times New Roman"/>
          <w:noProof/>
          <w:sz w:val="20"/>
          <w:szCs w:val="16"/>
          <w:lang w:val="en-GB" w:eastAsia="en-GB"/>
        </w:rPr>
        <w:t>”</w:t>
      </w:r>
    </w:p>
    <w:p w:rsidR="00F000AD" w:rsidRPr="00F000AD" w:rsidRDefault="00F000AD" w:rsidP="00F000AD">
      <w:pPr>
        <w:spacing w:before="120" w:after="120" w:line="360" w:lineRule="auto"/>
        <w:rPr>
          <w:rFonts w:ascii="Times New Roman" w:hAnsi="Times New Roman" w:cs="Times New Roman"/>
          <w:b/>
          <w:bCs/>
          <w:noProof/>
          <w:sz w:val="24"/>
          <w:lang w:val="en-GB"/>
        </w:rPr>
      </w:pPr>
      <w:r w:rsidRPr="00F000AD">
        <w:rPr>
          <w:rFonts w:ascii="Times New Roman" w:hAnsi="Times New Roman" w:cs="Times New Roman"/>
          <w:b/>
          <w:bCs/>
          <w:noProof/>
          <w:sz w:val="24"/>
          <w:lang w:val="en-GB"/>
        </w:rPr>
        <w:t>1.</w:t>
      </w:r>
      <w:r w:rsidRPr="00F000AD">
        <w:rPr>
          <w:rFonts w:ascii="Times New Roman" w:hAnsi="Times New Roman" w:cs="Times New Roman"/>
          <w:b/>
          <w:bCs/>
          <w:noProof/>
          <w:sz w:val="24"/>
          <w:lang w:val="en-GB"/>
        </w:rPr>
        <w:tab/>
        <w:t>Programme strategy: main development challenges and policy responses</w:t>
      </w:r>
    </w:p>
    <w:p w:rsidR="00F000AD" w:rsidRDefault="00F000AD" w:rsidP="00F000AD">
      <w:pPr>
        <w:spacing w:before="120" w:after="120" w:line="360" w:lineRule="auto"/>
        <w:rPr>
          <w:rFonts w:ascii="Times New Roman" w:eastAsia="Times New Roman" w:hAnsi="Times New Roman" w:cs="Times New Roman"/>
          <w:b/>
          <w:i/>
          <w:iCs/>
          <w:noProof/>
          <w:sz w:val="24"/>
          <w:szCs w:val="24"/>
          <w:lang w:val="en-GB"/>
        </w:rPr>
      </w:pPr>
      <w:r w:rsidRPr="00F000AD">
        <w:rPr>
          <w:rFonts w:ascii="Times New Roman" w:eastAsia="Times New Roman" w:hAnsi="Times New Roman" w:cs="Times New Roman"/>
          <w:noProof/>
          <w:sz w:val="24"/>
          <w:szCs w:val="24"/>
          <w:lang w:val="en-GB"/>
        </w:rPr>
        <w:t>Reference: Article 17(3</w:t>
      </w:r>
      <w:r w:rsidRPr="00F000AD">
        <w:rPr>
          <w:rFonts w:ascii="Times New Roman" w:eastAsia="Times New Roman" w:hAnsi="Times New Roman" w:cs="Times New Roman"/>
          <w:i/>
          <w:noProof/>
          <w:sz w:val="24"/>
          <w:szCs w:val="24"/>
          <w:lang w:val="en-GB"/>
        </w:rPr>
        <w:t>)(a)(i)-(vii) and 17(3)(b) CPR</w:t>
      </w:r>
    </w:p>
    <w:tbl>
      <w:tblPr>
        <w:tblW w:w="0" w:type="auto"/>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F000AD" w:rsidRPr="00F000AD" w:rsidTr="008976EA">
        <w:tc>
          <w:tcPr>
            <w:tcW w:w="9288" w:type="dxa"/>
            <w:tcBorders>
              <w:top w:val="single" w:sz="4" w:space="0" w:color="auto"/>
              <w:left w:val="single" w:sz="4" w:space="0" w:color="auto"/>
              <w:bottom w:val="single" w:sz="4" w:space="0" w:color="auto"/>
              <w:right w:val="single" w:sz="4" w:space="0" w:color="auto"/>
            </w:tcBorders>
            <w:shd w:val="clear" w:color="auto" w:fill="auto"/>
            <w:hideMark/>
          </w:tcPr>
          <w:p w:rsidR="00190F7C" w:rsidRDefault="00C530AF" w:rsidP="00E95FAC">
            <w:pPr>
              <w:spacing w:after="0" w:line="240" w:lineRule="auto"/>
              <w:jc w:val="both"/>
              <w:rPr>
                <w:rFonts w:ascii="Times New Roman" w:hAnsi="Times New Roman" w:cs="Times New Roman"/>
                <w:sz w:val="20"/>
                <w:szCs w:val="20"/>
              </w:rPr>
            </w:pPr>
            <w:r w:rsidRPr="006F5AE8">
              <w:rPr>
                <w:rFonts w:ascii="Times New Roman" w:hAnsi="Times New Roman" w:cs="Times New Roman"/>
                <w:color w:val="000000"/>
                <w:sz w:val="20"/>
                <w:szCs w:val="20"/>
              </w:rPr>
              <w:t xml:space="preserve">Programul Operațional Regional al Regiunii Centru își propune </w:t>
            </w:r>
            <w:r w:rsidR="006F5AE8" w:rsidRPr="006F5AE8">
              <w:rPr>
                <w:rFonts w:ascii="Times New Roman" w:hAnsi="Times New Roman" w:cs="Times New Roman"/>
                <w:color w:val="000000"/>
                <w:sz w:val="20"/>
                <w:szCs w:val="20"/>
              </w:rPr>
              <w:t xml:space="preserve">să </w:t>
            </w:r>
            <w:r w:rsidR="00D11CBC">
              <w:rPr>
                <w:rFonts w:ascii="Times New Roman" w:hAnsi="Times New Roman" w:cs="Times New Roman"/>
                <w:color w:val="000000"/>
                <w:sz w:val="20"/>
                <w:szCs w:val="20"/>
              </w:rPr>
              <w:t>gaseasca</w:t>
            </w:r>
            <w:r w:rsidR="00D11CBC" w:rsidRPr="006F5AE8">
              <w:rPr>
                <w:rFonts w:ascii="Times New Roman" w:hAnsi="Times New Roman" w:cs="Times New Roman"/>
                <w:color w:val="000000"/>
                <w:sz w:val="20"/>
                <w:szCs w:val="20"/>
              </w:rPr>
              <w:t xml:space="preserve"> </w:t>
            </w:r>
            <w:r w:rsidR="006F5AE8" w:rsidRPr="006F5AE8">
              <w:rPr>
                <w:rFonts w:ascii="Times New Roman" w:hAnsi="Times New Roman" w:cs="Times New Roman"/>
                <w:color w:val="000000"/>
                <w:sz w:val="20"/>
                <w:szCs w:val="20"/>
              </w:rPr>
              <w:t>soluții la nevoile identificate la nivel regional în cadrul Planului de Dezvoltare Regională Centru</w:t>
            </w:r>
            <w:r w:rsidR="00527EE5">
              <w:rPr>
                <w:rStyle w:val="Referinnotdesubsol"/>
                <w:rFonts w:ascii="Times New Roman" w:hAnsi="Times New Roman" w:cs="Times New Roman"/>
                <w:color w:val="000000"/>
                <w:sz w:val="20"/>
                <w:szCs w:val="20"/>
              </w:rPr>
              <w:footnoteReference w:id="1"/>
            </w:r>
            <w:r w:rsidR="006F5AE8" w:rsidRPr="006F5AE8">
              <w:rPr>
                <w:rFonts w:ascii="Times New Roman" w:hAnsi="Times New Roman" w:cs="Times New Roman"/>
                <w:color w:val="000000"/>
                <w:sz w:val="20"/>
                <w:szCs w:val="20"/>
              </w:rPr>
              <w:t xml:space="preserve"> și în S</w:t>
            </w:r>
            <w:r w:rsidR="004E48D6">
              <w:rPr>
                <w:rFonts w:ascii="Times New Roman" w:hAnsi="Times New Roman" w:cs="Times New Roman"/>
                <w:color w:val="000000"/>
                <w:sz w:val="20"/>
                <w:szCs w:val="20"/>
              </w:rPr>
              <w:t>t</w:t>
            </w:r>
            <w:r w:rsidR="006F5AE8" w:rsidRPr="006F5AE8">
              <w:rPr>
                <w:rFonts w:ascii="Times New Roman" w:hAnsi="Times New Roman" w:cs="Times New Roman"/>
                <w:color w:val="000000"/>
                <w:sz w:val="20"/>
                <w:szCs w:val="20"/>
              </w:rPr>
              <w:t>rategia de Specializare Inteligentă</w:t>
            </w:r>
            <w:r w:rsidR="00F626D7">
              <w:rPr>
                <w:rStyle w:val="Referinnotdesubsol"/>
                <w:rFonts w:ascii="Times New Roman" w:hAnsi="Times New Roman" w:cs="Times New Roman"/>
                <w:color w:val="000000"/>
                <w:sz w:val="20"/>
                <w:szCs w:val="20"/>
              </w:rPr>
              <w:footnoteReference w:id="2"/>
            </w:r>
            <w:r w:rsidR="006F5AE8" w:rsidRPr="006F5AE8">
              <w:rPr>
                <w:rFonts w:ascii="Times New Roman" w:hAnsi="Times New Roman" w:cs="Times New Roman"/>
                <w:color w:val="000000"/>
                <w:sz w:val="20"/>
                <w:szCs w:val="20"/>
              </w:rPr>
              <w:t xml:space="preserve"> a Regiunii </w:t>
            </w:r>
            <w:r w:rsidR="006F5AE8" w:rsidRPr="004E48D6">
              <w:rPr>
                <w:rFonts w:ascii="Times New Roman" w:hAnsi="Times New Roman" w:cs="Times New Roman"/>
                <w:color w:val="000000"/>
                <w:sz w:val="20"/>
                <w:szCs w:val="20"/>
              </w:rPr>
              <w:t xml:space="preserve">Centru, în strănsă legătură cu recomandările Raportului de țară, recomandările din cadrul Rapoartelor de evaluare ale POR 2014-2020, dar și luând în considerare și alte documente </w:t>
            </w:r>
            <w:r w:rsidR="006F5AE8" w:rsidRPr="005A114F">
              <w:rPr>
                <w:rFonts w:ascii="Times New Roman" w:hAnsi="Times New Roman" w:cs="Times New Roman"/>
                <w:sz w:val="20"/>
                <w:szCs w:val="20"/>
              </w:rPr>
              <w:t>strategice elaborate la nivel european, naţional, precum și strategii de dezvoltare elaborate la nivel regional, judeţean și local.</w:t>
            </w:r>
          </w:p>
          <w:p w:rsidR="00D11CBC" w:rsidRDefault="00D11CBC" w:rsidP="00E95FAC">
            <w:pPr>
              <w:spacing w:after="0" w:line="240" w:lineRule="auto"/>
              <w:jc w:val="both"/>
              <w:rPr>
                <w:rFonts w:ascii="Times New Roman" w:hAnsi="Times New Roman" w:cs="Times New Roman"/>
                <w:sz w:val="20"/>
                <w:szCs w:val="20"/>
              </w:rPr>
            </w:pPr>
            <w:r>
              <w:rPr>
                <w:rFonts w:ascii="Times New Roman" w:eastAsia="Times New Roman" w:hAnsi="Times New Roman" w:cs="Times New Roman"/>
                <w:i/>
                <w:iCs/>
                <w:noProof/>
                <w:lang w:val="en-US"/>
              </w:rPr>
              <w:t>Disparități economice, sociale, teritoriale, provocari, eșecuri de piață</w:t>
            </w:r>
          </w:p>
          <w:p w:rsidR="004E48D6" w:rsidRDefault="006F5AE8" w:rsidP="00E95FAC">
            <w:pPr>
              <w:spacing w:after="0" w:line="240" w:lineRule="auto"/>
              <w:jc w:val="both"/>
              <w:rPr>
                <w:rFonts w:ascii="Times New Roman" w:hAnsi="Times New Roman" w:cs="Times New Roman"/>
                <w:sz w:val="20"/>
                <w:szCs w:val="20"/>
              </w:rPr>
            </w:pPr>
            <w:r w:rsidRPr="00EF21DF">
              <w:rPr>
                <w:rFonts w:ascii="Times New Roman" w:hAnsi="Times New Roman" w:cs="Times New Roman"/>
                <w:sz w:val="20"/>
                <w:szCs w:val="20"/>
                <w:lang w:val="it-IT"/>
              </w:rPr>
              <w:t>Regiunea Centru se întinde pe o suprafață de 34100 kmp, adică 14,3% din teritoriul național</w:t>
            </w:r>
            <w:r w:rsidR="004E48D6">
              <w:rPr>
                <w:rFonts w:ascii="Times New Roman" w:hAnsi="Times New Roman" w:cs="Times New Roman"/>
                <w:sz w:val="20"/>
                <w:szCs w:val="20"/>
                <w:lang w:val="it-IT"/>
              </w:rPr>
              <w:t>, fiind situată în centrul României. Aceasta</w:t>
            </w:r>
            <w:r w:rsidR="0073532A">
              <w:rPr>
                <w:rFonts w:ascii="Times New Roman" w:hAnsi="Times New Roman" w:cs="Times New Roman"/>
                <w:sz w:val="20"/>
                <w:szCs w:val="20"/>
                <w:lang w:val="it-IT"/>
              </w:rPr>
              <w:t xml:space="preserve"> are 2,63 milioane locuitori și</w:t>
            </w:r>
            <w:r w:rsidR="004E48D6">
              <w:rPr>
                <w:rFonts w:ascii="Times New Roman" w:hAnsi="Times New Roman" w:cs="Times New Roman"/>
                <w:sz w:val="20"/>
                <w:szCs w:val="20"/>
                <w:lang w:val="it-IT"/>
              </w:rPr>
              <w:t xml:space="preserve"> cuprinde 6 județe – Alba, Brașov, Covasna, Harghita, Mureș și Sibiu - </w:t>
            </w:r>
            <w:r w:rsidR="0073532A">
              <w:rPr>
                <w:rFonts w:ascii="Times New Roman" w:hAnsi="Times New Roman" w:cs="Times New Roman"/>
                <w:sz w:val="20"/>
                <w:szCs w:val="20"/>
              </w:rPr>
              <w:t>fiind</w:t>
            </w:r>
            <w:r w:rsidRPr="00EF21DF">
              <w:rPr>
                <w:rFonts w:ascii="Times New Roman" w:hAnsi="Times New Roman" w:cs="Times New Roman"/>
                <w:sz w:val="20"/>
                <w:szCs w:val="20"/>
              </w:rPr>
              <w:t xml:space="preserve"> bine relaționată teritorial, realizând conexiuni cu 6 din cele 7 regiuni de dezvoltare din România. </w:t>
            </w:r>
          </w:p>
          <w:p w:rsidR="0073532A" w:rsidRPr="00EF21DF" w:rsidRDefault="0073532A" w:rsidP="00E95FAC">
            <w:pPr>
              <w:pStyle w:val="Listparagraf"/>
              <w:spacing w:before="0" w:after="0" w:line="240" w:lineRule="auto"/>
              <w:ind w:left="0"/>
              <w:jc w:val="both"/>
              <w:rPr>
                <w:sz w:val="20"/>
                <w:szCs w:val="20"/>
              </w:rPr>
            </w:pPr>
            <w:r w:rsidRPr="00EF21DF">
              <w:rPr>
                <w:sz w:val="20"/>
                <w:szCs w:val="20"/>
              </w:rPr>
              <w:t>Declinul demografic în perioada 2002-2018 s-a manifestat în toate județele Regiunii însă cu intensități diferite:  două județe au înregistrat scăderi mai mari decât declinul înregistrat la nivel regional -7,9%: Alba (scădere severă) și Covasna (scădere moderată), iar în celelalte 4 județe s-au înregistrat pierderi de populație mai mici decât media regională.</w:t>
            </w:r>
          </w:p>
          <w:p w:rsidR="0073532A" w:rsidRPr="00EF21DF" w:rsidRDefault="0073532A" w:rsidP="00E95FAC">
            <w:pPr>
              <w:spacing w:after="0" w:line="240" w:lineRule="auto"/>
              <w:jc w:val="both"/>
              <w:rPr>
                <w:rFonts w:ascii="Times New Roman" w:hAnsi="Times New Roman" w:cs="Times New Roman"/>
                <w:sz w:val="20"/>
                <w:szCs w:val="20"/>
              </w:rPr>
            </w:pPr>
            <w:r w:rsidRPr="00EF21DF">
              <w:rPr>
                <w:rFonts w:ascii="Times New Roman" w:hAnsi="Times New Roman" w:cs="Times New Roman"/>
                <w:sz w:val="20"/>
                <w:szCs w:val="20"/>
              </w:rPr>
              <w:lastRenderedPageBreak/>
              <w:t>Regiunea Centru face parte din categoria regiunilor cele mai puțin dezvoltate, cu un PIB pe locuitor de 62% din media UE.</w:t>
            </w:r>
          </w:p>
          <w:p w:rsidR="0073532A" w:rsidRPr="00EF21DF" w:rsidRDefault="0073532A" w:rsidP="00E95FAC">
            <w:pPr>
              <w:spacing w:after="0" w:line="240" w:lineRule="auto"/>
              <w:jc w:val="both"/>
              <w:rPr>
                <w:rFonts w:ascii="Times New Roman" w:hAnsi="Times New Roman" w:cs="Times New Roman"/>
                <w:sz w:val="20"/>
                <w:szCs w:val="20"/>
              </w:rPr>
            </w:pPr>
            <w:r w:rsidRPr="00EF21DF">
              <w:rPr>
                <w:rFonts w:ascii="Times New Roman" w:hAnsi="Times New Roman" w:cs="Times New Roman"/>
                <w:sz w:val="20"/>
                <w:szCs w:val="20"/>
              </w:rPr>
              <w:t>Dezvoltarea economică este inegală la nivel regional, 3 dintre județele regiunii înregistrând un PIB/locuitor cu 20-25 puncte procentuale sub media regională (Harghita, Covasna și Mureș). Se menține tendința de polarizare economică la nivel regional. Majoritatea activităților economice și îndeosebi cele cu o valoare adăugată brută ridicată se concentrează în orașele mari și în jurul acestora, în timp ce multe localități urbane mici (îndeosebi foste localități miniere sau orașe monoindustriale) și numeroase localități rurale au o situație economică foarte precară și în curs de deteriorare rapidă. Gradul de coeziune economică se menține scăzut, această situație regăsindu-se și la nivelul întregii țări. Semnificativ în acest sens este raportul de 1,8 înregistrat în anul 2016 între județul cu cel mai ridicat nivel al PIB/locuitor (Brașov) și județul cu cel mai scăzut nivel al PIB/locuitor (Covasna) din Regiunea Centru.</w:t>
            </w:r>
          </w:p>
          <w:p w:rsidR="0073532A" w:rsidRDefault="00E74716" w:rsidP="00E95FAC">
            <w:pPr>
              <w:pStyle w:val="Listparagraf"/>
              <w:spacing w:before="0" w:after="0" w:line="240" w:lineRule="auto"/>
              <w:ind w:left="0"/>
              <w:jc w:val="both"/>
              <w:rPr>
                <w:sz w:val="20"/>
                <w:szCs w:val="20"/>
              </w:rPr>
            </w:pPr>
            <w:r w:rsidRPr="00EF21DF">
              <w:rPr>
                <w:bCs/>
                <w:sz w:val="20"/>
                <w:szCs w:val="20"/>
              </w:rPr>
              <w:t>Rețeaua de localități este formată din 57 uni</w:t>
            </w:r>
            <w:r w:rsidR="004B2CCD">
              <w:rPr>
                <w:bCs/>
                <w:sz w:val="20"/>
                <w:szCs w:val="20"/>
              </w:rPr>
              <w:t xml:space="preserve">tăți administrativ teritoriale </w:t>
            </w:r>
            <w:r w:rsidRPr="00EF21DF">
              <w:rPr>
                <w:bCs/>
                <w:sz w:val="20"/>
                <w:szCs w:val="20"/>
              </w:rPr>
              <w:t>urbane și 357 unități administrativ teritoriale  rurale</w:t>
            </w:r>
            <w:r w:rsidRPr="00EF21DF">
              <w:rPr>
                <w:sz w:val="20"/>
                <w:szCs w:val="20"/>
              </w:rPr>
              <w:t>.</w:t>
            </w:r>
            <w:r>
              <w:rPr>
                <w:sz w:val="20"/>
                <w:szCs w:val="20"/>
              </w:rPr>
              <w:t xml:space="preserve"> </w:t>
            </w:r>
            <w:r w:rsidR="0073532A" w:rsidRPr="00EF21DF">
              <w:rPr>
                <w:sz w:val="20"/>
                <w:szCs w:val="20"/>
              </w:rPr>
              <w:t xml:space="preserve">Din punct de vedere al dezvoltării urbane, Regiunea Centru este una din regiunile urbanizate de la nivel național. </w:t>
            </w:r>
            <w:r w:rsidR="0073532A" w:rsidRPr="00EF21DF">
              <w:rPr>
                <w:bCs/>
                <w:sz w:val="20"/>
                <w:szCs w:val="20"/>
              </w:rPr>
              <w:t>În 201</w:t>
            </w:r>
            <w:r w:rsidR="0073532A">
              <w:rPr>
                <w:bCs/>
                <w:sz w:val="20"/>
                <w:szCs w:val="20"/>
              </w:rPr>
              <w:t>9</w:t>
            </w:r>
            <w:r w:rsidR="0073532A" w:rsidRPr="00EF21DF">
              <w:rPr>
                <w:bCs/>
                <w:sz w:val="20"/>
                <w:szCs w:val="20"/>
              </w:rPr>
              <w:t xml:space="preserve"> rata de urbanizare a Regiunii Centru era de 59,7%, fiind superioară celei înregistrate la nivel național (56,4%). Rețeaua localităților urbane cuprinde 20 municipii și 37 orașe.</w:t>
            </w:r>
            <w:r w:rsidR="0073532A" w:rsidRPr="00EF21DF">
              <w:rPr>
                <w:sz w:val="20"/>
                <w:szCs w:val="20"/>
              </w:rPr>
              <w:t xml:space="preserve"> </w:t>
            </w:r>
          </w:p>
          <w:p w:rsidR="0073532A" w:rsidRDefault="0073532A" w:rsidP="00E95FAC">
            <w:pPr>
              <w:spacing w:after="0" w:line="240" w:lineRule="auto"/>
              <w:jc w:val="both"/>
              <w:rPr>
                <w:rFonts w:ascii="Times New Roman" w:hAnsi="Times New Roman" w:cs="Times New Roman"/>
                <w:sz w:val="20"/>
                <w:szCs w:val="20"/>
              </w:rPr>
            </w:pPr>
            <w:r w:rsidRPr="00EF21DF">
              <w:rPr>
                <w:rFonts w:ascii="Times New Roman" w:hAnsi="Times New Roman" w:cs="Times New Roman"/>
                <w:sz w:val="20"/>
                <w:szCs w:val="20"/>
              </w:rPr>
              <w:t>Peste 35% din localitățile urbaneau fost afectate de restructurarea industrială din perioada 1990-2000 care a generat scăderea numărului de salariați, migrația populației, lipsa resurselor pentru investiții în dezvoltarea locală. Peste 40% din populația Regiunii Centru trăiește în mediul rural, județele cu cea mai mare pondere</w:t>
            </w:r>
            <w:r w:rsidR="00E74716">
              <w:rPr>
                <w:rFonts w:ascii="Times New Roman" w:hAnsi="Times New Roman" w:cs="Times New Roman"/>
                <w:sz w:val="20"/>
                <w:szCs w:val="20"/>
              </w:rPr>
              <w:t xml:space="preserve"> </w:t>
            </w:r>
            <w:r w:rsidRPr="00EF21DF">
              <w:rPr>
                <w:rFonts w:ascii="Times New Roman" w:hAnsi="Times New Roman" w:cs="Times New Roman"/>
                <w:sz w:val="20"/>
                <w:szCs w:val="20"/>
              </w:rPr>
              <w:t>a populației în rural sunt Harghita, Covasna și Mureș, la polul opus fiind județul Brașov cu o rată de urbanizare de 70,6%.</w:t>
            </w:r>
          </w:p>
          <w:p w:rsidR="006F5AE8" w:rsidRPr="00EF21DF" w:rsidRDefault="006F5AE8" w:rsidP="00E95FAC">
            <w:pPr>
              <w:tabs>
                <w:tab w:val="left" w:pos="270"/>
              </w:tabs>
              <w:spacing w:after="0" w:line="240" w:lineRule="auto"/>
              <w:jc w:val="both"/>
              <w:rPr>
                <w:rFonts w:ascii="Times New Roman" w:hAnsi="Times New Roman" w:cs="Times New Roman"/>
                <w:sz w:val="20"/>
                <w:szCs w:val="20"/>
              </w:rPr>
            </w:pPr>
            <w:r w:rsidRPr="00EF21DF">
              <w:rPr>
                <w:rFonts w:ascii="Times New Roman" w:hAnsi="Times New Roman" w:cs="Times New Roman"/>
                <w:sz w:val="20"/>
                <w:szCs w:val="20"/>
                <w:lang w:val="it-IT"/>
              </w:rPr>
              <w:t xml:space="preserve">Zonele montane ocupă circa 47% din teritoriul Regiunii Centru, impunând astfel anumite restricții de dezvoltare a infrastructurii de transport și de valorificare a potențialului economic. </w:t>
            </w:r>
          </w:p>
          <w:p w:rsidR="006F5AE8" w:rsidRPr="00EF21DF" w:rsidRDefault="006F5AE8" w:rsidP="00E95FAC">
            <w:pPr>
              <w:tabs>
                <w:tab w:val="left" w:pos="270"/>
              </w:tabs>
              <w:spacing w:after="0" w:line="240" w:lineRule="auto"/>
              <w:jc w:val="both"/>
              <w:rPr>
                <w:rFonts w:ascii="Times New Roman" w:hAnsi="Times New Roman" w:cs="Times New Roman"/>
                <w:sz w:val="20"/>
                <w:szCs w:val="20"/>
              </w:rPr>
            </w:pPr>
            <w:r w:rsidRPr="00EF21DF">
              <w:rPr>
                <w:rFonts w:ascii="Times New Roman" w:hAnsi="Times New Roman" w:cs="Times New Roman"/>
                <w:sz w:val="20"/>
                <w:szCs w:val="20"/>
              </w:rPr>
              <w:t>Părți însemnate din 3 arii cu statut de parc național și 3 arii cu statut de parc natural se află pe teritoriul Regiunii Centru</w:t>
            </w:r>
            <w:r>
              <w:rPr>
                <w:rFonts w:ascii="Times New Roman" w:hAnsi="Times New Roman" w:cs="Times New Roman"/>
                <w:sz w:val="20"/>
                <w:szCs w:val="20"/>
              </w:rPr>
              <w:t>,</w:t>
            </w:r>
            <w:r w:rsidRPr="00EF21DF">
              <w:rPr>
                <w:rFonts w:ascii="Times New Roman" w:hAnsi="Times New Roman" w:cs="Times New Roman"/>
                <w:sz w:val="20"/>
                <w:szCs w:val="20"/>
              </w:rPr>
              <w:t xml:space="preserve"> iar suprafața siturilor Natura 2000 ocupă 49,1% din teritoriul regiunii, însă amenințările la adresa mediului înconjurător se mențin semnificative, principalele cauze fiind activitățile de transport, agricultură, exploatarea forestieră</w:t>
            </w:r>
            <w:r w:rsidR="004B0439">
              <w:rPr>
                <w:rFonts w:ascii="Times New Roman" w:hAnsi="Times New Roman" w:cs="Times New Roman"/>
                <w:sz w:val="20"/>
                <w:szCs w:val="20"/>
              </w:rPr>
              <w:t>,</w:t>
            </w:r>
            <w:r w:rsidRPr="00EF21DF">
              <w:rPr>
                <w:rFonts w:ascii="Times New Roman" w:hAnsi="Times New Roman" w:cs="Times New Roman"/>
                <w:sz w:val="20"/>
                <w:szCs w:val="20"/>
              </w:rPr>
              <w:t xml:space="preserve"> cât și măsuri incomplete de conservare a biodiversității naturale.</w:t>
            </w:r>
          </w:p>
          <w:p w:rsidR="0055560E" w:rsidRDefault="0055560E" w:rsidP="00E95FAC">
            <w:pPr>
              <w:spacing w:after="0" w:line="240" w:lineRule="auto"/>
              <w:jc w:val="both"/>
              <w:rPr>
                <w:rFonts w:ascii="Times New Roman" w:hAnsi="Times New Roman" w:cs="Times New Roman"/>
                <w:b/>
                <w:sz w:val="24"/>
                <w:szCs w:val="24"/>
                <w:u w:val="single"/>
              </w:rPr>
            </w:pPr>
          </w:p>
          <w:p w:rsidR="005A114F" w:rsidRDefault="009D1879" w:rsidP="00E95FAC">
            <w:pPr>
              <w:spacing w:after="0" w:line="240" w:lineRule="auto"/>
              <w:jc w:val="both"/>
              <w:rPr>
                <w:rFonts w:ascii="Times New Roman" w:hAnsi="Times New Roman" w:cs="Times New Roman"/>
                <w:sz w:val="20"/>
                <w:szCs w:val="20"/>
              </w:rPr>
            </w:pPr>
            <w:r w:rsidRPr="00190F7C">
              <w:rPr>
                <w:rFonts w:ascii="Times New Roman" w:hAnsi="Times New Roman" w:cs="Times New Roman"/>
                <w:b/>
                <w:sz w:val="24"/>
                <w:szCs w:val="24"/>
                <w:u w:val="single"/>
              </w:rPr>
              <w:t>Principalele provocări</w:t>
            </w:r>
            <w:r w:rsidRPr="00190F7C">
              <w:rPr>
                <w:rFonts w:ascii="Times New Roman" w:hAnsi="Times New Roman" w:cs="Times New Roman"/>
                <w:sz w:val="28"/>
                <w:szCs w:val="28"/>
              </w:rPr>
              <w:t xml:space="preserve"> </w:t>
            </w:r>
            <w:r w:rsidRPr="00EF21DF">
              <w:rPr>
                <w:rFonts w:ascii="Times New Roman" w:hAnsi="Times New Roman" w:cs="Times New Roman"/>
                <w:sz w:val="20"/>
                <w:szCs w:val="20"/>
              </w:rPr>
              <w:t>ale Regiunii Centru din punct de vedere economic, social și de mediu:</w:t>
            </w:r>
          </w:p>
          <w:p w:rsidR="005A114F" w:rsidRDefault="005A114F" w:rsidP="00E95FAC">
            <w:pPr>
              <w:spacing w:after="0" w:line="240" w:lineRule="auto"/>
              <w:jc w:val="both"/>
              <w:rPr>
                <w:rFonts w:ascii="Times New Roman" w:hAnsi="Times New Roman" w:cs="Times New Roman"/>
                <w:sz w:val="20"/>
                <w:szCs w:val="20"/>
              </w:rPr>
            </w:pPr>
          </w:p>
          <w:p w:rsidR="00C530AF" w:rsidRPr="00D414FE" w:rsidRDefault="002C59D6" w:rsidP="00E95FAC">
            <w:pPr>
              <w:spacing w:after="0" w:line="240" w:lineRule="auto"/>
              <w:jc w:val="both"/>
              <w:rPr>
                <w:rFonts w:ascii="Times New Roman" w:eastAsia="Times New Roman" w:hAnsi="Times New Roman" w:cs="Times New Roman"/>
                <w:b/>
                <w:iCs/>
                <w:sz w:val="20"/>
                <w:szCs w:val="20"/>
                <w:u w:val="single"/>
              </w:rPr>
            </w:pPr>
            <w:r w:rsidRPr="00D414FE">
              <w:rPr>
                <w:rFonts w:ascii="Times New Roman" w:eastAsia="Times New Roman" w:hAnsi="Times New Roman" w:cs="Times New Roman"/>
                <w:b/>
                <w:iCs/>
                <w:sz w:val="20"/>
                <w:szCs w:val="20"/>
                <w:u w:val="single"/>
              </w:rPr>
              <w:t xml:space="preserve">COMPETITIVITATEA CDI ȘI A IMM </w:t>
            </w:r>
          </w:p>
          <w:p w:rsidR="002C59D6" w:rsidRPr="00446B00" w:rsidRDefault="002C59D6" w:rsidP="00E95FAC">
            <w:pPr>
              <w:spacing w:after="0" w:line="240" w:lineRule="auto"/>
              <w:jc w:val="both"/>
              <w:rPr>
                <w:rFonts w:ascii="Times New Roman" w:hAnsi="Times New Roman" w:cs="Times New Roman"/>
                <w:sz w:val="20"/>
                <w:szCs w:val="20"/>
                <w:shd w:val="clear" w:color="auto" w:fill="FBD4B4"/>
              </w:rPr>
            </w:pPr>
            <w:r w:rsidRPr="00446B00">
              <w:rPr>
                <w:rFonts w:ascii="Times New Roman" w:hAnsi="Times New Roman" w:cs="Times New Roman"/>
                <w:sz w:val="20"/>
                <w:szCs w:val="20"/>
              </w:rPr>
              <w:t xml:space="preserve">Regiunea Centru rămâne un inovator modest (calificativ Modest </w:t>
            </w:r>
            <w:r w:rsidRPr="00446B00">
              <w:rPr>
                <w:rStyle w:val="Referinnotdesubsol"/>
                <w:rFonts w:ascii="Times New Roman" w:hAnsi="Times New Roman" w:cs="Times New Roman"/>
                <w:sz w:val="20"/>
                <w:szCs w:val="20"/>
              </w:rPr>
              <w:footnoteReference w:id="3"/>
            </w:r>
            <w:r w:rsidRPr="00446B00">
              <w:rPr>
                <w:rFonts w:ascii="Times New Roman" w:hAnsi="Times New Roman" w:cs="Times New Roman"/>
                <w:sz w:val="20"/>
                <w:szCs w:val="20"/>
              </w:rPr>
              <w:t xml:space="preserve">) iar performanțele regionale în inovare au scăzut de-a lungul timpului (scădere cu 10,8% față de 2011), ceea ce ne indică faptul că </w:t>
            </w:r>
            <w:r w:rsidRPr="00446B00">
              <w:rPr>
                <w:rFonts w:ascii="Times New Roman" w:hAnsi="Times New Roman" w:cs="Times New Roman"/>
                <w:bCs/>
                <w:sz w:val="20"/>
                <w:szCs w:val="20"/>
              </w:rPr>
              <w:t>potențialul inovativ al industriei este sub-utilizat</w:t>
            </w:r>
            <w:r w:rsidR="008B7C47" w:rsidRPr="00446B00">
              <w:rPr>
                <w:rFonts w:ascii="Times New Roman" w:hAnsi="Times New Roman" w:cs="Times New Roman"/>
                <w:bCs/>
                <w:sz w:val="20"/>
                <w:szCs w:val="20"/>
              </w:rPr>
              <w:t>, în condiţiile unui profil industrial accentuat</w:t>
            </w:r>
            <w:r w:rsidR="004B0439" w:rsidRPr="00446B00">
              <w:rPr>
                <w:rFonts w:ascii="Times New Roman" w:hAnsi="Times New Roman" w:cs="Times New Roman"/>
                <w:bCs/>
                <w:sz w:val="20"/>
                <w:szCs w:val="20"/>
              </w:rPr>
              <w:t>.</w:t>
            </w:r>
          </w:p>
          <w:p w:rsidR="002C59D6" w:rsidRPr="00446B00" w:rsidRDefault="002C59D6" w:rsidP="00E95FAC">
            <w:pPr>
              <w:spacing w:after="0" w:line="240" w:lineRule="auto"/>
              <w:jc w:val="both"/>
              <w:rPr>
                <w:rFonts w:ascii="Times New Roman" w:eastAsia="Times New Roman" w:hAnsi="Times New Roman" w:cs="Times New Roman"/>
                <w:sz w:val="20"/>
                <w:szCs w:val="20"/>
              </w:rPr>
            </w:pPr>
            <w:r w:rsidRPr="00446B00">
              <w:rPr>
                <w:rFonts w:ascii="Times New Roman" w:hAnsi="Times New Roman" w:cs="Times New Roman"/>
                <w:bCs/>
                <w:sz w:val="20"/>
                <w:szCs w:val="20"/>
              </w:rPr>
              <w:t xml:space="preserve">IMM-urile regionale nu inovează intern, inovarea de produs/ proces/ organizatională și de marketing este mult rămasă în urmă, inclusiv față de nivelul național, cheltuielile de CDI ale sectorului de business abia se apropie de 50% din media UE, iar cele de inovare fără CDI sunt la 20% din media UE. </w:t>
            </w:r>
          </w:p>
          <w:p w:rsidR="002C59D6" w:rsidRPr="00446B00" w:rsidRDefault="002C59D6" w:rsidP="00E95FAC">
            <w:pPr>
              <w:spacing w:after="0" w:line="240" w:lineRule="auto"/>
              <w:jc w:val="both"/>
              <w:rPr>
                <w:rFonts w:ascii="Times New Roman" w:hAnsi="Times New Roman" w:cs="Times New Roman"/>
                <w:sz w:val="20"/>
                <w:szCs w:val="20"/>
                <w:shd w:val="clear" w:color="auto" w:fill="FBD4B4"/>
              </w:rPr>
            </w:pPr>
            <w:r w:rsidRPr="00446B00">
              <w:rPr>
                <w:rFonts w:ascii="Times New Roman" w:hAnsi="Times New Roman" w:cs="Times New Roman"/>
                <w:sz w:val="20"/>
                <w:szCs w:val="20"/>
              </w:rPr>
              <w:t>Cercetarea autohtonă joacă încă un rol redus în dezvoltarea economică, transferul rezultatelor și aplicarea lor în economie făcându-se încet și cu dificultate</w:t>
            </w:r>
            <w:r w:rsidRPr="00081923">
              <w:rPr>
                <w:rFonts w:ascii="Times New Roman" w:hAnsi="Times New Roman" w:cs="Times New Roman"/>
                <w:sz w:val="20"/>
                <w:szCs w:val="20"/>
              </w:rPr>
              <w:t>. Conform celor mai recente date statistice, ponderea la nivel regional a firmelor inovatoare a scăzut în 2016 la 9,6% din total, sub valoarea indicatorului înregistrată la nivel național (13,7%)</w:t>
            </w:r>
            <w:r w:rsidR="00CF7C9B" w:rsidRPr="00081923">
              <w:rPr>
                <w:rFonts w:ascii="Times New Roman" w:hAnsi="Times New Roman" w:cs="Times New Roman"/>
                <w:sz w:val="20"/>
                <w:szCs w:val="20"/>
              </w:rPr>
              <w:t xml:space="preserve">. </w:t>
            </w:r>
            <w:r w:rsidRPr="00081923">
              <w:rPr>
                <w:rFonts w:ascii="Times New Roman" w:hAnsi="Times New Roman" w:cs="Times New Roman"/>
                <w:sz w:val="20"/>
                <w:szCs w:val="20"/>
              </w:rPr>
              <w:t>Totalul cheltuielilor pentru cercetare-dezvoltare reprezenta în 201</w:t>
            </w:r>
            <w:r w:rsidR="00081923" w:rsidRPr="00081923">
              <w:rPr>
                <w:rFonts w:ascii="Times New Roman" w:hAnsi="Times New Roman" w:cs="Times New Roman"/>
                <w:sz w:val="20"/>
                <w:szCs w:val="20"/>
              </w:rPr>
              <w:t>8</w:t>
            </w:r>
            <w:r w:rsidRPr="00081923">
              <w:rPr>
                <w:rFonts w:ascii="Times New Roman" w:hAnsi="Times New Roman" w:cs="Times New Roman"/>
                <w:sz w:val="20"/>
                <w:szCs w:val="20"/>
              </w:rPr>
              <w:t xml:space="preserve"> doar 0,31% din PIB-ul regional, în creștere de la 0,13% din PIB cât se înregistra în anul 2013</w:t>
            </w:r>
            <w:r w:rsidR="00CF7C9B" w:rsidRPr="00081923">
              <w:rPr>
                <w:rFonts w:ascii="Times New Roman" w:hAnsi="Times New Roman" w:cs="Times New Roman"/>
                <w:sz w:val="20"/>
                <w:szCs w:val="20"/>
              </w:rPr>
              <w:t>.</w:t>
            </w:r>
          </w:p>
          <w:p w:rsidR="00275CAD" w:rsidRPr="00446B00" w:rsidRDefault="004B0439" w:rsidP="00E95FAC">
            <w:pPr>
              <w:spacing w:after="0" w:line="240" w:lineRule="auto"/>
              <w:jc w:val="both"/>
              <w:rPr>
                <w:rFonts w:ascii="Times New Roman" w:eastAsia="Times New Roman" w:hAnsi="Times New Roman" w:cs="Times New Roman"/>
                <w:iCs/>
                <w:sz w:val="20"/>
                <w:szCs w:val="20"/>
              </w:rPr>
            </w:pPr>
            <w:r w:rsidRPr="00446B00">
              <w:rPr>
                <w:rFonts w:ascii="Times New Roman" w:eastAsia="Times New Roman" w:hAnsi="Times New Roman" w:cs="Times New Roman"/>
                <w:iCs/>
                <w:sz w:val="20"/>
                <w:szCs w:val="20"/>
              </w:rPr>
              <w:t>Majoritatea</w:t>
            </w:r>
            <w:r w:rsidR="002C59D6" w:rsidRPr="00446B00">
              <w:rPr>
                <w:rFonts w:ascii="Times New Roman" w:eastAsia="Times New Roman" w:hAnsi="Times New Roman" w:cs="Times New Roman"/>
                <w:iCs/>
                <w:sz w:val="20"/>
                <w:szCs w:val="20"/>
              </w:rPr>
              <w:t xml:space="preserve"> infrastructurilor publice de CDI sunt concentrate în regiunea București Ilfov, ca o consecință a centralizării administrative, la care se mai adaugă zone de concentrare mai scăzută în Cluj Napoca, Iași, Constanța, Timișoara, ceea ce generează o concentrare a centrelor de cercetare private în aceleași zone, precum și o migrație a talentelor si a start-up-urilor</w:t>
            </w:r>
            <w:r w:rsidR="00CF7C9B" w:rsidRPr="00446B00">
              <w:rPr>
                <w:rStyle w:val="Referinnotdesubsol"/>
                <w:rFonts w:ascii="Times New Roman" w:eastAsia="Times New Roman" w:hAnsi="Times New Roman" w:cs="Times New Roman"/>
                <w:iCs/>
                <w:sz w:val="20"/>
                <w:szCs w:val="20"/>
              </w:rPr>
              <w:footnoteReference w:id="4"/>
            </w:r>
            <w:r w:rsidR="002C59D6" w:rsidRPr="00446B00">
              <w:rPr>
                <w:rFonts w:ascii="Times New Roman" w:eastAsia="Times New Roman" w:hAnsi="Times New Roman" w:cs="Times New Roman"/>
                <w:iCs/>
                <w:sz w:val="20"/>
                <w:szCs w:val="20"/>
              </w:rPr>
              <w:t xml:space="preserve">. Concentrarea teritorială continuă să orienteze atât investițiile publice cât și investițiile private ceea ce va contribui la accentuarea diferențelor. </w:t>
            </w:r>
          </w:p>
          <w:p w:rsidR="00275CAD" w:rsidRPr="00446B00" w:rsidRDefault="00275CAD" w:rsidP="00E95FAC">
            <w:pPr>
              <w:spacing w:after="0" w:line="240" w:lineRule="auto"/>
              <w:rPr>
                <w:rFonts w:ascii="Times New Roman" w:eastAsia="Times New Roman" w:hAnsi="Times New Roman" w:cs="Times New Roman"/>
                <w:sz w:val="20"/>
                <w:szCs w:val="20"/>
              </w:rPr>
            </w:pPr>
            <w:r w:rsidRPr="00446B00">
              <w:rPr>
                <w:rFonts w:ascii="Times New Roman" w:eastAsia="Times New Roman" w:hAnsi="Times New Roman" w:cs="Times New Roman"/>
                <w:bCs/>
                <w:sz w:val="20"/>
                <w:szCs w:val="20"/>
              </w:rPr>
              <w:t xml:space="preserve">Performanțele regionale pe care le exprimă indicatorul </w:t>
            </w:r>
            <w:r w:rsidRPr="00446B00">
              <w:rPr>
                <w:rFonts w:ascii="Times New Roman" w:eastAsia="Times New Roman" w:hAnsi="Times New Roman" w:cs="Times New Roman"/>
                <w:bCs/>
                <w:i/>
                <w:sz w:val="20"/>
                <w:szCs w:val="20"/>
              </w:rPr>
              <w:t>Angajați în domenii de producție mediu sau înalt tehnologizate</w:t>
            </w:r>
            <w:r w:rsidRPr="00446B00">
              <w:rPr>
                <w:rFonts w:ascii="Times New Roman" w:eastAsia="Times New Roman" w:hAnsi="Times New Roman" w:cs="Times New Roman"/>
                <w:bCs/>
                <w:sz w:val="20"/>
                <w:szCs w:val="20"/>
              </w:rPr>
              <w:t xml:space="preserve"> nu par să își îndeplinească rolul de facilitator și difuzor de inovare. </w:t>
            </w:r>
            <w:r w:rsidRPr="00446B00">
              <w:rPr>
                <w:rFonts w:ascii="Times New Roman" w:eastAsia="Times New Roman" w:hAnsi="Times New Roman" w:cs="Times New Roman"/>
                <w:sz w:val="20"/>
                <w:szCs w:val="20"/>
              </w:rPr>
              <w:t>Discrepanțele sesizate pot fi puse pe seama faptului că majoritatea angajaților în aceste sectoare provine din companiile multinaționale, cele mai multe în sectorul industrial productiv, fără centre locale de cercetare, iar în sectorul ITC, companiile locale sunt mai degrabă executanți ai procesului de programare efectivă. Efectul stimulativ nu se manifestă deoarece nu are loc efectul de difuzare de inovare la intensitatea normală. Companiile multinaționale nu difuzează inovare pe lanțurile valorice locale deoarece, pentru ele, generarea de cunoaștere nu se realizează local. Acest model de business își va manifesta limitele destul de curând, însă deocamdată se mențin premisele de catalizare a procesului de difuzare a inovării.</w:t>
            </w:r>
          </w:p>
          <w:p w:rsidR="00D011ED" w:rsidRPr="00D011ED" w:rsidRDefault="002C59D6" w:rsidP="00E95FAC">
            <w:pPr>
              <w:spacing w:after="0" w:line="240" w:lineRule="auto"/>
              <w:jc w:val="both"/>
              <w:rPr>
                <w:rFonts w:ascii="Times New Roman" w:hAnsi="Times New Roman" w:cs="Times New Roman"/>
                <w:iCs/>
                <w:sz w:val="20"/>
                <w:szCs w:val="20"/>
              </w:rPr>
            </w:pPr>
            <w:r w:rsidRPr="00446B00">
              <w:rPr>
                <w:rFonts w:ascii="Times New Roman" w:eastAsia="Times New Roman" w:hAnsi="Times New Roman" w:cs="Times New Roman"/>
                <w:sz w:val="20"/>
                <w:szCs w:val="20"/>
              </w:rPr>
              <w:t>I</w:t>
            </w:r>
            <w:r w:rsidRPr="00446B00">
              <w:rPr>
                <w:rFonts w:ascii="Times New Roman" w:hAnsi="Times New Roman" w:cs="Times New Roman"/>
                <w:iCs/>
                <w:sz w:val="20"/>
                <w:szCs w:val="20"/>
              </w:rPr>
              <w:t xml:space="preserve">ntegrarea ecosistemului de inovare regional în </w:t>
            </w:r>
            <w:r w:rsidR="004B0439" w:rsidRPr="00446B00">
              <w:rPr>
                <w:rFonts w:ascii="Times New Roman" w:hAnsi="Times New Roman" w:cs="Times New Roman"/>
                <w:iCs/>
                <w:sz w:val="20"/>
                <w:szCs w:val="20"/>
              </w:rPr>
              <w:t xml:space="preserve">spațiul </w:t>
            </w:r>
            <w:r w:rsidRPr="00446B00">
              <w:rPr>
                <w:rFonts w:ascii="Times New Roman" w:hAnsi="Times New Roman" w:cs="Times New Roman"/>
                <w:iCs/>
                <w:sz w:val="20"/>
                <w:szCs w:val="20"/>
              </w:rPr>
              <w:t>de cercetare și inovare european este deficitară, în special la nivelul IMM dar nu numai. Doar 48 de entități din Regiunea Centru se regăsesc în consorții care au</w:t>
            </w:r>
            <w:r w:rsidRPr="00D011ED">
              <w:rPr>
                <w:rFonts w:ascii="Times New Roman" w:hAnsi="Times New Roman" w:cs="Times New Roman"/>
                <w:iCs/>
                <w:sz w:val="20"/>
                <w:szCs w:val="20"/>
              </w:rPr>
              <w:t xml:space="preserve"> câștigat proiecte în cadrul Horizon 2020 şi doar 12 din aceste entităţi sunt IMM</w:t>
            </w:r>
            <w:r w:rsidR="004B0439">
              <w:rPr>
                <w:rFonts w:ascii="Times New Roman" w:hAnsi="Times New Roman" w:cs="Times New Roman"/>
                <w:iCs/>
                <w:sz w:val="20"/>
                <w:szCs w:val="20"/>
              </w:rPr>
              <w:t xml:space="preserve">, </w:t>
            </w:r>
            <w:r w:rsidRPr="00D011ED">
              <w:rPr>
                <w:rFonts w:ascii="Times New Roman" w:hAnsi="Times New Roman" w:cs="Times New Roman"/>
                <w:iCs/>
                <w:sz w:val="20"/>
                <w:szCs w:val="20"/>
              </w:rPr>
              <w:t xml:space="preserve">În ce privește poziţionarea în lanţurile de valoare europene şi internaţionale, KET Observatory identifică pe lantul valoric al uneia din cele 7 tehnologii mai </w:t>
            </w:r>
            <w:r w:rsidRPr="00D011ED">
              <w:rPr>
                <w:rFonts w:ascii="Times New Roman" w:hAnsi="Times New Roman" w:cs="Times New Roman"/>
                <w:iCs/>
                <w:sz w:val="20"/>
                <w:szCs w:val="20"/>
              </w:rPr>
              <w:lastRenderedPageBreak/>
              <w:t>avansate – Sisteme de productie Cyber – fizice – un IMM din regiune – Ropardo SRL, fiind singura analiză în care un IMM din Regiune este prezent.</w:t>
            </w:r>
          </w:p>
          <w:p w:rsidR="00D011ED" w:rsidRPr="00D011ED" w:rsidRDefault="00D011ED" w:rsidP="00E95FAC">
            <w:pPr>
              <w:pStyle w:val="Default"/>
              <w:jc w:val="both"/>
              <w:rPr>
                <w:rFonts w:ascii="Times New Roman" w:eastAsiaTheme="minorHAnsi" w:hAnsi="Times New Roman" w:cs="Times New Roman"/>
                <w:iCs/>
                <w:sz w:val="20"/>
                <w:szCs w:val="20"/>
              </w:rPr>
            </w:pPr>
            <w:r w:rsidRPr="00D011ED">
              <w:rPr>
                <w:rFonts w:ascii="Times New Roman" w:hAnsi="Times New Roman" w:cs="Times New Roman"/>
                <w:iCs/>
                <w:sz w:val="20"/>
                <w:szCs w:val="20"/>
              </w:rPr>
              <w:t xml:space="preserve">Provocările enunțate mai sus sunt susținute și de </w:t>
            </w:r>
            <w:r w:rsidRPr="00D011ED">
              <w:rPr>
                <w:rFonts w:ascii="Times New Roman" w:hAnsi="Times New Roman" w:cs="Times New Roman"/>
                <w:iCs/>
                <w:sz w:val="20"/>
                <w:szCs w:val="20"/>
                <w:lang w:val="ro-RO"/>
              </w:rPr>
              <w:t>recomandările Consiliului privind Programul Național de Reformă pentru 2019 (COM(2019) 523 final)</w:t>
            </w:r>
            <w:r w:rsidRPr="00D011ED">
              <w:rPr>
                <w:rStyle w:val="Referinnotdesubsol"/>
                <w:rFonts w:ascii="Times New Roman" w:hAnsi="Times New Roman" w:cs="Times New Roman"/>
                <w:iCs/>
                <w:sz w:val="20"/>
                <w:szCs w:val="20"/>
                <w:lang w:val="ro-RO"/>
              </w:rPr>
              <w:footnoteReference w:id="5"/>
            </w:r>
            <w:r w:rsidRPr="00D011ED">
              <w:rPr>
                <w:rFonts w:ascii="Times New Roman" w:hAnsi="Times New Roman" w:cs="Times New Roman"/>
                <w:iCs/>
                <w:sz w:val="20"/>
                <w:szCs w:val="20"/>
                <w:lang w:val="ro-RO"/>
              </w:rPr>
              <w:t>, conform cărora capacitatea generală de inovare a României rămâne scăzută, iar competitivitatea sa viitoare este amenințată de decalajul mare dintre întreprinderile cu capital străin și cele naționale în materie de productivitate și inovare. Investițiile României în cercetare și dezvoltare sunt cele mai scăzute din UE (0,5 % din PIB), iar cheltuielile publice pentru cercetare și dezvoltare au scăzut și mai mult, de la 0,32 % din PIB în 2011 la 0,21 % din PIB în 2017, ceea ce împiedică orice consolidare a capacităților. În consecință, calitatea bazei științifice publice rămâne foarte scăzută, iar legăturile dintre știință și mediul de afaceri nu sunt suficient de dezvoltate. Având în vedere că a scăzut în continuare și numărul absolvenților de studii superioare în domeniile științei, tehnologiei, ingineriei și matematicii, lipsa de personal calificat reprezintă o provocare majoră pentru potențialul de inovare al economiei românești. De asemenea, conform Documentului de lucru al Comisiei Europene (SWD (2020) 522 final)</w:t>
            </w:r>
            <w:r w:rsidRPr="00D011ED">
              <w:rPr>
                <w:rStyle w:val="Referinnotdesubsol"/>
                <w:rFonts w:ascii="Times New Roman" w:hAnsi="Times New Roman" w:cs="Times New Roman"/>
                <w:iCs/>
                <w:sz w:val="20"/>
                <w:szCs w:val="20"/>
                <w:lang w:val="ro-RO"/>
              </w:rPr>
              <w:footnoteReference w:id="6"/>
            </w:r>
            <w:r w:rsidRPr="00D011ED">
              <w:rPr>
                <w:rFonts w:ascii="Times New Roman" w:hAnsi="Times New Roman" w:cs="Times New Roman"/>
                <w:iCs/>
                <w:sz w:val="20"/>
                <w:szCs w:val="20"/>
                <w:lang w:val="ro-RO"/>
              </w:rPr>
              <w:t xml:space="preserve">, alte aspecte cheie structurale care indică provocări speciale pentru economia României sunt disparitățile regionale printre cele mai mari din UE și performanța slabă în materie de cercetare și inovare împiedică tranziția spre o economie bazată pe cunoaștere. În această privință, creșterea calității și investițiilor în cercetare / dezvoltare și susținerea firmelor inovative rămâne o provocare importantă, la fel ca și accesul la finanțări pentru start-up-uri și scale-up-uri, în special în privința capitalului de risc, în condițiile în care, în ciuda creșterilor din ultimii ani, accesul rămâne concentrat sectorial și teritorial, în special în regiunile Vest și București Ilfov. </w:t>
            </w:r>
            <w:r w:rsidRPr="00D011ED">
              <w:rPr>
                <w:rFonts w:ascii="Times New Roman" w:hAnsi="Times New Roman" w:cs="Times New Roman"/>
                <w:sz w:val="20"/>
                <w:szCs w:val="20"/>
              </w:rPr>
              <w:t>De asemenea, raportul de ţară nu identifică nici un progres în ceea ce priveşte cooperarea între universităţi, institute de cercetare şi firme, precum nici în finanţarea sectorului de CDI.</w:t>
            </w:r>
          </w:p>
          <w:p w:rsidR="002C59D6" w:rsidRPr="00446B00" w:rsidRDefault="002C59D6" w:rsidP="00E95FAC">
            <w:pPr>
              <w:spacing w:after="0" w:line="240" w:lineRule="auto"/>
              <w:jc w:val="both"/>
              <w:rPr>
                <w:rFonts w:ascii="Times New Roman" w:hAnsi="Times New Roman" w:cs="Times New Roman"/>
                <w:sz w:val="20"/>
                <w:szCs w:val="20"/>
              </w:rPr>
            </w:pPr>
            <w:r w:rsidRPr="00446B00">
              <w:rPr>
                <w:rFonts w:ascii="Times New Roman" w:hAnsi="Times New Roman" w:cs="Times New Roman"/>
                <w:sz w:val="20"/>
                <w:szCs w:val="20"/>
              </w:rPr>
              <w:t xml:space="preserve">IMM-urile au fost motorul dezvoltării economice regionale,  </w:t>
            </w:r>
            <w:r w:rsidR="005E72A4" w:rsidRPr="00446B00">
              <w:rPr>
                <w:rFonts w:ascii="Times New Roman" w:hAnsi="Times New Roman" w:cs="Times New Roman"/>
                <w:sz w:val="20"/>
                <w:szCs w:val="20"/>
              </w:rPr>
              <w:t>în2018</w:t>
            </w:r>
            <w:r w:rsidRPr="00446B00">
              <w:rPr>
                <w:rFonts w:ascii="Times New Roman" w:hAnsi="Times New Roman" w:cs="Times New Roman"/>
                <w:sz w:val="20"/>
                <w:szCs w:val="20"/>
              </w:rPr>
              <w:t xml:space="preserve">, existau </w:t>
            </w:r>
            <w:r w:rsidR="005E72A4" w:rsidRPr="00446B00">
              <w:rPr>
                <w:rFonts w:ascii="Times New Roman" w:hAnsi="Times New Roman" w:cs="Times New Roman"/>
                <w:sz w:val="20"/>
                <w:szCs w:val="20"/>
              </w:rPr>
              <w:t>66854</w:t>
            </w:r>
            <w:r w:rsidRPr="00446B00">
              <w:rPr>
                <w:rFonts w:ascii="Times New Roman" w:hAnsi="Times New Roman" w:cs="Times New Roman"/>
                <w:sz w:val="20"/>
                <w:szCs w:val="20"/>
              </w:rPr>
              <w:t xml:space="preserve"> întreprinderi active, dintre care 88,</w:t>
            </w:r>
            <w:r w:rsidR="005E72A4" w:rsidRPr="00446B00">
              <w:rPr>
                <w:rFonts w:ascii="Times New Roman" w:hAnsi="Times New Roman" w:cs="Times New Roman"/>
                <w:sz w:val="20"/>
                <w:szCs w:val="20"/>
              </w:rPr>
              <w:t>85</w:t>
            </w:r>
            <w:r w:rsidRPr="00446B00">
              <w:rPr>
                <w:rFonts w:ascii="Times New Roman" w:hAnsi="Times New Roman" w:cs="Times New Roman"/>
                <w:sz w:val="20"/>
                <w:szCs w:val="20"/>
              </w:rPr>
              <w:t xml:space="preserve">% sunt </w:t>
            </w:r>
            <w:r w:rsidR="00EC30C5" w:rsidRPr="00446B00">
              <w:rPr>
                <w:rFonts w:ascii="Times New Roman" w:hAnsi="Times New Roman" w:cs="Times New Roman"/>
                <w:sz w:val="20"/>
                <w:szCs w:val="20"/>
              </w:rPr>
              <w:t>microîntreprinderi (</w:t>
            </w:r>
            <w:r w:rsidRPr="00446B00">
              <w:rPr>
                <w:rFonts w:ascii="Times New Roman" w:hAnsi="Times New Roman" w:cs="Times New Roman"/>
                <w:sz w:val="20"/>
                <w:szCs w:val="20"/>
              </w:rPr>
              <w:t>0-9 salariați)</w:t>
            </w:r>
            <w:r w:rsidR="00CF7C9B" w:rsidRPr="00446B00">
              <w:rPr>
                <w:rFonts w:ascii="Times New Roman" w:hAnsi="Times New Roman" w:cs="Times New Roman"/>
                <w:sz w:val="20"/>
                <w:szCs w:val="20"/>
              </w:rPr>
              <w:t>.</w:t>
            </w:r>
            <w:r w:rsidRPr="00446B00">
              <w:rPr>
                <w:rFonts w:ascii="Times New Roman" w:hAnsi="Times New Roman" w:cs="Times New Roman"/>
                <w:sz w:val="20"/>
                <w:szCs w:val="20"/>
              </w:rPr>
              <w:t xml:space="preserve"> </w:t>
            </w:r>
          </w:p>
          <w:p w:rsidR="002C59D6" w:rsidRPr="00D011ED" w:rsidRDefault="002C59D6" w:rsidP="00E95FAC">
            <w:pPr>
              <w:spacing w:after="0" w:line="240" w:lineRule="auto"/>
              <w:jc w:val="both"/>
              <w:rPr>
                <w:rFonts w:ascii="Times New Roman" w:hAnsi="Times New Roman" w:cs="Times New Roman"/>
                <w:sz w:val="20"/>
                <w:szCs w:val="20"/>
                <w:shd w:val="clear" w:color="auto" w:fill="FBD4B4"/>
              </w:rPr>
            </w:pPr>
            <w:r w:rsidRPr="00446B00">
              <w:rPr>
                <w:rFonts w:ascii="Times New Roman" w:hAnsi="Times New Roman" w:cs="Times New Roman"/>
                <w:sz w:val="20"/>
                <w:szCs w:val="20"/>
              </w:rPr>
              <w:t>Una din nevoile majore ale IMM-urile din Regiunea Centru este</w:t>
            </w:r>
            <w:r w:rsidRPr="00D011ED">
              <w:rPr>
                <w:rFonts w:ascii="Times New Roman" w:hAnsi="Times New Roman" w:cs="Times New Roman"/>
                <w:sz w:val="20"/>
                <w:szCs w:val="20"/>
              </w:rPr>
              <w:t xml:space="preserve"> creșterea gradului de modernizare și extinderea inovării. Deși există un interes real pentru inovarea și modernizarea proceselor de producție, precum și a produselor și serviciilor oferite, capacitățile financiare și organizatorice ale acestor companii sunt insuficiente pentru a le asigura accesul dorit la cele mai performante tehnologii</w:t>
            </w:r>
            <w:r w:rsidR="00534243">
              <w:rPr>
                <w:rFonts w:ascii="Times New Roman" w:hAnsi="Times New Roman" w:cs="Times New Roman"/>
                <w:sz w:val="20"/>
                <w:szCs w:val="20"/>
              </w:rPr>
              <w:t>.</w:t>
            </w:r>
          </w:p>
          <w:p w:rsidR="000F1EA8" w:rsidRPr="00D011ED" w:rsidRDefault="000F1EA8" w:rsidP="00E95FAC">
            <w:pPr>
              <w:spacing w:after="0" w:line="240" w:lineRule="auto"/>
              <w:rPr>
                <w:rFonts w:ascii="Times New Roman" w:hAnsi="Times New Roman" w:cs="Times New Roman"/>
                <w:sz w:val="20"/>
                <w:szCs w:val="20"/>
              </w:rPr>
            </w:pPr>
            <w:r w:rsidRPr="00D011ED">
              <w:rPr>
                <w:rFonts w:ascii="Times New Roman" w:hAnsi="Times New Roman" w:cs="Times New Roman"/>
                <w:sz w:val="20"/>
                <w:szCs w:val="20"/>
              </w:rPr>
              <w:t>Valoarea foarte scăzută a cheltuielilor de inovare fără CDI a IMM în Regiunea Centru arată necesitatea de susținere a investițiilor în IMM iar în lipsa susținerii difuzarea inovării în companii va fi mult încetinită. IMM sunt defavorizate față de companiile mari în accesul la resurse pentru modernizare tehnologică și adoptarea de tehnologii avansate. Fără o susținere publică, nivelul de competitivitate al IMM regionale va fi erodat accelerat prin adâncirea diferențelor tehnologice, ceea ce va afecta fundamental nivelul de dezvoltare al regiunii.</w:t>
            </w:r>
          </w:p>
          <w:p w:rsidR="002C59D6" w:rsidRDefault="00D011ED" w:rsidP="00E95FAC">
            <w:pPr>
              <w:spacing w:after="0" w:line="240" w:lineRule="auto"/>
              <w:jc w:val="both"/>
              <w:rPr>
                <w:rFonts w:ascii="Times New Roman" w:hAnsi="Times New Roman" w:cs="Times New Roman"/>
                <w:sz w:val="20"/>
                <w:szCs w:val="20"/>
              </w:rPr>
            </w:pPr>
            <w:r w:rsidRPr="00D011ED">
              <w:rPr>
                <w:rFonts w:ascii="Times New Roman" w:hAnsi="Times New Roman" w:cs="Times New Roman"/>
                <w:sz w:val="20"/>
                <w:szCs w:val="20"/>
              </w:rPr>
              <w:t>De asemenea, în</w:t>
            </w:r>
            <w:r w:rsidR="00534243">
              <w:rPr>
                <w:rFonts w:ascii="Times New Roman" w:hAnsi="Times New Roman" w:cs="Times New Roman"/>
                <w:sz w:val="20"/>
                <w:szCs w:val="20"/>
              </w:rPr>
              <w:t xml:space="preserve"> </w:t>
            </w:r>
            <w:r w:rsidRPr="00D011ED">
              <w:rPr>
                <w:rFonts w:ascii="Times New Roman" w:hAnsi="Times New Roman" w:cs="Times New Roman"/>
                <w:sz w:val="20"/>
                <w:szCs w:val="20"/>
              </w:rPr>
              <w:t>ce privește IMM, Raportul de tara identifică creşterea rapidă a costului cu forţa de muncă drept o ameninţare la adresa competitivităţii. Un alt factor care afectează competitivitatea este lipsa îmbunătăţirilor în ceea ce priveşte abilităţile forţei de muncă, criza de talente şi personal calificat afectând, în primul rând, IMM. Conform Raportului de ţară, firmele autohtone sunt, în medie, mai mici, mai puţin productive şi mai puţin inovative decât companiile mari, în majoritate cu capital străin. Firmele mici tind să investească mai puţin în noi tehnologii, chiar şi în sectoarele knowledge intensive, utilizarea roboţilor, spre exemplu, fiind de 5 ori mai scăzută decât în firmele mari.</w:t>
            </w:r>
          </w:p>
          <w:p w:rsidR="00E34983" w:rsidRPr="00190F7C" w:rsidRDefault="00E34983" w:rsidP="00E95FAC">
            <w:pPr>
              <w:spacing w:after="0" w:line="240" w:lineRule="auto"/>
              <w:jc w:val="both"/>
              <w:rPr>
                <w:sz w:val="20"/>
                <w:szCs w:val="20"/>
                <w:shd w:val="clear" w:color="auto" w:fill="FBD4B4"/>
              </w:rPr>
            </w:pPr>
          </w:p>
          <w:p w:rsidR="002C59D6" w:rsidRPr="00D414FE" w:rsidRDefault="002C59D6" w:rsidP="00E95FAC">
            <w:pPr>
              <w:spacing w:after="0" w:line="240" w:lineRule="auto"/>
              <w:jc w:val="both"/>
              <w:rPr>
                <w:rFonts w:ascii="Times New Roman" w:hAnsi="Times New Roman" w:cs="Times New Roman"/>
                <w:b/>
                <w:i/>
                <w:sz w:val="20"/>
                <w:szCs w:val="20"/>
                <w:shd w:val="clear" w:color="auto" w:fill="FBD4B4"/>
              </w:rPr>
            </w:pPr>
            <w:r w:rsidRPr="00D414FE">
              <w:rPr>
                <w:rFonts w:ascii="Times New Roman" w:hAnsi="Times New Roman" w:cs="Times New Roman"/>
                <w:b/>
                <w:sz w:val="20"/>
                <w:szCs w:val="20"/>
                <w:u w:val="single"/>
              </w:rPr>
              <w:t>DIGITALIZAREA ÎN ADMINISTRAȚIE ȘI AFACERI</w:t>
            </w:r>
            <w:r w:rsidRPr="00D414FE">
              <w:rPr>
                <w:rFonts w:ascii="Times New Roman" w:hAnsi="Times New Roman" w:cs="Times New Roman"/>
                <w:b/>
                <w:sz w:val="20"/>
                <w:szCs w:val="20"/>
              </w:rPr>
              <w:t xml:space="preserve"> </w:t>
            </w:r>
          </w:p>
          <w:p w:rsidR="00E93617" w:rsidRPr="00E34983" w:rsidRDefault="00E93617" w:rsidP="00E95FAC">
            <w:pPr>
              <w:spacing w:after="0" w:line="240" w:lineRule="auto"/>
              <w:jc w:val="both"/>
              <w:rPr>
                <w:rFonts w:ascii="Times New Roman" w:hAnsi="Times New Roman" w:cs="Times New Roman"/>
                <w:sz w:val="20"/>
                <w:szCs w:val="20"/>
              </w:rPr>
            </w:pPr>
            <w:r w:rsidRPr="00E34983">
              <w:rPr>
                <w:rFonts w:ascii="Times New Roman" w:hAnsi="Times New Roman" w:cs="Times New Roman"/>
                <w:sz w:val="20"/>
                <w:szCs w:val="20"/>
              </w:rPr>
              <w:t>România se află pe ultimul loc în UE</w:t>
            </w:r>
            <w:r w:rsidRPr="00E34983">
              <w:rPr>
                <w:rStyle w:val="Referinnotdesubsol"/>
                <w:rFonts w:ascii="Times New Roman" w:hAnsi="Times New Roman" w:cs="Times New Roman"/>
                <w:sz w:val="20"/>
                <w:szCs w:val="20"/>
              </w:rPr>
              <w:footnoteReference w:id="7"/>
            </w:r>
            <w:r w:rsidRPr="00E34983">
              <w:rPr>
                <w:rFonts w:ascii="Times New Roman" w:hAnsi="Times New Roman" w:cs="Times New Roman"/>
                <w:sz w:val="20"/>
                <w:szCs w:val="20"/>
              </w:rPr>
              <w:t xml:space="preserve"> in ceea ce priveşte serviciile publice digitale, este mult sub media UE în ceea ce priveşte nivelul competenţelor digitale şi are cel mai scăzut nivel de utilizare a serviciilor de internet, deşi se situează pe primul loc în UE în ceea ce priveşte utilizarea reţelelor sociale, indică Raportul privind Indicele economiei şi societăţii digitale publicat de Comisia Europeană. </w:t>
            </w:r>
          </w:p>
          <w:p w:rsidR="00AE7CEF" w:rsidRPr="00E34983" w:rsidRDefault="00E93617" w:rsidP="00E95FAC">
            <w:pPr>
              <w:spacing w:after="0" w:line="240" w:lineRule="auto"/>
              <w:jc w:val="both"/>
              <w:rPr>
                <w:rFonts w:ascii="Times New Roman" w:hAnsi="Times New Roman" w:cs="Times New Roman"/>
                <w:sz w:val="20"/>
                <w:szCs w:val="20"/>
              </w:rPr>
            </w:pPr>
            <w:r w:rsidRPr="00E34983">
              <w:rPr>
                <w:rFonts w:ascii="Times New Roman" w:hAnsi="Times New Roman" w:cs="Times New Roman"/>
                <w:sz w:val="20"/>
                <w:szCs w:val="20"/>
              </w:rPr>
              <w:t>Din totalul populatiei din Regiunea Centru doar 13% folosesc internetul pentru interactiunea cu autoritatile publice, spre deosebire de nivelul UE unde ponderea acestui indicator este de patru ori mai mare.</w:t>
            </w:r>
            <w:r w:rsidR="00AE7CEF" w:rsidRPr="00E34983">
              <w:rPr>
                <w:rFonts w:ascii="Times New Roman" w:hAnsi="Times New Roman" w:cs="Times New Roman"/>
                <w:sz w:val="20"/>
                <w:szCs w:val="20"/>
              </w:rPr>
              <w:t xml:space="preserve"> </w:t>
            </w:r>
          </w:p>
          <w:p w:rsidR="00E93617" w:rsidRPr="00E34983" w:rsidRDefault="00AE7CEF" w:rsidP="00E95FAC">
            <w:pPr>
              <w:spacing w:after="0" w:line="240" w:lineRule="auto"/>
              <w:jc w:val="both"/>
              <w:rPr>
                <w:rFonts w:ascii="Times New Roman" w:hAnsi="Times New Roman" w:cs="Times New Roman"/>
                <w:sz w:val="20"/>
                <w:szCs w:val="20"/>
              </w:rPr>
            </w:pPr>
            <w:r w:rsidRPr="00E34983">
              <w:rPr>
                <w:rFonts w:ascii="Times New Roman" w:hAnsi="Times New Roman" w:cs="Times New Roman"/>
                <w:sz w:val="20"/>
                <w:szCs w:val="20"/>
              </w:rPr>
              <w:t xml:space="preserve">Deși interacțiunea cu cetățeanul se desfășoară și în mediul online, procesele de lucru în interiorul administrațiilor publice locale nu sunt digitalizate. In urma chestionarii municipiilor si oraselor de la nivel regional asupra proiectelor de digitalizare implementate, doar 11 au raspuns din 57, acestea implementand in medie 2 proiecte de digitalizare. </w:t>
            </w:r>
          </w:p>
          <w:p w:rsidR="00534243" w:rsidRDefault="00AE7CEF" w:rsidP="00E95FAC">
            <w:pPr>
              <w:spacing w:after="0" w:line="240" w:lineRule="auto"/>
              <w:jc w:val="both"/>
              <w:rPr>
                <w:rFonts w:ascii="Times New Roman" w:hAnsi="Times New Roman" w:cs="Times New Roman"/>
                <w:sz w:val="20"/>
                <w:szCs w:val="20"/>
              </w:rPr>
            </w:pPr>
            <w:r w:rsidRPr="00E34983">
              <w:rPr>
                <w:rFonts w:ascii="Times New Roman" w:eastAsia="Times New Roman" w:hAnsi="Times New Roman" w:cs="Times New Roman"/>
                <w:i/>
                <w:noProof/>
                <w:sz w:val="20"/>
                <w:szCs w:val="20"/>
                <w:lang w:val="en-US"/>
              </w:rPr>
              <w:t>Din cele 57 de orașe din Regiune, au fost identificate doar 7 care au implementat soluții de smart-city, conform Asociaţiei Române de Smart-city.</w:t>
            </w:r>
            <w:r w:rsidR="002C59D6" w:rsidRPr="00E34983">
              <w:rPr>
                <w:rFonts w:ascii="Times New Roman" w:hAnsi="Times New Roman" w:cs="Times New Roman"/>
                <w:iCs/>
                <w:noProof/>
                <w:sz w:val="20"/>
                <w:szCs w:val="20"/>
              </w:rPr>
              <w:t>Utilizarea instrumentelor digitale de către administrațiile publice aduce îmbunătățiri consistente fluxurilor de lucru, reduce timpul de procesare a solicitărilor și crește satisfacția contribuabililor în relație cu instituțiile și autoritățile publice</w:t>
            </w:r>
            <w:r w:rsidR="00534243">
              <w:rPr>
                <w:rFonts w:ascii="Times New Roman" w:hAnsi="Times New Roman" w:cs="Times New Roman"/>
                <w:sz w:val="20"/>
                <w:szCs w:val="20"/>
              </w:rPr>
              <w:t xml:space="preserve">. </w:t>
            </w:r>
          </w:p>
          <w:p w:rsidR="00534243" w:rsidRDefault="000F1EA8" w:rsidP="00E95FAC">
            <w:pPr>
              <w:spacing w:after="0" w:line="240" w:lineRule="auto"/>
              <w:jc w:val="both"/>
              <w:rPr>
                <w:rFonts w:ascii="Times New Roman" w:hAnsi="Times New Roman" w:cs="Times New Roman"/>
                <w:sz w:val="20"/>
                <w:szCs w:val="20"/>
              </w:rPr>
            </w:pPr>
            <w:r w:rsidRPr="00E34983">
              <w:rPr>
                <w:rFonts w:ascii="Times New Roman" w:hAnsi="Times New Roman" w:cs="Times New Roman"/>
                <w:sz w:val="20"/>
                <w:szCs w:val="20"/>
              </w:rPr>
              <w:t xml:space="preserve">Componenta avansată a digitalizării nu este implementată decât într-o proporție foarte mică de către companii. </w:t>
            </w:r>
          </w:p>
          <w:p w:rsidR="002C59D6" w:rsidRPr="00E34983" w:rsidRDefault="002C59D6" w:rsidP="00E95FAC">
            <w:pPr>
              <w:spacing w:after="0" w:line="240" w:lineRule="auto"/>
              <w:jc w:val="both"/>
              <w:rPr>
                <w:rFonts w:ascii="Times New Roman" w:hAnsi="Times New Roman" w:cs="Times New Roman"/>
                <w:sz w:val="20"/>
                <w:szCs w:val="20"/>
              </w:rPr>
            </w:pPr>
            <w:r w:rsidRPr="00E34983">
              <w:rPr>
                <w:rFonts w:ascii="Times New Roman" w:hAnsi="Times New Roman" w:cs="Times New Roman"/>
                <w:sz w:val="20"/>
                <w:szCs w:val="20"/>
              </w:rPr>
              <w:t>IMM-urile nu sunt conștiente de beneficiile digitalizării și nu știu cum să adopte tehnologiile digitale în afacerile lor. În această privință, susținerea investițiilor în digitalizarea IMM va fi dublată prin măsuri de facilitare a accesului la cunoaștere prin intermediul Hub-urilor Inovative Digitale</w:t>
            </w:r>
            <w:r w:rsidR="00534243">
              <w:rPr>
                <w:rFonts w:ascii="Times New Roman" w:hAnsi="Times New Roman" w:cs="Times New Roman"/>
                <w:sz w:val="20"/>
                <w:szCs w:val="20"/>
              </w:rPr>
              <w:t xml:space="preserve">. </w:t>
            </w:r>
            <w:r w:rsidRPr="00E34983">
              <w:rPr>
                <w:rFonts w:ascii="Times New Roman" w:hAnsi="Times New Roman" w:cs="Times New Roman"/>
                <w:sz w:val="20"/>
                <w:szCs w:val="20"/>
              </w:rPr>
              <w:t xml:space="preserve">Nivelul de integrare a tehnologiilor digitale în companiile din România este mult sub media UE, (ex. doar 8% din IMM-uri fac vânzări online) </w:t>
            </w:r>
          </w:p>
          <w:p w:rsidR="002C59D6" w:rsidRPr="00E34983" w:rsidRDefault="002C59D6" w:rsidP="00E95FAC">
            <w:pPr>
              <w:spacing w:after="0" w:line="240" w:lineRule="auto"/>
              <w:jc w:val="both"/>
              <w:rPr>
                <w:rFonts w:ascii="Times New Roman" w:eastAsia="Times New Roman" w:hAnsi="Times New Roman" w:cs="Times New Roman"/>
                <w:iCs/>
                <w:noProof/>
                <w:sz w:val="20"/>
                <w:szCs w:val="20"/>
              </w:rPr>
            </w:pPr>
            <w:r w:rsidRPr="00E34983">
              <w:rPr>
                <w:rFonts w:ascii="Times New Roman" w:hAnsi="Times New Roman" w:cs="Times New Roman"/>
                <w:sz w:val="20"/>
                <w:szCs w:val="20"/>
              </w:rPr>
              <w:lastRenderedPageBreak/>
              <w:t>În clasamentul general DESI pentru 2020, România se situează pe locul 26 între cele 28 state membre ale uniunii. Datele Eurostat arată că 42% din firmele din România au website (cel mai mic procent din UE), față de media UE care este de 77% şi că 33% dintre angajații firmelor din România folosesc computerul, ceea ce ne plasează pe penultimul loc în UE.</w:t>
            </w:r>
            <w:r w:rsidR="00534243">
              <w:rPr>
                <w:rFonts w:ascii="Times New Roman" w:eastAsia="Times New Roman" w:hAnsi="Times New Roman" w:cs="Times New Roman"/>
                <w:iCs/>
                <w:noProof/>
                <w:sz w:val="20"/>
                <w:szCs w:val="20"/>
              </w:rPr>
              <w:t xml:space="preserve"> </w:t>
            </w:r>
            <w:r w:rsidRPr="00E34983">
              <w:rPr>
                <w:rFonts w:ascii="Times New Roman" w:eastAsia="Times New Roman" w:hAnsi="Times New Roman" w:cs="Times New Roman"/>
                <w:iCs/>
                <w:noProof/>
                <w:sz w:val="20"/>
                <w:szCs w:val="20"/>
              </w:rPr>
              <w:t>Eforturile de digitalizare nu au condus încă la o reducere semnificativă a decalajelor urban-rural şi nu a facilitat integrarea tehnologiilor digitale de către întreprinderi. Conform aceluiaşi raport, judeţele cu conectivitate redusă înregistrează un nivel scăzut de creştere economică, în opoziţie cu alte judeţe, chiar din aceeaşi regiune, care datorită unui nivel ridicat de conectivitate, însoţit cu investiţiile din infrastructură, au parte de creştere avansată şi de niveluri salariale ridicate</w:t>
            </w:r>
          </w:p>
          <w:p w:rsidR="002C59D6" w:rsidRPr="00E34983" w:rsidRDefault="002C59D6" w:rsidP="00E95FAC">
            <w:pPr>
              <w:spacing w:after="0" w:line="240" w:lineRule="auto"/>
              <w:jc w:val="both"/>
              <w:rPr>
                <w:rFonts w:ascii="Times New Roman" w:eastAsia="Times New Roman" w:hAnsi="Times New Roman" w:cs="Times New Roman"/>
                <w:iCs/>
                <w:noProof/>
                <w:sz w:val="20"/>
                <w:szCs w:val="20"/>
              </w:rPr>
            </w:pPr>
            <w:r w:rsidRPr="00E34983">
              <w:rPr>
                <w:rFonts w:ascii="Times New Roman" w:eastAsia="Times New Roman" w:hAnsi="Times New Roman" w:cs="Times New Roman"/>
                <w:iCs/>
                <w:noProof/>
                <w:sz w:val="20"/>
                <w:szCs w:val="20"/>
              </w:rPr>
              <w:t>Conform raportului DESI 2020, digitalizarea economiei românești a rămas în urmă în condiţiile în care aproape o cincime dintre români nu au utilizat niciodată internetul și mai puțin de o treime au competențe digitale cel puțin elementare. Mai puţin de o treime dintre persoanele cu vârsta între 16 și 74 de ani au competențele digitale elementare, față de 58%, media UE.</w:t>
            </w:r>
          </w:p>
          <w:p w:rsidR="002C59D6" w:rsidRPr="00D414FE" w:rsidRDefault="002C59D6" w:rsidP="00E95FAC">
            <w:pPr>
              <w:spacing w:after="0" w:line="240" w:lineRule="auto"/>
              <w:jc w:val="both"/>
              <w:rPr>
                <w:rFonts w:ascii="Times New Roman" w:eastAsia="Times New Roman" w:hAnsi="Times New Roman" w:cs="Times New Roman"/>
                <w:b/>
                <w:sz w:val="20"/>
                <w:szCs w:val="20"/>
              </w:rPr>
            </w:pPr>
          </w:p>
          <w:p w:rsidR="002C59D6" w:rsidRPr="00D414FE" w:rsidRDefault="002C59D6" w:rsidP="00E95FAC">
            <w:pPr>
              <w:spacing w:after="0" w:line="240" w:lineRule="auto"/>
              <w:jc w:val="both"/>
              <w:rPr>
                <w:rFonts w:ascii="Times New Roman" w:eastAsia="Times New Roman" w:hAnsi="Times New Roman" w:cs="Times New Roman"/>
                <w:b/>
                <w:sz w:val="20"/>
                <w:szCs w:val="20"/>
              </w:rPr>
            </w:pPr>
            <w:r w:rsidRPr="00D414FE">
              <w:rPr>
                <w:rFonts w:ascii="Times New Roman" w:eastAsia="Times New Roman" w:hAnsi="Times New Roman" w:cs="Times New Roman"/>
                <w:b/>
                <w:sz w:val="20"/>
                <w:szCs w:val="20"/>
              </w:rPr>
              <w:t>EFICIENȚĂ ENERGETICĂ, RES</w:t>
            </w:r>
          </w:p>
          <w:p w:rsidR="00207089" w:rsidRPr="00A0242F" w:rsidRDefault="002E1BD6" w:rsidP="00E95FAC">
            <w:pPr>
              <w:pStyle w:val="Listparagraf"/>
              <w:tabs>
                <w:tab w:val="left" w:pos="0"/>
              </w:tabs>
              <w:spacing w:before="0" w:after="0" w:line="240" w:lineRule="auto"/>
              <w:ind w:left="0" w:right="33"/>
              <w:jc w:val="both"/>
              <w:rPr>
                <w:sz w:val="20"/>
                <w:szCs w:val="24"/>
              </w:rPr>
            </w:pPr>
            <w:r>
              <w:rPr>
                <w:sz w:val="20"/>
                <w:szCs w:val="20"/>
              </w:rPr>
              <w:t>D</w:t>
            </w:r>
            <w:r w:rsidR="00207089" w:rsidRPr="00662466">
              <w:rPr>
                <w:sz w:val="20"/>
                <w:szCs w:val="20"/>
              </w:rPr>
              <w:t>eși la nivel regional în ultimii ani s-au făcut progrese pentru reabilitarea energetică a locuințelor, consumul final de energie a scăzut foarte puțin, cu 8,4%, de la 8,10 Mtep la 7,42 Mtep, în timp ce necesitățile şi posibilitatea de economisire sunt foarte mari. În domeniul serviciilor din sectorul public și sectorul comercial, consumul final de energie a scăzut cu doar 3,7%</w:t>
            </w:r>
            <w:r w:rsidR="00207089">
              <w:rPr>
                <w:sz w:val="20"/>
                <w:szCs w:val="20"/>
              </w:rPr>
              <w:t xml:space="preserve">, de la 1,88 Mtep la 1,81 Mtep. </w:t>
            </w:r>
          </w:p>
          <w:p w:rsidR="002525BB" w:rsidRDefault="002E1BD6" w:rsidP="00E95FAC">
            <w:pPr>
              <w:pStyle w:val="Listparagraf"/>
              <w:tabs>
                <w:tab w:val="left" w:pos="0"/>
              </w:tabs>
              <w:spacing w:before="0" w:after="0" w:line="240" w:lineRule="auto"/>
              <w:ind w:left="0" w:right="33"/>
              <w:jc w:val="both"/>
              <w:rPr>
                <w:sz w:val="20"/>
                <w:szCs w:val="20"/>
              </w:rPr>
            </w:pPr>
            <w:r>
              <w:rPr>
                <w:sz w:val="20"/>
                <w:szCs w:val="20"/>
                <w:lang w:val="ro-RO"/>
              </w:rPr>
              <w:t>D</w:t>
            </w:r>
            <w:r w:rsidR="00207089">
              <w:rPr>
                <w:sz w:val="20"/>
                <w:szCs w:val="20"/>
                <w:lang w:val="ro-RO"/>
              </w:rPr>
              <w:t xml:space="preserve">atele statistice arată că sectorul construcțiilor este responsabil de </w:t>
            </w:r>
            <w:r w:rsidR="00207089" w:rsidRPr="00D414FE">
              <w:rPr>
                <w:sz w:val="20"/>
                <w:szCs w:val="20"/>
                <w:lang w:val="ro-RO"/>
              </w:rPr>
              <w:t>45% din consumul final de energie</w:t>
            </w:r>
            <w:r w:rsidR="00207089">
              <w:rPr>
                <w:sz w:val="20"/>
                <w:szCs w:val="20"/>
                <w:lang w:val="ro-RO"/>
              </w:rPr>
              <w:t xml:space="preserve">, sectorul </w:t>
            </w:r>
            <w:r w:rsidR="00207089" w:rsidRPr="00D414FE">
              <w:rPr>
                <w:sz w:val="20"/>
                <w:szCs w:val="20"/>
                <w:lang w:val="ro-RO"/>
              </w:rPr>
              <w:t xml:space="preserve">rezidențial </w:t>
            </w:r>
            <w:r w:rsidR="00207089">
              <w:rPr>
                <w:sz w:val="20"/>
                <w:szCs w:val="20"/>
                <w:lang w:val="ro-RO"/>
              </w:rPr>
              <w:t>avand</w:t>
            </w:r>
            <w:r w:rsidR="00207089" w:rsidRPr="00D414FE">
              <w:rPr>
                <w:sz w:val="20"/>
                <w:szCs w:val="20"/>
                <w:lang w:val="ro-RO"/>
              </w:rPr>
              <w:t xml:space="preserve"> </w:t>
            </w:r>
            <w:r w:rsidR="00207089">
              <w:rPr>
                <w:sz w:val="20"/>
                <w:szCs w:val="20"/>
                <w:lang w:val="ro-RO"/>
              </w:rPr>
              <w:t xml:space="preserve">o </w:t>
            </w:r>
            <w:r w:rsidR="00207089" w:rsidRPr="00D414FE">
              <w:rPr>
                <w:sz w:val="20"/>
                <w:szCs w:val="20"/>
                <w:lang w:val="ro-RO"/>
              </w:rPr>
              <w:t>pondere</w:t>
            </w:r>
            <w:r w:rsidR="00207089">
              <w:rPr>
                <w:sz w:val="20"/>
                <w:szCs w:val="20"/>
                <w:lang w:val="ro-RO"/>
              </w:rPr>
              <w:t xml:space="preserve"> mai ridicata</w:t>
            </w:r>
            <w:r w:rsidR="00207089" w:rsidRPr="00D414FE">
              <w:rPr>
                <w:sz w:val="20"/>
                <w:szCs w:val="20"/>
                <w:lang w:val="ro-RO"/>
              </w:rPr>
              <w:t xml:space="preserve"> </w:t>
            </w:r>
            <w:r w:rsidR="00207089">
              <w:rPr>
                <w:sz w:val="20"/>
                <w:szCs w:val="20"/>
                <w:lang w:val="ro-RO"/>
              </w:rPr>
              <w:t>a consumului</w:t>
            </w:r>
            <w:r w:rsidR="00207089" w:rsidRPr="00D414FE">
              <w:rPr>
                <w:sz w:val="20"/>
                <w:szCs w:val="20"/>
                <w:lang w:val="ro-RO"/>
              </w:rPr>
              <w:t xml:space="preserve"> (circa 81%)</w:t>
            </w:r>
            <w:r w:rsidR="00207089">
              <w:rPr>
                <w:sz w:val="20"/>
                <w:szCs w:val="20"/>
                <w:lang w:val="ro-RO"/>
              </w:rPr>
              <w:t xml:space="preserve">, </w:t>
            </w:r>
            <w:r w:rsidR="00207089" w:rsidRPr="00A13412">
              <w:rPr>
                <w:sz w:val="20"/>
                <w:szCs w:val="20"/>
              </w:rPr>
              <w:t>în timp ce toate celelalte clădiri la un loc (birouri, școli, spitale, spații comerciale și alte clădiri nerezidențiale) reprezintă restul de 19% din c</w:t>
            </w:r>
            <w:r w:rsidR="00207089">
              <w:rPr>
                <w:sz w:val="20"/>
                <w:szCs w:val="20"/>
              </w:rPr>
              <w:t>onsumul total de energie finală</w:t>
            </w:r>
            <w:r w:rsidR="002525BB">
              <w:rPr>
                <w:sz w:val="20"/>
                <w:szCs w:val="20"/>
              </w:rPr>
              <w:t>.</w:t>
            </w:r>
            <w:r w:rsidR="00E521D7">
              <w:t xml:space="preserve"> </w:t>
            </w:r>
            <w:r w:rsidR="00E521D7" w:rsidRPr="00E521D7">
              <w:rPr>
                <w:sz w:val="20"/>
                <w:szCs w:val="20"/>
              </w:rPr>
              <w:t>Deși există un potențial energetic ridicat, mai ales biomasă, la nivel regional există un număr limitat de proiecte ce vizează valorificarea E-SRE si numai un sfert din energia produsă provenea din surse regenerabile (cca 23% (Eurostat, Energie din surse regenerabile: tabele și figuri 2018).</w:t>
            </w:r>
          </w:p>
          <w:p w:rsidR="0074750A" w:rsidRDefault="0074750A" w:rsidP="00E95FAC">
            <w:pPr>
              <w:pStyle w:val="Listparagraf"/>
              <w:tabs>
                <w:tab w:val="left" w:pos="0"/>
              </w:tabs>
              <w:spacing w:before="0" w:after="0" w:line="240" w:lineRule="auto"/>
              <w:ind w:left="0" w:right="33"/>
              <w:jc w:val="both"/>
              <w:rPr>
                <w:sz w:val="20"/>
                <w:szCs w:val="20"/>
              </w:rPr>
            </w:pPr>
            <w:r w:rsidRPr="00446B00">
              <w:rPr>
                <w:sz w:val="20"/>
                <w:szCs w:val="20"/>
              </w:rPr>
              <w:t>Extinderea și modernizarea infrastructurii de iluminat rămâne o prioritate pentru multe comunități locale din mediul urban si rural din Regiunea Centru, iar interesul crescut pentru îmbunătățirea infrastructurii existente și dezvoltarea unor sisteme energetice inteligente, care să răspundă nevoilor populației, este demonstrat și de portofoliul regional ce include peste 20 de proiecte înființarea/modernizarea/extinderea sistemelor de iluminat. În ciuda potențialului mare de economisire, ritmul de reabilitare/consolidare si modernizare a fondului construit regional este lent, iar gradul de acoperire cu serviciul de iluminat public la nivelul municipalităților din regiune, este relativ scăzut, inclusiv în municipiile reședințe de județ. Acest lucru se datorează in principal costurilor mari necesare realizării proiectelor de eficiență energetică.</w:t>
            </w:r>
          </w:p>
          <w:p w:rsidR="002C59D6" w:rsidRPr="00446B00" w:rsidRDefault="002C59D6" w:rsidP="00446B00">
            <w:pPr>
              <w:tabs>
                <w:tab w:val="left" w:pos="284"/>
              </w:tabs>
              <w:spacing w:after="0" w:line="240" w:lineRule="auto"/>
              <w:ind w:right="33"/>
              <w:jc w:val="both"/>
              <w:rPr>
                <w:sz w:val="20"/>
                <w:szCs w:val="20"/>
              </w:rPr>
            </w:pPr>
          </w:p>
          <w:p w:rsidR="00207089" w:rsidRPr="00D414FE" w:rsidRDefault="00207089" w:rsidP="00E95FAC">
            <w:pPr>
              <w:tabs>
                <w:tab w:val="left" w:pos="284"/>
              </w:tabs>
              <w:autoSpaceDE w:val="0"/>
              <w:autoSpaceDN w:val="0"/>
              <w:adjustRightInd w:val="0"/>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DEZVOLTARE URBANĂ</w:t>
            </w:r>
          </w:p>
          <w:p w:rsidR="00207089" w:rsidRPr="00BC32C2" w:rsidRDefault="0074750A" w:rsidP="00E95FAC">
            <w:pPr>
              <w:tabs>
                <w:tab w:val="left" w:pos="-29"/>
              </w:tabs>
              <w:autoSpaceDE w:val="0"/>
              <w:autoSpaceDN w:val="0"/>
              <w:adjustRightInd w:val="0"/>
              <w:spacing w:after="0" w:line="240" w:lineRule="auto"/>
              <w:jc w:val="both"/>
              <w:rPr>
                <w:rFonts w:ascii="Times New Roman" w:eastAsia="TimesNewRomanPSMT" w:hAnsi="Times New Roman" w:cs="Times New Roman"/>
                <w:sz w:val="20"/>
                <w:szCs w:val="20"/>
                <w:lang w:val="en-US"/>
              </w:rPr>
            </w:pPr>
            <w:r>
              <w:rPr>
                <w:rFonts w:ascii="Times New Roman" w:hAnsi="Times New Roman" w:cs="Times New Roman"/>
                <w:bCs/>
                <w:sz w:val="20"/>
                <w:szCs w:val="20"/>
              </w:rPr>
              <w:t xml:space="preserve">Cele </w:t>
            </w:r>
            <w:r w:rsidR="00207089" w:rsidRPr="00BC32C2">
              <w:rPr>
                <w:rFonts w:ascii="Times New Roman" w:hAnsi="Times New Roman" w:cs="Times New Roman"/>
                <w:bCs/>
                <w:sz w:val="20"/>
                <w:szCs w:val="20"/>
              </w:rPr>
              <w:t xml:space="preserve">57 de </w:t>
            </w:r>
            <w:r w:rsidR="00791AB4" w:rsidRPr="00BC32C2">
              <w:rPr>
                <w:rFonts w:ascii="Times New Roman" w:hAnsi="Times New Roman" w:cs="Times New Roman"/>
                <w:bCs/>
                <w:sz w:val="20"/>
                <w:szCs w:val="20"/>
              </w:rPr>
              <w:t xml:space="preserve">municipii și </w:t>
            </w:r>
            <w:r w:rsidR="00207089" w:rsidRPr="00BC32C2">
              <w:rPr>
                <w:rFonts w:ascii="Times New Roman" w:hAnsi="Times New Roman" w:cs="Times New Roman"/>
                <w:bCs/>
                <w:sz w:val="20"/>
                <w:szCs w:val="20"/>
              </w:rPr>
              <w:t>orașe, alături de zonele limitrofe</w:t>
            </w:r>
            <w:r>
              <w:rPr>
                <w:rFonts w:ascii="Times New Roman" w:hAnsi="Times New Roman" w:cs="Times New Roman"/>
                <w:bCs/>
                <w:sz w:val="20"/>
                <w:szCs w:val="20"/>
              </w:rPr>
              <w:t>,</w:t>
            </w:r>
            <w:r w:rsidR="00207089" w:rsidRPr="00BC32C2">
              <w:rPr>
                <w:rFonts w:ascii="Times New Roman" w:hAnsi="Times New Roman" w:cs="Times New Roman"/>
                <w:bCs/>
                <w:sz w:val="20"/>
                <w:szCs w:val="20"/>
              </w:rPr>
              <w:t xml:space="preserve">  adăpostesc peste jumătate din populația regiunii, ceea ce determină un consum crescut de energie și resurse</w:t>
            </w:r>
            <w:r>
              <w:rPr>
                <w:rFonts w:ascii="Times New Roman" w:hAnsi="Times New Roman" w:cs="Times New Roman"/>
                <w:bCs/>
                <w:sz w:val="20"/>
                <w:szCs w:val="20"/>
              </w:rPr>
              <w:t>.</w:t>
            </w:r>
          </w:p>
          <w:p w:rsidR="002525BB" w:rsidRPr="004B2CCD" w:rsidRDefault="009613DE" w:rsidP="004B2CCD">
            <w:pPr>
              <w:tabs>
                <w:tab w:val="left" w:pos="-29"/>
              </w:tabs>
              <w:autoSpaceDE w:val="0"/>
              <w:autoSpaceDN w:val="0"/>
              <w:adjustRightInd w:val="0"/>
              <w:spacing w:after="0" w:line="240" w:lineRule="auto"/>
              <w:jc w:val="both"/>
              <w:rPr>
                <w:rFonts w:ascii="Times New Roman" w:hAnsi="Times New Roman" w:cs="Times New Roman"/>
                <w:bCs/>
                <w:sz w:val="20"/>
                <w:szCs w:val="20"/>
              </w:rPr>
            </w:pPr>
            <w:r w:rsidRPr="00BC32C2">
              <w:rPr>
                <w:rFonts w:ascii="Times New Roman" w:hAnsi="Times New Roman" w:cs="Times New Roman"/>
                <w:bCs/>
                <w:sz w:val="20"/>
                <w:szCs w:val="20"/>
              </w:rPr>
              <w:t>R</w:t>
            </w:r>
            <w:r w:rsidR="00207089" w:rsidRPr="00BC32C2">
              <w:rPr>
                <w:rFonts w:ascii="Times New Roman" w:hAnsi="Times New Roman" w:cs="Times New Roman"/>
                <w:bCs/>
                <w:sz w:val="20"/>
                <w:szCs w:val="20"/>
              </w:rPr>
              <w:t xml:space="preserve">econfigurarea orașelor din regiune ca urmare a depopulării și/sau încetării unor activități industriale au condus la apariția unor </w:t>
            </w:r>
            <w:r w:rsidR="00207089" w:rsidRPr="00BC32C2">
              <w:rPr>
                <w:rFonts w:ascii="Times New Roman" w:eastAsia="TimesNewRomanPSMT" w:hAnsi="Times New Roman" w:cs="Times New Roman"/>
                <w:sz w:val="20"/>
                <w:szCs w:val="20"/>
              </w:rPr>
              <w:t>zone/terenuri aflate în stare avansată de degradare,</w:t>
            </w:r>
            <w:r w:rsidR="0074750A">
              <w:rPr>
                <w:rFonts w:ascii="Times New Roman" w:eastAsia="TimesNewRomanPSMT" w:hAnsi="Times New Roman" w:cs="Times New Roman"/>
                <w:sz w:val="20"/>
                <w:szCs w:val="20"/>
              </w:rPr>
              <w:t xml:space="preserve"> </w:t>
            </w:r>
            <w:r w:rsidR="00207089" w:rsidRPr="00BC32C2">
              <w:rPr>
                <w:rFonts w:ascii="Times New Roman" w:eastAsia="TimesNewRomanPSMT" w:hAnsi="Times New Roman" w:cs="Times New Roman"/>
                <w:sz w:val="20"/>
                <w:szCs w:val="20"/>
              </w:rPr>
              <w:t xml:space="preserve">care își pun amprenta asupra calității mediului și, implicit, asupra calității vieții în orașe. </w:t>
            </w:r>
            <w:r w:rsidRPr="00BC32C2">
              <w:rPr>
                <w:rFonts w:ascii="Times New Roman" w:eastAsia="TimesNewRomanPSMT" w:hAnsi="Times New Roman" w:cs="Times New Roman"/>
                <w:sz w:val="20"/>
                <w:szCs w:val="20"/>
                <w:lang w:val="en-US"/>
              </w:rPr>
              <w:t>L</w:t>
            </w:r>
            <w:r w:rsidR="00207089" w:rsidRPr="00BC32C2">
              <w:rPr>
                <w:rFonts w:ascii="Times New Roman" w:eastAsia="TimesNewRomanPSMT" w:hAnsi="Times New Roman" w:cs="Times New Roman"/>
                <w:sz w:val="20"/>
                <w:szCs w:val="20"/>
                <w:lang w:val="en-US"/>
              </w:rPr>
              <w:t>ipsa de intreținere și modernizare a spațiilor publice din interiorul orașelor a indus probleme de mediu în orașe și au afectat într-o mare măsură comunitatea locală</w:t>
            </w:r>
            <w:r w:rsidR="0074750A">
              <w:rPr>
                <w:rFonts w:ascii="Times New Roman" w:eastAsia="TimesNewRomanPSMT" w:hAnsi="Times New Roman" w:cs="Times New Roman"/>
                <w:sz w:val="20"/>
                <w:szCs w:val="20"/>
                <w:lang w:val="en-US"/>
              </w:rPr>
              <w:t>.</w:t>
            </w:r>
            <w:r w:rsidR="00207089" w:rsidRPr="00BC32C2">
              <w:rPr>
                <w:rFonts w:ascii="Times New Roman" w:eastAsia="TimesNewRomanPSMT" w:hAnsi="Times New Roman" w:cs="Times New Roman"/>
                <w:sz w:val="20"/>
                <w:szCs w:val="20"/>
                <w:lang w:val="en-US"/>
              </w:rPr>
              <w:t xml:space="preserve"> </w:t>
            </w:r>
            <w:r w:rsidR="0074750A">
              <w:rPr>
                <w:rFonts w:ascii="Times New Roman" w:eastAsia="TimesNewRomanPSMT" w:hAnsi="Times New Roman" w:cs="Times New Roman"/>
                <w:sz w:val="20"/>
                <w:szCs w:val="20"/>
              </w:rPr>
              <w:t>D</w:t>
            </w:r>
            <w:r w:rsidR="00207089" w:rsidRPr="00BC32C2">
              <w:rPr>
                <w:rFonts w:ascii="Times New Roman" w:hAnsi="Times New Roman" w:cs="Times New Roman"/>
                <w:bCs/>
                <w:sz w:val="20"/>
                <w:szCs w:val="20"/>
              </w:rPr>
              <w:t xml:space="preserve">eși în perioada 2010-2018 s-a observat și o creștere a suprafeței de spații verzi din mediul urban regional, totuși această este sub minimul stabilit de regulamentele CE (19 mp/locuitor față de minimul cerut de CE 26 mp/locuitor). </w:t>
            </w:r>
            <w:r w:rsidRPr="00BC32C2">
              <w:rPr>
                <w:rFonts w:ascii="Times New Roman" w:hAnsi="Times New Roman" w:cs="Times New Roman"/>
                <w:sz w:val="20"/>
                <w:szCs w:val="20"/>
              </w:rPr>
              <w:t>Z</w:t>
            </w:r>
            <w:r w:rsidR="00207089" w:rsidRPr="00BC32C2">
              <w:rPr>
                <w:rFonts w:ascii="Times New Roman" w:hAnsi="Times New Roman" w:cs="Times New Roman"/>
                <w:sz w:val="20"/>
                <w:szCs w:val="20"/>
              </w:rPr>
              <w:t xml:space="preserve">UF și ZM aflate în creștere rapidă, se confruntă tot mai des cu provocări de dezvoltare legate de suburbanizare, congestionarea traficului și poluare. </w:t>
            </w:r>
            <w:r w:rsidR="00207089" w:rsidRPr="00BC32C2">
              <w:rPr>
                <w:rFonts w:ascii="Times New Roman" w:hAnsi="Times New Roman" w:cs="Times New Roman"/>
                <w:bCs/>
                <w:sz w:val="20"/>
                <w:szCs w:val="20"/>
              </w:rPr>
              <w:t xml:space="preserve">Deși </w:t>
            </w:r>
            <w:r w:rsidR="00207089" w:rsidRPr="00BC32C2">
              <w:rPr>
                <w:rFonts w:ascii="Times New Roman" w:eastAsia="Calibri" w:hAnsi="Times New Roman" w:cs="Times New Roman"/>
                <w:bCs/>
                <w:iCs/>
                <w:sz w:val="20"/>
                <w:szCs w:val="20"/>
              </w:rPr>
              <w:t xml:space="preserve">numărul total de pasageri transportați în transportul public local la nivelul Regiunii Centru a crescut cu 43% în intervalul 2014-2018 (o creștere mare a acestui tip de transport s-a putut constata în municipiile mari, dar la nivelul altor municipii se observă chiar o diminuare substanțială a acestuia) acesta este încă la un nivel foarte redus în comparație cu utilizarea autoturismelor personale în deplasarea în interiorul localităților. </w:t>
            </w:r>
            <w:r w:rsidRPr="00BC32C2">
              <w:rPr>
                <w:rFonts w:ascii="Times New Roman" w:eastAsia="TimesNewRomanPSMT" w:hAnsi="Times New Roman" w:cs="Times New Roman"/>
                <w:sz w:val="20"/>
                <w:szCs w:val="20"/>
              </w:rPr>
              <w:t>G</w:t>
            </w:r>
            <w:r w:rsidR="00207089" w:rsidRPr="00BC32C2">
              <w:rPr>
                <w:rFonts w:ascii="Times New Roman" w:eastAsia="TimesNewRomanPSMT" w:hAnsi="Times New Roman" w:cs="Times New Roman"/>
                <w:sz w:val="20"/>
                <w:szCs w:val="20"/>
              </w:rPr>
              <w:t>radul de poluare în orașe a crescut și din cauza utilizării masive a transportului auto comercial, traficul de tranzit prin zona centrală a orașelor fiind o problemă în arealele urbane mai ales c</w:t>
            </w:r>
            <w:r w:rsidR="00791AB4" w:rsidRPr="00BC32C2">
              <w:rPr>
                <w:rFonts w:ascii="Times New Roman" w:eastAsia="TimesNewRomanPSMT" w:hAnsi="Times New Roman" w:cs="Times New Roman"/>
                <w:sz w:val="20"/>
                <w:szCs w:val="20"/>
              </w:rPr>
              <w:t xml:space="preserve">a </w:t>
            </w:r>
            <w:r w:rsidR="00207089" w:rsidRPr="00BC32C2">
              <w:rPr>
                <w:rFonts w:ascii="Times New Roman" w:eastAsia="TimesNewRomanPSMT" w:hAnsi="Times New Roman" w:cs="Times New Roman"/>
                <w:sz w:val="20"/>
                <w:szCs w:val="20"/>
              </w:rPr>
              <w:t xml:space="preserve">mare parte dintre acestea nu dispun de centura ocolitoare. </w:t>
            </w:r>
            <w:r w:rsidRPr="00BC32C2">
              <w:rPr>
                <w:rFonts w:ascii="Times New Roman" w:hAnsi="Times New Roman" w:cs="Times New Roman"/>
                <w:sz w:val="20"/>
                <w:szCs w:val="20"/>
              </w:rPr>
              <w:t>S</w:t>
            </w:r>
            <w:r w:rsidR="00207089" w:rsidRPr="00BC32C2">
              <w:rPr>
                <w:rFonts w:ascii="Times New Roman" w:hAnsi="Times New Roman" w:cs="Times New Roman"/>
                <w:sz w:val="20"/>
                <w:szCs w:val="20"/>
              </w:rPr>
              <w:t>e constată o creștere semnificativă a populației în orașele mici și mijlocii și în zonele rurale din jurul marilor orașe (Cisnădie, Tălmaciu – jud. Sibiu, Ghimbav, Râșnov și Săcele – jud. Brașov, Alba Iulia și Sebeș – jud. Alba) și o scădere accentuată în orașele mici din zonele montane, izolate sau foste zone monoindustriale.</w:t>
            </w:r>
            <w:r w:rsidR="0074750A">
              <w:rPr>
                <w:rFonts w:ascii="Times New Roman" w:hAnsi="Times New Roman" w:cs="Times New Roman"/>
                <w:sz w:val="20"/>
                <w:szCs w:val="20"/>
              </w:rPr>
              <w:t xml:space="preserve"> </w:t>
            </w:r>
            <w:r w:rsidRPr="00BC32C2">
              <w:rPr>
                <w:rFonts w:ascii="Times New Roman" w:hAnsi="Times New Roman" w:cs="Times New Roman"/>
                <w:bCs/>
                <w:sz w:val="20"/>
                <w:szCs w:val="20"/>
              </w:rPr>
              <w:t>S</w:t>
            </w:r>
            <w:r w:rsidR="00207089" w:rsidRPr="00BC32C2">
              <w:rPr>
                <w:rFonts w:ascii="Times New Roman" w:hAnsi="Times New Roman" w:cs="Times New Roman"/>
                <w:bCs/>
                <w:sz w:val="20"/>
                <w:szCs w:val="20"/>
              </w:rPr>
              <w:t>e observă o creştere a disparităţilor între centrele urbane mari care au beneficiat de finanţări şi oraşele mici şi mijlocii care au avut un acces redus la finanţare nerambursabilă (în special orașele monoindustriale, cu funcţii urbane diminuate, etc.).</w:t>
            </w:r>
          </w:p>
          <w:p w:rsidR="002525BB" w:rsidRPr="00BB26E6" w:rsidRDefault="002525BB" w:rsidP="00E95FAC">
            <w:pPr>
              <w:spacing w:after="0" w:line="240" w:lineRule="auto"/>
              <w:jc w:val="both"/>
              <w:rPr>
                <w:rFonts w:ascii="Times New Roman" w:hAnsi="Times New Roman" w:cs="Times New Roman"/>
                <w:iCs/>
                <w:sz w:val="20"/>
                <w:szCs w:val="20"/>
              </w:rPr>
            </w:pPr>
            <w:r w:rsidRPr="00BB26E6">
              <w:rPr>
                <w:rFonts w:ascii="Times New Roman" w:hAnsi="Times New Roman" w:cs="Times New Roman"/>
                <w:iCs/>
                <w:sz w:val="20"/>
                <w:szCs w:val="20"/>
              </w:rPr>
              <w:t>P</w:t>
            </w:r>
            <w:r>
              <w:rPr>
                <w:rFonts w:ascii="Times New Roman" w:hAnsi="Times New Roman" w:cs="Times New Roman"/>
                <w:iCs/>
                <w:sz w:val="20"/>
                <w:szCs w:val="20"/>
              </w:rPr>
              <w:t xml:space="preserve">rovocările </w:t>
            </w:r>
            <w:r w:rsidRPr="00BB26E6">
              <w:rPr>
                <w:rFonts w:ascii="Times New Roman" w:hAnsi="Times New Roman" w:cs="Times New Roman"/>
                <w:iCs/>
                <w:sz w:val="20"/>
                <w:szCs w:val="20"/>
              </w:rPr>
              <w:t xml:space="preserve">regionale în materie de EE, mobilitate și regenerare urbană </w:t>
            </w:r>
            <w:r>
              <w:rPr>
                <w:rFonts w:ascii="Times New Roman" w:hAnsi="Times New Roman" w:cs="Times New Roman"/>
                <w:iCs/>
                <w:sz w:val="20"/>
                <w:szCs w:val="20"/>
              </w:rPr>
              <w:t>corespund</w:t>
            </w:r>
            <w:r w:rsidRPr="00BB26E6">
              <w:rPr>
                <w:rFonts w:ascii="Times New Roman" w:hAnsi="Times New Roman" w:cs="Times New Roman"/>
                <w:iCs/>
                <w:sz w:val="20"/>
                <w:szCs w:val="20"/>
              </w:rPr>
              <w:t xml:space="preserve"> provocărilor prezentate în Raportul de Țară al Comisiei Europene pentru anul 2019</w:t>
            </w:r>
            <w:r w:rsidR="00512B78" w:rsidRPr="00446282">
              <w:rPr>
                <w:rStyle w:val="Referinnotdesubsol"/>
                <w:rFonts w:ascii="Times New Roman" w:hAnsi="Times New Roman" w:cs="Times New Roman"/>
                <w:sz w:val="20"/>
                <w:szCs w:val="20"/>
              </w:rPr>
              <w:footnoteReference w:id="8"/>
            </w:r>
            <w:r w:rsidR="00446B00">
              <w:rPr>
                <w:rFonts w:ascii="Times New Roman" w:hAnsi="Times New Roman" w:cs="Times New Roman"/>
                <w:iCs/>
                <w:sz w:val="20"/>
                <w:szCs w:val="20"/>
              </w:rPr>
              <w:t xml:space="preserve"> </w:t>
            </w:r>
            <w:r w:rsidRPr="00BB26E6">
              <w:rPr>
                <w:rFonts w:ascii="Times New Roman" w:hAnsi="Times New Roman" w:cs="Times New Roman"/>
                <w:iCs/>
                <w:sz w:val="20"/>
                <w:szCs w:val="20"/>
              </w:rPr>
              <w:t xml:space="preserve">ce evidențiază faptul că în România, intensitatea energetică se menține peste media UE, iar sărăcia energetică afectează o gospodărie din patru. Documentul arată că renovarea clădirilor și îmbunătățirea serviciilor de încălzire centralizată pot contribui în mod semnificativ la creșterea eficienței energetice și pot sprijini tranziția către o economie cu emisii scăzute de dioxid de carbon, iar </w:t>
            </w:r>
            <w:r w:rsidRPr="00BB26E6">
              <w:rPr>
                <w:rFonts w:ascii="Times New Roman" w:hAnsi="Times New Roman" w:cs="Times New Roman"/>
                <w:iCs/>
                <w:sz w:val="20"/>
                <w:szCs w:val="20"/>
              </w:rPr>
              <w:lastRenderedPageBreak/>
              <w:t>calitatea scăzută a infrastructurii de transport afectează timpul de transport și limitează mobilitatea forței de muncă, generând costuri suplimentare pentru întreprinderi, subminând, de asemenea, deciziile de investiții ale întreprinderilor. Aceste provocări sunt semnalate și în Raportul de Țară al Comisiei Europene pentru anul 2020</w:t>
            </w:r>
            <w:r w:rsidRPr="00BB26E6">
              <w:rPr>
                <w:rFonts w:ascii="Times New Roman" w:hAnsi="Times New Roman" w:cs="Times New Roman"/>
                <w:b/>
                <w:bCs/>
                <w:iCs/>
                <w:sz w:val="20"/>
                <w:szCs w:val="20"/>
              </w:rPr>
              <w:footnoteReference w:customMarkFollows="1" w:id="9"/>
              <w:t>[2]</w:t>
            </w:r>
            <w:r w:rsidRPr="00BB26E6">
              <w:rPr>
                <w:rFonts w:ascii="Times New Roman" w:hAnsi="Times New Roman" w:cs="Times New Roman"/>
                <w:iCs/>
                <w:sz w:val="20"/>
                <w:szCs w:val="20"/>
              </w:rPr>
              <w:t xml:space="preserve"> care indică progrese mici în ceea ce privește reducerea consumului de energie în clădirile publice și rezidențiale. De asemenea, s-a constatat că investițiile în infrastructuri durabile de transport, de energie și de mediu (pentru deșeuri, ape reziduale și poluarea aerului) sunt insuficiente, iar cele în domeniul eficienței energetice se mențin la un nivel scăzut. Documentul mai arată că în pofida ponderii ridicate a surselor regenerabile de energie (mai ales biomasă), aprovizionarea cu energie rămâne sursa cea mai importantă de emisii de GES.</w:t>
            </w:r>
          </w:p>
          <w:p w:rsidR="002C59D6" w:rsidRPr="00D414FE" w:rsidRDefault="002C59D6" w:rsidP="00E95FAC">
            <w:pPr>
              <w:spacing w:after="0" w:line="240" w:lineRule="auto"/>
              <w:jc w:val="both"/>
              <w:rPr>
                <w:rFonts w:ascii="Times New Roman" w:hAnsi="Times New Roman" w:cs="Times New Roman"/>
                <w:b/>
                <w:sz w:val="20"/>
                <w:szCs w:val="20"/>
              </w:rPr>
            </w:pPr>
          </w:p>
          <w:p w:rsidR="00002D81" w:rsidRPr="00002D81" w:rsidRDefault="002C59D6" w:rsidP="00E95FAC">
            <w:pPr>
              <w:spacing w:after="0" w:line="240" w:lineRule="auto"/>
              <w:jc w:val="both"/>
              <w:rPr>
                <w:rFonts w:ascii="Times New Roman" w:hAnsi="Times New Roman" w:cs="Times New Roman"/>
                <w:b/>
                <w:sz w:val="20"/>
                <w:szCs w:val="20"/>
              </w:rPr>
            </w:pPr>
            <w:r w:rsidRPr="00002D81">
              <w:rPr>
                <w:rFonts w:ascii="Times New Roman" w:hAnsi="Times New Roman" w:cs="Times New Roman"/>
                <w:b/>
                <w:sz w:val="20"/>
                <w:szCs w:val="20"/>
              </w:rPr>
              <w:t xml:space="preserve">CONECTIVITATEA </w:t>
            </w:r>
          </w:p>
          <w:p w:rsidR="002C59D6" w:rsidRPr="00002D81" w:rsidRDefault="002C59D6" w:rsidP="00E95FAC">
            <w:pPr>
              <w:spacing w:after="0" w:line="240" w:lineRule="auto"/>
              <w:jc w:val="both"/>
              <w:rPr>
                <w:rFonts w:ascii="Times New Roman" w:hAnsi="Times New Roman" w:cs="Times New Roman"/>
                <w:bCs/>
                <w:sz w:val="20"/>
                <w:szCs w:val="20"/>
              </w:rPr>
            </w:pPr>
            <w:r w:rsidRPr="00002D81">
              <w:rPr>
                <w:rFonts w:ascii="Times New Roman" w:hAnsi="Times New Roman" w:cs="Times New Roman"/>
                <w:bCs/>
                <w:sz w:val="20"/>
                <w:szCs w:val="20"/>
              </w:rPr>
              <w:t xml:space="preserve">Conectarea regiunii </w:t>
            </w:r>
            <w:r w:rsidR="009613DE" w:rsidRPr="00002D81">
              <w:rPr>
                <w:rFonts w:ascii="Times New Roman" w:hAnsi="Times New Roman" w:cs="Times New Roman"/>
                <w:bCs/>
                <w:sz w:val="20"/>
                <w:szCs w:val="20"/>
              </w:rPr>
              <w:t xml:space="preserve">Centru </w:t>
            </w:r>
            <w:r w:rsidRPr="00002D81">
              <w:rPr>
                <w:rFonts w:ascii="Times New Roman" w:hAnsi="Times New Roman" w:cs="Times New Roman"/>
                <w:bCs/>
                <w:sz w:val="20"/>
                <w:szCs w:val="20"/>
              </w:rPr>
              <w:t>la TEN-T este inegal repartizată</w:t>
            </w:r>
            <w:r w:rsidR="009613DE" w:rsidRPr="00002D81">
              <w:rPr>
                <w:rFonts w:ascii="Times New Roman" w:hAnsi="Times New Roman" w:cs="Times New Roman"/>
                <w:bCs/>
                <w:sz w:val="20"/>
                <w:szCs w:val="20"/>
              </w:rPr>
              <w:t xml:space="preserve">. </w:t>
            </w:r>
            <w:r w:rsidRPr="00002D81">
              <w:rPr>
                <w:rFonts w:ascii="Times New Roman" w:hAnsi="Times New Roman" w:cs="Times New Roman"/>
                <w:bCs/>
                <w:sz w:val="20"/>
                <w:szCs w:val="20"/>
              </w:rPr>
              <w:t>În rețea</w:t>
            </w:r>
            <w:r w:rsidR="006B1B7A">
              <w:rPr>
                <w:rFonts w:ascii="Times New Roman" w:hAnsi="Times New Roman" w:cs="Times New Roman"/>
                <w:bCs/>
                <w:sz w:val="20"/>
                <w:szCs w:val="20"/>
              </w:rPr>
              <w:t>ua</w:t>
            </w:r>
            <w:r w:rsidRPr="00002D81">
              <w:rPr>
                <w:rFonts w:ascii="Times New Roman" w:hAnsi="Times New Roman" w:cs="Times New Roman"/>
                <w:bCs/>
                <w:sz w:val="20"/>
                <w:szCs w:val="20"/>
              </w:rPr>
              <w:t xml:space="preserve"> </w:t>
            </w:r>
            <w:r w:rsidR="006B1B7A">
              <w:rPr>
                <w:rFonts w:ascii="Times New Roman" w:hAnsi="Times New Roman" w:cs="Times New Roman"/>
                <w:bCs/>
                <w:sz w:val="20"/>
                <w:szCs w:val="20"/>
              </w:rPr>
              <w:t xml:space="preserve">regională </w:t>
            </w:r>
            <w:r w:rsidRPr="00002D81">
              <w:rPr>
                <w:rFonts w:ascii="Times New Roman" w:hAnsi="Times New Roman" w:cs="Times New Roman"/>
                <w:bCs/>
                <w:sz w:val="20"/>
                <w:szCs w:val="20"/>
              </w:rPr>
              <w:t>de drumuri un rol important au drumurile județene care asigură conectivitatea cu drumurile naționale, europene și rețeaua TEN-T. Ele asigură accesibilitatea pentru un număr important de orașe care nu sunt conectate la rețeaua de drumuri naționale și europene, la unele zone turistice sau economice importante din Regiune. În toate județele regiunii există orașe care nu sunt traversate de drumuri naționale, drumurile județene preluând rolul acestora.</w:t>
            </w:r>
          </w:p>
          <w:p w:rsidR="002C59D6" w:rsidRPr="00002D81" w:rsidRDefault="002C59D6" w:rsidP="00E95FAC">
            <w:pPr>
              <w:spacing w:after="0" w:line="240" w:lineRule="auto"/>
              <w:jc w:val="both"/>
              <w:rPr>
                <w:rFonts w:ascii="Times New Roman" w:hAnsi="Times New Roman" w:cs="Times New Roman"/>
                <w:bCs/>
                <w:sz w:val="20"/>
                <w:szCs w:val="20"/>
              </w:rPr>
            </w:pPr>
            <w:r w:rsidRPr="00002D81">
              <w:rPr>
                <w:rFonts w:ascii="Times New Roman" w:hAnsi="Times New Roman" w:cs="Times New Roman"/>
                <w:bCs/>
                <w:sz w:val="20"/>
                <w:szCs w:val="20"/>
              </w:rPr>
              <w:t>Infrastructura de drumuri județene alături de cea de drumuri comunale reprezintă aproape 80% din lungimea rețelei rutiere a Regiunii, având o importanță majoră pentru dezvoltarea locală și regională. 47% din suprafața regiunii este acoperită de zone montane, accesibilitatea spre aceste zone realizându-se în principal prin intermediul drumurilor județene.</w:t>
            </w:r>
          </w:p>
          <w:p w:rsidR="002C59D6" w:rsidRPr="00002D81" w:rsidRDefault="002C59D6" w:rsidP="00E95FAC">
            <w:pPr>
              <w:spacing w:after="0" w:line="240" w:lineRule="auto"/>
              <w:jc w:val="both"/>
              <w:rPr>
                <w:rFonts w:ascii="Times New Roman" w:hAnsi="Times New Roman" w:cs="Times New Roman"/>
                <w:bCs/>
                <w:sz w:val="20"/>
                <w:szCs w:val="20"/>
              </w:rPr>
            </w:pPr>
            <w:r w:rsidRPr="00002D81">
              <w:rPr>
                <w:rFonts w:ascii="Times New Roman" w:hAnsi="Times New Roman" w:cs="Times New Roman"/>
                <w:bCs/>
                <w:sz w:val="20"/>
                <w:szCs w:val="20"/>
              </w:rPr>
              <w:t>Deși suficient de extinsă și acoperind întreaga rețea de comune și orașe, infrastructura de drumuri județene este deficitară în ce privește calitatea și starea tehnică. Drumurile nemodernizate pot deveni greu practicabile în anumite perioade, în special în anotimpul rece, ducând la cvasi-izolarea localităților pe care le deservesc, de asemenea, ele sunt parcurse în perioade lungi de timp din cauza condițiilor. Din totalul drumurilor județene existente la nivel regional doar 55,72% dintre acestea sunt modernizate.</w:t>
            </w:r>
          </w:p>
          <w:p w:rsidR="00002D81" w:rsidRPr="00002D81" w:rsidRDefault="002C59D6" w:rsidP="00E95FAC">
            <w:pPr>
              <w:spacing w:after="0" w:line="240" w:lineRule="auto"/>
              <w:jc w:val="both"/>
              <w:rPr>
                <w:rFonts w:ascii="Times New Roman" w:hAnsi="Times New Roman" w:cs="Times New Roman"/>
                <w:bCs/>
                <w:sz w:val="20"/>
                <w:szCs w:val="20"/>
              </w:rPr>
            </w:pPr>
            <w:r w:rsidRPr="00002D81">
              <w:rPr>
                <w:rFonts w:ascii="Times New Roman" w:hAnsi="Times New Roman" w:cs="Times New Roman"/>
                <w:bCs/>
                <w:sz w:val="20"/>
                <w:szCs w:val="20"/>
              </w:rPr>
              <w:t>De asemenea din punct de vedere al accesibilități regionale o problemă o reprezintă dezvoltarea insuficientă a centurilor ocolitoare, mai ales la nivelul municipiilor și orașelor care sunt traversate de drumuri europene și naționale, care duce la o congestionare a traficului în cadrul acestora datorat traficului greu și de tranzit, determinând probleme de mediu și de siguranță în interiorul orașelor.</w:t>
            </w:r>
          </w:p>
          <w:p w:rsidR="002C59D6" w:rsidRPr="00D414FE" w:rsidRDefault="002C59D6" w:rsidP="00E95FAC">
            <w:pPr>
              <w:spacing w:after="0" w:line="240" w:lineRule="auto"/>
              <w:jc w:val="both"/>
              <w:rPr>
                <w:rFonts w:ascii="Times New Roman" w:hAnsi="Times New Roman" w:cs="Times New Roman"/>
                <w:sz w:val="20"/>
                <w:szCs w:val="20"/>
              </w:rPr>
            </w:pPr>
          </w:p>
          <w:p w:rsidR="00002D81" w:rsidRPr="00D414FE" w:rsidRDefault="002C59D6" w:rsidP="00E95FAC">
            <w:pPr>
              <w:spacing w:after="0" w:line="240" w:lineRule="auto"/>
              <w:jc w:val="both"/>
              <w:rPr>
                <w:rFonts w:ascii="Times New Roman" w:hAnsi="Times New Roman" w:cs="Times New Roman"/>
                <w:b/>
                <w:sz w:val="20"/>
                <w:szCs w:val="20"/>
              </w:rPr>
            </w:pPr>
            <w:r w:rsidRPr="00D414FE">
              <w:rPr>
                <w:rFonts w:ascii="Times New Roman" w:hAnsi="Times New Roman" w:cs="Times New Roman"/>
                <w:b/>
                <w:sz w:val="20"/>
                <w:szCs w:val="20"/>
              </w:rPr>
              <w:t>EDUCAȚIE, OCUPARE, INCLUZIUNE SOCIALĂ</w:t>
            </w:r>
          </w:p>
          <w:p w:rsidR="002B7E8C" w:rsidRPr="002B7E8C" w:rsidRDefault="002B7E8C" w:rsidP="002B7E8C">
            <w:pPr>
              <w:spacing w:after="0" w:line="240" w:lineRule="auto"/>
              <w:jc w:val="both"/>
              <w:rPr>
                <w:rFonts w:ascii="Times New Roman" w:hAnsi="Times New Roman" w:cs="Times New Roman"/>
                <w:sz w:val="20"/>
                <w:szCs w:val="20"/>
              </w:rPr>
            </w:pPr>
            <w:r w:rsidRPr="002B7E8C">
              <w:rPr>
                <w:rFonts w:ascii="Times New Roman" w:hAnsi="Times New Roman" w:cs="Times New Roman"/>
                <w:sz w:val="20"/>
                <w:szCs w:val="20"/>
              </w:rPr>
              <w:t>Șansele inegale de acces la o educație de calitate pentru toți elevii și incluzivă afectează în continuare în special copiii din comunitățile și grupurile vulnerabile</w:t>
            </w:r>
            <w:r w:rsidRPr="002B7E8C">
              <w:rPr>
                <w:rFonts w:ascii="Times New Roman" w:hAnsi="Times New Roman" w:cs="Times New Roman"/>
                <w:color w:val="FF0000"/>
                <w:sz w:val="20"/>
                <w:szCs w:val="20"/>
              </w:rPr>
              <w:t xml:space="preserve">. </w:t>
            </w:r>
            <w:r w:rsidRPr="002B7E8C">
              <w:rPr>
                <w:rFonts w:ascii="Times New Roman" w:hAnsi="Times New Roman" w:cs="Times New Roman"/>
                <w:sz w:val="20"/>
                <w:szCs w:val="20"/>
              </w:rPr>
              <w:t>Părăsirea timpurie a școlii în Regiunea Centru era de 18,8% în 2018, față de o medie națională de 16,4 %, aceste valori fiind aproape duble față de cele de la nivelul UE (10,5% în anul 2018). Rata de cuprindere în educația preșcolară a copiilor cu vârste între 4 ani și vârsta pentru înscrierea obligatorie la școala primară era de 89,6%</w:t>
            </w:r>
            <w:r w:rsidRPr="002B7E8C">
              <w:rPr>
                <w:rStyle w:val="Referinnotdesubsol"/>
                <w:rFonts w:ascii="Times New Roman" w:hAnsi="Times New Roman" w:cs="Times New Roman"/>
                <w:sz w:val="20"/>
                <w:szCs w:val="20"/>
              </w:rPr>
              <w:footnoteReference w:customMarkFollows="1" w:id="10"/>
              <w:t>[1]</w:t>
            </w:r>
            <w:r w:rsidRPr="002B7E8C">
              <w:rPr>
                <w:rFonts w:ascii="Times New Roman" w:hAnsi="Times New Roman" w:cs="Times New Roman"/>
                <w:sz w:val="20"/>
                <w:szCs w:val="20"/>
              </w:rPr>
              <w:t xml:space="preserve">, în anul 2017, sub media europeană de 94,5%. Grupa de vârstă 0-17 ani este segmentul cel mai afectat de fenomenul sărăciei și excluziunii sociale (38,1%). În același timp există un decalaj în ceea ce privește accesul la educație între mediile de rezidență și între categorii sociale. </w:t>
            </w:r>
          </w:p>
          <w:p w:rsidR="002B7E8C" w:rsidRPr="002B7E8C" w:rsidRDefault="002B7E8C" w:rsidP="002B7E8C">
            <w:pPr>
              <w:pStyle w:val="Listparagraf"/>
              <w:spacing w:before="0" w:after="0" w:line="240" w:lineRule="auto"/>
              <w:ind w:left="0"/>
              <w:jc w:val="both"/>
              <w:rPr>
                <w:sz w:val="20"/>
                <w:szCs w:val="20"/>
              </w:rPr>
            </w:pPr>
            <w:r w:rsidRPr="002B7E8C">
              <w:rPr>
                <w:sz w:val="20"/>
                <w:szCs w:val="20"/>
              </w:rPr>
              <w:t xml:space="preserve">Rezultatele testelor PISA pentru anul 2018 relevă o relaționare scăzută între oferta educațională și nevoile de competențe pentru piata muncii. </w:t>
            </w:r>
            <w:r w:rsidRPr="002B7E8C">
              <w:rPr>
                <w:color w:val="1F497D"/>
                <w:sz w:val="20"/>
                <w:szCs w:val="20"/>
              </w:rPr>
              <w:t> </w:t>
            </w:r>
            <w:r w:rsidRPr="002B7E8C">
              <w:rPr>
                <w:sz w:val="20"/>
                <w:szCs w:val="20"/>
              </w:rPr>
              <w:t>Aceste rezultate slabe împiedică formarea competențelor de bază pentru piața muncii.</w:t>
            </w:r>
          </w:p>
          <w:p w:rsidR="002B7E8C" w:rsidRPr="002B7E8C" w:rsidRDefault="002B7E8C" w:rsidP="002B7E8C">
            <w:pPr>
              <w:pStyle w:val="Listparagraf"/>
              <w:spacing w:before="0" w:after="0" w:line="240" w:lineRule="auto"/>
              <w:ind w:left="0"/>
              <w:jc w:val="both"/>
              <w:rPr>
                <w:sz w:val="20"/>
                <w:szCs w:val="20"/>
              </w:rPr>
            </w:pPr>
            <w:r w:rsidRPr="002B7E8C">
              <w:rPr>
                <w:sz w:val="20"/>
                <w:szCs w:val="20"/>
              </w:rPr>
              <w:t>Capacitatea de integrare a absolvenților/tinerilor pe piața muncii este redusă, ponderea NEET în grupa de vârstă 18-24 de ani era 27,6% în anul 2019, cea mai mare ponder</w:t>
            </w:r>
            <w:r>
              <w:rPr>
                <w:sz w:val="20"/>
                <w:szCs w:val="20"/>
              </w:rPr>
              <w:t>e a tinerilor NEET din România.</w:t>
            </w:r>
            <w:r w:rsidRPr="002B7E8C">
              <w:rPr>
                <w:sz w:val="20"/>
                <w:szCs w:val="20"/>
              </w:rPr>
              <w:t xml:space="preserve"> Ponderea persoanelor cu studii superioare în totalul populației din grupa de vârstă 30-34 de ani era în 20</w:t>
            </w:r>
            <w:r>
              <w:rPr>
                <w:sz w:val="20"/>
                <w:szCs w:val="20"/>
              </w:rPr>
              <w:t xml:space="preserve">17 de 26,6% la nivel regional, </w:t>
            </w:r>
            <w:r w:rsidRPr="002B7E8C">
              <w:rPr>
                <w:sz w:val="20"/>
                <w:szCs w:val="20"/>
              </w:rPr>
              <w:t>mult sub media Uniunii Europene de 39,9%. ÎPT și universitar trebuie să facă față nevoilor de competențe actuale în timp ce sistemul de învățământ nu poate ține pasul cu adaptarea echipamentelor didactice la evoluția tehnologică.</w:t>
            </w:r>
          </w:p>
          <w:p w:rsidR="002B7E8C" w:rsidRPr="002B7E8C" w:rsidRDefault="002B7E8C" w:rsidP="002B7E8C">
            <w:pPr>
              <w:spacing w:after="0" w:line="240" w:lineRule="auto"/>
              <w:jc w:val="both"/>
              <w:rPr>
                <w:rFonts w:ascii="Times New Roman" w:hAnsi="Times New Roman" w:cs="Times New Roman"/>
                <w:sz w:val="20"/>
                <w:szCs w:val="20"/>
                <w:lang w:val="en-US"/>
              </w:rPr>
            </w:pPr>
            <w:r w:rsidRPr="002B7E8C">
              <w:rPr>
                <w:rFonts w:ascii="Times New Roman" w:hAnsi="Times New Roman" w:cs="Times New Roman"/>
                <w:sz w:val="20"/>
                <w:szCs w:val="20"/>
              </w:rPr>
              <w:t>Cheltuielile cu educația în România sunt cele mai mici din Uniunea Europeană, doar 3,2% din PIB față de o medie a UE 28 de 4,6%, în 2018,</w:t>
            </w:r>
            <w:r w:rsidRPr="002B7E8C">
              <w:rPr>
                <w:rStyle w:val="Referinnotdesubsol"/>
                <w:rFonts w:ascii="Times New Roman" w:hAnsi="Times New Roman" w:cs="Times New Roman"/>
                <w:sz w:val="20"/>
                <w:szCs w:val="20"/>
              </w:rPr>
              <w:footnoteReference w:customMarkFollows="1" w:id="11"/>
              <w:t>[3]</w:t>
            </w:r>
            <w:r w:rsidRPr="002B7E8C">
              <w:rPr>
                <w:rFonts w:ascii="Times New Roman" w:hAnsi="Times New Roman" w:cs="Times New Roman"/>
                <w:sz w:val="20"/>
                <w:szCs w:val="20"/>
              </w:rPr>
              <w:t xml:space="preserve"> această subfinanțare afectând atât investițiile majore în sistemul de educație, disponibilitatea personalul didactic cât și modernizarea infrastructurii școlare.</w:t>
            </w:r>
          </w:p>
          <w:p w:rsidR="002B7E8C" w:rsidRPr="002B7E8C" w:rsidRDefault="002B7E8C" w:rsidP="002B7E8C">
            <w:pPr>
              <w:spacing w:after="0" w:line="240" w:lineRule="auto"/>
              <w:jc w:val="both"/>
              <w:rPr>
                <w:rFonts w:ascii="Times New Roman" w:hAnsi="Times New Roman" w:cs="Times New Roman"/>
                <w:i/>
                <w:iCs/>
                <w:sz w:val="20"/>
                <w:szCs w:val="20"/>
              </w:rPr>
            </w:pPr>
            <w:r w:rsidRPr="002B7E8C">
              <w:rPr>
                <w:rFonts w:ascii="Times New Roman" w:hAnsi="Times New Roman" w:cs="Times New Roman"/>
                <w:sz w:val="20"/>
                <w:szCs w:val="20"/>
              </w:rPr>
              <w:t>Pandemia SARS-COV- 2 necesită o abordare specială pentru adaptarea sistemului de educație la soluțiile online sau la distanță și acordarea de șanse de acces la educație în special copiilor din comunitățile și grupurile dezavantajate care au fost cel mai afectați de lispa infrastructurii în acestă perioadă critică.</w:t>
            </w:r>
          </w:p>
          <w:p w:rsidR="002B7E8C" w:rsidRPr="002B7E8C" w:rsidRDefault="002B7E8C" w:rsidP="002B7E8C">
            <w:pPr>
              <w:spacing w:after="0" w:line="240" w:lineRule="auto"/>
              <w:jc w:val="both"/>
              <w:rPr>
                <w:rFonts w:ascii="Times New Roman" w:hAnsi="Times New Roman" w:cs="Times New Roman"/>
                <w:b/>
                <w:bCs/>
                <w:i/>
                <w:iCs/>
                <w:sz w:val="20"/>
                <w:szCs w:val="20"/>
              </w:rPr>
            </w:pPr>
            <w:r w:rsidRPr="002B7E8C">
              <w:rPr>
                <w:rFonts w:ascii="Times New Roman" w:hAnsi="Times New Roman" w:cs="Times New Roman"/>
                <w:sz w:val="20"/>
                <w:szCs w:val="20"/>
              </w:rPr>
              <w:t>Provocările pe care România nu a reușit să le depășească: participarea redusă la educație și îngrijirea timpurie calitatea și caracterul incluziv al sistemului de educație; relevanța redusă pentru piața forței de muncă a educației și formării profesionale afectează perspectivele de angajare ale absolvenților; participarea la învățământul superior este redusă și rămâne insuficient aliniată la nevoile pieței forței de muncă; dobândirea de competențe digitale rămâne limitată.</w:t>
            </w:r>
          </w:p>
          <w:p w:rsidR="002C59D6" w:rsidRPr="00D414FE" w:rsidRDefault="002C59D6" w:rsidP="00E95FAC">
            <w:pPr>
              <w:spacing w:after="0" w:line="240" w:lineRule="auto"/>
              <w:jc w:val="both"/>
              <w:rPr>
                <w:rFonts w:ascii="Times New Roman" w:hAnsi="Times New Roman" w:cs="Times New Roman"/>
                <w:sz w:val="20"/>
                <w:szCs w:val="20"/>
              </w:rPr>
            </w:pPr>
          </w:p>
          <w:p w:rsidR="00002D81" w:rsidRPr="00F87F2A" w:rsidRDefault="002C59D6" w:rsidP="00446B00">
            <w:pPr>
              <w:spacing w:after="0" w:line="240" w:lineRule="auto"/>
              <w:ind w:left="284" w:hanging="284"/>
              <w:jc w:val="both"/>
            </w:pPr>
            <w:r w:rsidRPr="00F87F2A">
              <w:rPr>
                <w:rFonts w:ascii="Times New Roman" w:hAnsi="Times New Roman" w:cs="Times New Roman"/>
                <w:b/>
                <w:sz w:val="20"/>
                <w:szCs w:val="20"/>
              </w:rPr>
              <w:t xml:space="preserve">TURISM </w:t>
            </w:r>
            <w:r w:rsidR="00F87F2A">
              <w:rPr>
                <w:rFonts w:ascii="Times New Roman" w:hAnsi="Times New Roman" w:cs="Times New Roman"/>
                <w:b/>
                <w:sz w:val="20"/>
                <w:szCs w:val="20"/>
              </w:rPr>
              <w:t xml:space="preserve">, </w:t>
            </w:r>
            <w:r w:rsidRPr="00F87F2A">
              <w:rPr>
                <w:rFonts w:ascii="Times New Roman" w:hAnsi="Times New Roman" w:cs="Times New Roman"/>
                <w:b/>
                <w:sz w:val="20"/>
                <w:szCs w:val="20"/>
              </w:rPr>
              <w:t xml:space="preserve">PATRIMONIU </w:t>
            </w:r>
            <w:r w:rsidR="00F87F2A">
              <w:rPr>
                <w:rFonts w:ascii="Times New Roman" w:hAnsi="Times New Roman" w:cs="Times New Roman"/>
                <w:b/>
                <w:sz w:val="20"/>
                <w:szCs w:val="20"/>
              </w:rPr>
              <w:t>și CULTURA</w:t>
            </w:r>
          </w:p>
          <w:p w:rsidR="00002D81" w:rsidRPr="00F87F2A" w:rsidRDefault="00002D81" w:rsidP="00E95FAC">
            <w:pPr>
              <w:spacing w:after="0" w:line="240" w:lineRule="auto"/>
              <w:jc w:val="both"/>
              <w:rPr>
                <w:rFonts w:ascii="Times New Roman" w:hAnsi="Times New Roman" w:cs="Times New Roman"/>
                <w:sz w:val="20"/>
                <w:szCs w:val="20"/>
              </w:rPr>
            </w:pPr>
            <w:r w:rsidRPr="00F87F2A">
              <w:rPr>
                <w:rFonts w:ascii="Times New Roman" w:hAnsi="Times New Roman" w:cs="Times New Roman"/>
                <w:sz w:val="20"/>
                <w:szCs w:val="20"/>
              </w:rPr>
              <w:lastRenderedPageBreak/>
              <w:t>În ultimii ani Regiunea Centru s-a situat pe primul loc la nivel național în ceea privește numărul de sosiri în structurile cu funcțiuni turistice, având peste 3,14 milioane sosiri în 2019. Formele de turism cu cel mai ridicat potențial de dezvoltare din regiune sunt turismul balnear, turismul montan și turismul cultural. Cu toate că există un potential imens în privința resurselor, atractivitatea turistică este compromisă de modul defectuos de exploatare și promovare a acestor resurse.</w:t>
            </w:r>
          </w:p>
          <w:p w:rsidR="00F87F2A" w:rsidRPr="00F87F2A" w:rsidRDefault="00F87F2A" w:rsidP="00E95FAC">
            <w:pPr>
              <w:spacing w:after="0" w:line="240" w:lineRule="auto"/>
              <w:jc w:val="both"/>
              <w:rPr>
                <w:rFonts w:ascii="Times New Roman" w:hAnsi="Times New Roman" w:cs="Times New Roman"/>
                <w:sz w:val="20"/>
                <w:szCs w:val="20"/>
              </w:rPr>
            </w:pPr>
            <w:r w:rsidRPr="00F87F2A">
              <w:rPr>
                <w:rFonts w:ascii="Times New Roman" w:hAnsi="Times New Roman" w:cs="Times New Roman"/>
                <w:sz w:val="20"/>
                <w:szCs w:val="20"/>
              </w:rPr>
              <w:t>Cu toate că Regiunea Centru ocupă primul loc pe țară ca număr de turiști și capacitate de cazare în funcțiune, indicele de utilizare a capacității de cazare în funcțiune este la un nivel scăzut: 30,5% față de cca 34% la nivel national.</w:t>
            </w:r>
          </w:p>
          <w:p w:rsidR="00F87F2A" w:rsidRPr="00F87F2A" w:rsidRDefault="00002D81" w:rsidP="00E95FAC">
            <w:pPr>
              <w:spacing w:after="0" w:line="240" w:lineRule="auto"/>
              <w:jc w:val="both"/>
              <w:rPr>
                <w:rFonts w:ascii="Times New Roman" w:hAnsi="Times New Roman" w:cs="Times New Roman"/>
                <w:bCs/>
                <w:noProof/>
                <w:sz w:val="20"/>
                <w:szCs w:val="20"/>
              </w:rPr>
            </w:pPr>
            <w:r w:rsidRPr="00F87F2A">
              <w:rPr>
                <w:rFonts w:ascii="Times New Roman" w:hAnsi="Times New Roman" w:cs="Times New Roman"/>
                <w:noProof/>
                <w:sz w:val="20"/>
                <w:szCs w:val="20"/>
              </w:rPr>
              <w:t xml:space="preserve">În ultimii ani s-au derulat </w:t>
            </w:r>
            <w:r w:rsidR="00F87F2A" w:rsidRPr="00F87F2A">
              <w:rPr>
                <w:rFonts w:ascii="Times New Roman" w:hAnsi="Times New Roman" w:cs="Times New Roman"/>
                <w:noProof/>
                <w:sz w:val="20"/>
                <w:szCs w:val="20"/>
              </w:rPr>
              <w:t>o serie de</w:t>
            </w:r>
            <w:r w:rsidRPr="00F87F2A">
              <w:rPr>
                <w:rFonts w:ascii="Times New Roman" w:hAnsi="Times New Roman" w:cs="Times New Roman"/>
                <w:noProof/>
                <w:sz w:val="20"/>
                <w:szCs w:val="20"/>
              </w:rPr>
              <w:t xml:space="preserve"> proiecte de reabilitare și modernizare a stațiunilor din Regiunea Centru, impactul pozitiv</w:t>
            </w:r>
            <w:r w:rsidR="00F87F2A" w:rsidRPr="00F87F2A">
              <w:rPr>
                <w:rFonts w:ascii="Times New Roman" w:hAnsi="Times New Roman" w:cs="Times New Roman"/>
                <w:noProof/>
                <w:sz w:val="20"/>
                <w:szCs w:val="20"/>
              </w:rPr>
              <w:t xml:space="preserve"> al acestora fiind deja vizibil, dar nevoile de finanțare mai sunt necesare in continuare. </w:t>
            </w:r>
            <w:r w:rsidR="00975C60">
              <w:rPr>
                <w:rFonts w:ascii="Times New Roman" w:hAnsi="Times New Roman" w:cs="Times New Roman"/>
                <w:noProof/>
                <w:sz w:val="20"/>
                <w:szCs w:val="20"/>
              </w:rPr>
              <w:t>D</w:t>
            </w:r>
            <w:r w:rsidR="00F87F2A" w:rsidRPr="00F87F2A">
              <w:rPr>
                <w:rFonts w:ascii="Times New Roman" w:hAnsi="Times New Roman" w:cs="Times New Roman"/>
                <w:noProof/>
                <w:sz w:val="20"/>
                <w:szCs w:val="20"/>
              </w:rPr>
              <w:t>oar 6 stațiuni balneoclimatice au fost acreditate</w:t>
            </w:r>
            <w:r w:rsidR="00975C60">
              <w:rPr>
                <w:rFonts w:ascii="Times New Roman" w:hAnsi="Times New Roman" w:cs="Times New Roman"/>
                <w:noProof/>
                <w:sz w:val="20"/>
                <w:szCs w:val="20"/>
              </w:rPr>
              <w:t xml:space="preserve"> în Regiune</w:t>
            </w:r>
            <w:r w:rsidR="00F87F2A" w:rsidRPr="00F87F2A">
              <w:rPr>
                <w:rFonts w:ascii="Times New Roman" w:hAnsi="Times New Roman" w:cs="Times New Roman"/>
                <w:noProof/>
                <w:sz w:val="20"/>
                <w:szCs w:val="20"/>
              </w:rPr>
              <w:t>, în comparație cu cele 40 localități în care există resurse balneare atestate</w:t>
            </w:r>
            <w:r w:rsidR="00AA730A">
              <w:rPr>
                <w:rFonts w:ascii="Times New Roman" w:hAnsi="Times New Roman" w:cs="Times New Roman"/>
                <w:noProof/>
                <w:sz w:val="20"/>
                <w:szCs w:val="20"/>
              </w:rPr>
              <w:t xml:space="preserve">, dar care nu sunt </w:t>
            </w:r>
            <w:r w:rsidR="00AA730A" w:rsidRPr="00F87F2A">
              <w:rPr>
                <w:rFonts w:ascii="Times New Roman" w:hAnsi="Times New Roman" w:cs="Times New Roman"/>
                <w:noProof/>
                <w:sz w:val="20"/>
                <w:szCs w:val="20"/>
              </w:rPr>
              <w:t>exploatate din lipsa bazelor de tratament şi a infrastructurii turistice</w:t>
            </w:r>
            <w:r w:rsidR="00F87F2A" w:rsidRPr="00F87F2A">
              <w:rPr>
                <w:rFonts w:ascii="Times New Roman" w:hAnsi="Times New Roman" w:cs="Times New Roman"/>
                <w:noProof/>
                <w:sz w:val="20"/>
                <w:szCs w:val="20"/>
              </w:rPr>
              <w:t xml:space="preserve">. </w:t>
            </w:r>
          </w:p>
          <w:p w:rsidR="00002D81" w:rsidRPr="00F87F2A" w:rsidRDefault="00002D81" w:rsidP="00E95FAC">
            <w:pPr>
              <w:autoSpaceDE w:val="0"/>
              <w:autoSpaceDN w:val="0"/>
              <w:adjustRightInd w:val="0"/>
              <w:spacing w:after="0" w:line="240" w:lineRule="auto"/>
              <w:jc w:val="both"/>
              <w:rPr>
                <w:rFonts w:ascii="Times New Roman" w:hAnsi="Times New Roman" w:cs="Times New Roman"/>
                <w:noProof/>
                <w:sz w:val="20"/>
                <w:szCs w:val="20"/>
              </w:rPr>
            </w:pPr>
            <w:r w:rsidRPr="00F87F2A">
              <w:rPr>
                <w:rFonts w:ascii="Times New Roman" w:hAnsi="Times New Roman" w:cs="Times New Roman"/>
                <w:noProof/>
                <w:sz w:val="20"/>
                <w:szCs w:val="20"/>
              </w:rPr>
              <w:t xml:space="preserve">Turismul montan beneficiază de condiţii naturale excepţionale: aproape jumătate din suprafață este ocupată de arealele montane. În acest context, portofoliul de proiecte al Regiunii cuprinde investiții în centre de vizitare pentru situri Natural 2000 sau în baze și adăposturi Salvamont. </w:t>
            </w:r>
          </w:p>
          <w:p w:rsidR="00002D81" w:rsidRPr="00F87F2A" w:rsidRDefault="00002D81" w:rsidP="00E95FAC">
            <w:pPr>
              <w:spacing w:after="0" w:line="240" w:lineRule="auto"/>
              <w:jc w:val="both"/>
              <w:rPr>
                <w:rFonts w:ascii="Times New Roman" w:hAnsi="Times New Roman" w:cs="Times New Roman"/>
                <w:bCs/>
                <w:sz w:val="20"/>
                <w:szCs w:val="20"/>
              </w:rPr>
            </w:pPr>
            <w:r w:rsidRPr="00F87F2A">
              <w:rPr>
                <w:rFonts w:ascii="Times New Roman" w:hAnsi="Times New Roman" w:cs="Times New Roman"/>
                <w:sz w:val="20"/>
                <w:szCs w:val="20"/>
              </w:rPr>
              <w:t>Regiunea Centru dispune de un patrimoniu cultural material și imaterial extrem de diversificat și valoros (</w:t>
            </w:r>
            <w:r w:rsidRPr="00F87F2A">
              <w:rPr>
                <w:rFonts w:ascii="Times New Roman" w:hAnsi="Times New Roman" w:cs="Times New Roman"/>
                <w:color w:val="000000"/>
                <w:sz w:val="20"/>
                <w:szCs w:val="20"/>
              </w:rPr>
              <w:t xml:space="preserve">5.243 de monumente istorice din cele 30.000 de la nivel național sunt localizate aici, din care </w:t>
            </w:r>
            <w:r w:rsidR="00975C60">
              <w:rPr>
                <w:rFonts w:ascii="Times New Roman" w:hAnsi="Times New Roman" w:cs="Times New Roman"/>
                <w:color w:val="000000"/>
                <w:sz w:val="20"/>
                <w:szCs w:val="20"/>
              </w:rPr>
              <w:t>9</w:t>
            </w:r>
            <w:r w:rsidR="00975C60" w:rsidRPr="00F87F2A">
              <w:rPr>
                <w:rFonts w:ascii="Times New Roman" w:hAnsi="Times New Roman" w:cs="Times New Roman"/>
                <w:color w:val="000000"/>
                <w:sz w:val="20"/>
                <w:szCs w:val="20"/>
              </w:rPr>
              <w:t xml:space="preserve"> </w:t>
            </w:r>
            <w:r w:rsidRPr="00F87F2A">
              <w:rPr>
                <w:rFonts w:ascii="Times New Roman" w:hAnsi="Times New Roman" w:cs="Times New Roman"/>
                <w:color w:val="000000"/>
                <w:sz w:val="20"/>
                <w:szCs w:val="20"/>
              </w:rPr>
              <w:t>se află în patrimoniul UNESCO</w:t>
            </w:r>
            <w:r w:rsidRPr="00F87F2A">
              <w:rPr>
                <w:rFonts w:ascii="Times New Roman" w:hAnsi="Times New Roman" w:cs="Times New Roman"/>
                <w:sz w:val="20"/>
                <w:szCs w:val="20"/>
              </w:rPr>
              <w:t xml:space="preserve">). Multe din monumentele istorice de importanță națională se află într-o stare avansată de degradare, necesitând investiții în conservarea, restaurarea și protecția acestuia. </w:t>
            </w:r>
          </w:p>
          <w:p w:rsidR="00002D81" w:rsidRPr="00F87F2A" w:rsidRDefault="00002D81" w:rsidP="00E95FAC">
            <w:pPr>
              <w:spacing w:after="0" w:line="240" w:lineRule="auto"/>
              <w:jc w:val="both"/>
              <w:rPr>
                <w:rFonts w:ascii="Times New Roman" w:hAnsi="Times New Roman" w:cs="Times New Roman"/>
                <w:noProof/>
                <w:sz w:val="20"/>
                <w:szCs w:val="20"/>
              </w:rPr>
            </w:pPr>
            <w:r w:rsidRPr="00F87F2A">
              <w:rPr>
                <w:rFonts w:ascii="Times New Roman" w:hAnsi="Times New Roman" w:cs="Times New Roman"/>
                <w:noProof/>
                <w:sz w:val="20"/>
                <w:szCs w:val="20"/>
              </w:rPr>
              <w:t xml:space="preserve">Unul din domeniile care sprijină dezvoltarea locală este cultura. Cele mai multe muzee și colecții publice (163) se află în Regiunea Centru, iar numărul de vizitatori a crescut în intervalul 2014-2018 de la 3.054.385 la 4.926.577 vizitatori, Regiunea fiind pe primul loc la nivel național. Situația e similară în cazul numărului de instituții și companii de spectacole sau concerte. La nivelul anului 2015, cele mai multe se regăseau tot în Regiunea Centru – 64 din 254. </w:t>
            </w:r>
            <w:r w:rsidR="00F87F2A" w:rsidRPr="00F87F2A">
              <w:rPr>
                <w:rFonts w:ascii="Times New Roman" w:hAnsi="Times New Roman" w:cs="Times New Roman"/>
                <w:noProof/>
                <w:sz w:val="20"/>
                <w:szCs w:val="20"/>
              </w:rPr>
              <w:t xml:space="preserve">Insă majoritatea clădirilor și spațiilor destinate activităților culturale au o vechime considerabilă, prea puține fiind reabilitate, modernizate și dotate corespunzător. </w:t>
            </w:r>
            <w:r w:rsidRPr="00F87F2A">
              <w:rPr>
                <w:rFonts w:ascii="Times New Roman" w:hAnsi="Times New Roman" w:cs="Times New Roman"/>
                <w:noProof/>
                <w:sz w:val="20"/>
                <w:szCs w:val="20"/>
              </w:rPr>
              <w:t>Pe lângă reabilitarea/ modernizarea/ dotarea spațiilor actuale cu destinație culturală, se impune crearea și dotarea de noi spații/ clădiri multifuncționale.</w:t>
            </w:r>
          </w:p>
          <w:p w:rsidR="002C59D6" w:rsidRPr="00AD4122" w:rsidRDefault="002C59D6" w:rsidP="00E95FAC">
            <w:pPr>
              <w:spacing w:after="0" w:line="240" w:lineRule="auto"/>
              <w:jc w:val="both"/>
              <w:rPr>
                <w:rFonts w:ascii="Times New Roman" w:hAnsi="Times New Roman" w:cs="Times New Roman"/>
              </w:rPr>
            </w:pPr>
          </w:p>
          <w:p w:rsidR="00424AB2" w:rsidRPr="00E95FAC" w:rsidRDefault="00F87F2A" w:rsidP="00E95FAC">
            <w:pPr>
              <w:spacing w:after="0" w:line="240" w:lineRule="auto"/>
              <w:jc w:val="both"/>
              <w:rPr>
                <w:rFonts w:ascii="Times New Roman" w:hAnsi="Times New Roman" w:cs="Times New Roman"/>
                <w:b/>
                <w:i/>
                <w:sz w:val="20"/>
                <w:szCs w:val="20"/>
                <w:u w:val="single"/>
              </w:rPr>
            </w:pPr>
            <w:r w:rsidRPr="00E95FAC">
              <w:rPr>
                <w:rFonts w:ascii="Times New Roman" w:hAnsi="Times New Roman" w:cs="Times New Roman"/>
                <w:b/>
                <w:i/>
                <w:sz w:val="20"/>
                <w:szCs w:val="20"/>
                <w:u w:val="single"/>
              </w:rPr>
              <w:t>VIZIUNEA STRATEGICĂ</w:t>
            </w:r>
          </w:p>
          <w:p w:rsidR="00F408C0" w:rsidRDefault="00424AB2" w:rsidP="00E95FAC">
            <w:pPr>
              <w:spacing w:after="0" w:line="240" w:lineRule="auto"/>
              <w:jc w:val="both"/>
              <w:rPr>
                <w:rFonts w:ascii="Times New Roman" w:hAnsi="Times New Roman" w:cs="Times New Roman"/>
                <w:color w:val="000000"/>
                <w:sz w:val="20"/>
                <w:szCs w:val="20"/>
              </w:rPr>
            </w:pPr>
            <w:r w:rsidRPr="00F87F2A">
              <w:rPr>
                <w:rFonts w:ascii="Times New Roman" w:hAnsi="Times New Roman" w:cs="Times New Roman"/>
                <w:color w:val="000000"/>
                <w:sz w:val="20"/>
                <w:szCs w:val="20"/>
              </w:rPr>
              <w:t xml:space="preserve">Programul Operațional Regional al Regiunii Centru își propune continuarea viziunii strategice privind dezvoltarea regiunii, completând direcțiile, acțiunile și prioritățile din </w:t>
            </w:r>
            <w:r w:rsidR="00F87F2A">
              <w:rPr>
                <w:rFonts w:ascii="Times New Roman" w:hAnsi="Times New Roman" w:cs="Times New Roman"/>
                <w:color w:val="000000"/>
                <w:sz w:val="20"/>
                <w:szCs w:val="20"/>
              </w:rPr>
              <w:t>PDR</w:t>
            </w:r>
            <w:r w:rsidRPr="00F87F2A">
              <w:rPr>
                <w:rFonts w:ascii="Times New Roman" w:hAnsi="Times New Roman" w:cs="Times New Roman"/>
                <w:color w:val="000000"/>
                <w:sz w:val="20"/>
                <w:szCs w:val="20"/>
              </w:rPr>
              <w:t xml:space="preserve"> 2014-2020 și implementate prin POR 2014-2020 și alte programe naționale. </w:t>
            </w:r>
          </w:p>
          <w:p w:rsidR="00424AB2" w:rsidRPr="00F87F2A" w:rsidRDefault="00424AB2" w:rsidP="00E95FAC">
            <w:pPr>
              <w:spacing w:after="0" w:line="240" w:lineRule="auto"/>
              <w:jc w:val="both"/>
              <w:rPr>
                <w:rFonts w:ascii="Times New Roman" w:hAnsi="Times New Roman" w:cs="Times New Roman"/>
                <w:b/>
                <w:bCs/>
                <w:color w:val="000000"/>
                <w:sz w:val="20"/>
                <w:szCs w:val="20"/>
              </w:rPr>
            </w:pPr>
            <w:r w:rsidRPr="00F87F2A">
              <w:rPr>
                <w:rFonts w:ascii="Times New Roman" w:hAnsi="Times New Roman" w:cs="Times New Roman"/>
                <w:color w:val="000000"/>
                <w:sz w:val="20"/>
                <w:szCs w:val="20"/>
              </w:rPr>
              <w:t xml:space="preserve">Viziunea strategică a POR Regiunea Centru 2021-2027, în concordanță cu viziunea strategică din PDR Centru  2021-2027 şi Strategia de Specializare Inteligentă a Regiunii Centru </w:t>
            </w:r>
            <w:r w:rsidRPr="00F87F2A">
              <w:rPr>
                <w:rFonts w:ascii="Times New Roman" w:hAnsi="Times New Roman" w:cs="Times New Roman"/>
                <w:b/>
                <w:bCs/>
                <w:color w:val="000000"/>
                <w:sz w:val="20"/>
                <w:szCs w:val="20"/>
              </w:rPr>
              <w:t>este ca Regiunea Centru să devină o regiune mai curată, atractivă pentru locuitorii săi și turiști, cu o economie competitivă bazată pe cunoaștere și inovare în care grija pentru mediu și utilizarea rațională și durabilă a resurselor să fie scopul fiecărui cetățean.</w:t>
            </w:r>
          </w:p>
          <w:p w:rsidR="00F408C0" w:rsidRDefault="00F408C0" w:rsidP="00E95FAC">
            <w:pPr>
              <w:spacing w:after="0" w:line="240" w:lineRule="auto"/>
              <w:jc w:val="both"/>
              <w:rPr>
                <w:rFonts w:ascii="Times New Roman" w:hAnsi="Times New Roman" w:cs="Times New Roman"/>
                <w:b/>
                <w:sz w:val="20"/>
                <w:szCs w:val="20"/>
                <w:u w:val="single"/>
              </w:rPr>
            </w:pPr>
          </w:p>
          <w:p w:rsidR="002C59D6" w:rsidRDefault="00424AB2" w:rsidP="00E95FAC">
            <w:pPr>
              <w:spacing w:after="0" w:line="240" w:lineRule="auto"/>
              <w:jc w:val="both"/>
              <w:rPr>
                <w:rFonts w:ascii="Times New Roman" w:hAnsi="Times New Roman" w:cs="Times New Roman"/>
                <w:b/>
                <w:sz w:val="20"/>
                <w:szCs w:val="20"/>
                <w:u w:val="single"/>
              </w:rPr>
            </w:pPr>
            <w:r w:rsidRPr="00F87F2A">
              <w:rPr>
                <w:rFonts w:ascii="Times New Roman" w:hAnsi="Times New Roman" w:cs="Times New Roman"/>
                <w:b/>
                <w:sz w:val="20"/>
                <w:szCs w:val="20"/>
                <w:u w:val="single"/>
              </w:rPr>
              <w:t xml:space="preserve">Astfel strategia </w:t>
            </w:r>
            <w:r w:rsidR="00F408C0">
              <w:rPr>
                <w:rFonts w:ascii="Times New Roman" w:hAnsi="Times New Roman" w:cs="Times New Roman"/>
                <w:b/>
                <w:sz w:val="20"/>
                <w:szCs w:val="20"/>
                <w:u w:val="single"/>
              </w:rPr>
              <w:t>POR</w:t>
            </w:r>
            <w:r w:rsidR="00F408C0" w:rsidRPr="00F87F2A">
              <w:rPr>
                <w:rFonts w:ascii="Times New Roman" w:hAnsi="Times New Roman" w:cs="Times New Roman"/>
                <w:b/>
                <w:sz w:val="20"/>
                <w:szCs w:val="20"/>
                <w:u w:val="single"/>
              </w:rPr>
              <w:t xml:space="preserve"> </w:t>
            </w:r>
            <w:r w:rsidRPr="00F87F2A">
              <w:rPr>
                <w:rFonts w:ascii="Times New Roman" w:hAnsi="Times New Roman" w:cs="Times New Roman"/>
                <w:b/>
                <w:sz w:val="20"/>
                <w:szCs w:val="20"/>
                <w:u w:val="single"/>
              </w:rPr>
              <w:t>își propune următoarele priorități:</w:t>
            </w:r>
          </w:p>
          <w:p w:rsidR="002C59D6" w:rsidRPr="00F87F2A" w:rsidRDefault="002C59D6" w:rsidP="00E95FAC">
            <w:pPr>
              <w:spacing w:after="0" w:line="240" w:lineRule="auto"/>
              <w:jc w:val="both"/>
              <w:rPr>
                <w:rStyle w:val="Titlu1Caracter"/>
                <w:rFonts w:cs="Times New Roman"/>
                <w:sz w:val="20"/>
                <w:szCs w:val="20"/>
              </w:rPr>
            </w:pPr>
            <w:bookmarkStart w:id="0" w:name="_Toc39131446"/>
            <w:r w:rsidRPr="00F87F2A">
              <w:rPr>
                <w:rStyle w:val="Titlu1Caracter"/>
                <w:rFonts w:cs="Times New Roman"/>
                <w:sz w:val="20"/>
                <w:szCs w:val="20"/>
              </w:rPr>
              <w:t>P 1. - O regiune competitivă prin inovare, digitalizare și întreprinderi dinamice</w:t>
            </w:r>
            <w:bookmarkEnd w:id="0"/>
            <w:r w:rsidR="001B5E29" w:rsidRPr="00F87F2A">
              <w:rPr>
                <w:rStyle w:val="Titlu1Caracter"/>
                <w:rFonts w:cs="Times New Roman"/>
                <w:sz w:val="20"/>
                <w:szCs w:val="20"/>
              </w:rPr>
              <w:t xml:space="preserve"> </w:t>
            </w:r>
          </w:p>
          <w:p w:rsidR="00472C6D" w:rsidRPr="00F87F2A" w:rsidRDefault="001B5E29" w:rsidP="00E95FAC">
            <w:pPr>
              <w:spacing w:after="0" w:line="240" w:lineRule="auto"/>
              <w:rPr>
                <w:rFonts w:ascii="Times New Roman" w:hAnsi="Times New Roman" w:cs="Times New Roman"/>
                <w:sz w:val="20"/>
                <w:szCs w:val="20"/>
              </w:rPr>
            </w:pPr>
            <w:r w:rsidRPr="00AA730A">
              <w:rPr>
                <w:rFonts w:ascii="Times New Roman" w:hAnsi="Times New Roman" w:cs="Times New Roman"/>
                <w:sz w:val="20"/>
                <w:szCs w:val="20"/>
              </w:rPr>
              <w:t xml:space="preserve">Prin </w:t>
            </w:r>
            <w:r w:rsidR="00BF76C2" w:rsidRPr="00AA730A">
              <w:rPr>
                <w:rFonts w:ascii="Times New Roman" w:hAnsi="Times New Roman" w:cs="Times New Roman"/>
                <w:sz w:val="20"/>
                <w:szCs w:val="20"/>
              </w:rPr>
              <w:t xml:space="preserve">investițiile propuse a se finanța prin </w:t>
            </w:r>
            <w:r w:rsidRPr="00AA730A">
              <w:rPr>
                <w:rFonts w:ascii="Times New Roman" w:hAnsi="Times New Roman" w:cs="Times New Roman"/>
                <w:sz w:val="20"/>
                <w:szCs w:val="20"/>
              </w:rPr>
              <w:t>această prioritate se dorește valorificarea</w:t>
            </w:r>
            <w:r w:rsidRPr="00F87F2A">
              <w:rPr>
                <w:rFonts w:ascii="Times New Roman" w:hAnsi="Times New Roman" w:cs="Times New Roman"/>
                <w:b/>
                <w:i/>
                <w:sz w:val="20"/>
                <w:szCs w:val="20"/>
              </w:rPr>
              <w:t xml:space="preserve"> </w:t>
            </w:r>
            <w:r w:rsidR="00BF76C2" w:rsidRPr="00F87F2A">
              <w:rPr>
                <w:rFonts w:ascii="Times New Roman" w:hAnsi="Times New Roman" w:cs="Times New Roman"/>
                <w:sz w:val="20"/>
                <w:szCs w:val="20"/>
              </w:rPr>
              <w:t>potențialului inovativ existent în domeniile de specializare inteligentă, potențial încă insuficient asimilat de firme</w:t>
            </w:r>
            <w:r w:rsidR="00E30E02" w:rsidRPr="00F87F2A">
              <w:rPr>
                <w:rFonts w:ascii="Times New Roman" w:hAnsi="Times New Roman" w:cs="Times New Roman"/>
                <w:sz w:val="20"/>
                <w:szCs w:val="20"/>
              </w:rPr>
              <w:t xml:space="preserve">. Astfel se dorește sprijinirea structurilor de cercetare dezvoltare și transfer tehnologic care să </w:t>
            </w:r>
            <w:r w:rsidR="00BF76C2" w:rsidRPr="00F87F2A">
              <w:rPr>
                <w:rFonts w:ascii="Times New Roman" w:hAnsi="Times New Roman" w:cs="Times New Roman"/>
                <w:sz w:val="20"/>
                <w:szCs w:val="20"/>
              </w:rPr>
              <w:t xml:space="preserve"> </w:t>
            </w:r>
            <w:r w:rsidR="00E30E02" w:rsidRPr="00F87F2A">
              <w:rPr>
                <w:rFonts w:ascii="Times New Roman" w:hAnsi="Times New Roman" w:cs="Times New Roman"/>
                <w:sz w:val="20"/>
                <w:szCs w:val="20"/>
              </w:rPr>
              <w:t xml:space="preserve">permită inovarea și transferul de tehnologie către firme, dar și susținerea întregului ciclu de inovare la nivel de întreprindere, precum și a modernizării industriale </w:t>
            </w:r>
            <w:r w:rsidR="00CB641F" w:rsidRPr="00F87F2A">
              <w:rPr>
                <w:rFonts w:ascii="Times New Roman" w:hAnsi="Times New Roman" w:cs="Times New Roman"/>
                <w:sz w:val="20"/>
                <w:szCs w:val="20"/>
              </w:rPr>
              <w:t xml:space="preserve">la nivelul firmelor </w:t>
            </w:r>
            <w:r w:rsidR="00E30E02" w:rsidRPr="00F87F2A">
              <w:rPr>
                <w:rFonts w:ascii="Times New Roman" w:hAnsi="Times New Roman" w:cs="Times New Roman"/>
                <w:sz w:val="20"/>
                <w:szCs w:val="20"/>
              </w:rPr>
              <w:t>coroborat cu susținerea structurilor de sprijinire a af</w:t>
            </w:r>
            <w:r w:rsidR="00CB641F" w:rsidRPr="00F87F2A">
              <w:rPr>
                <w:rFonts w:ascii="Times New Roman" w:hAnsi="Times New Roman" w:cs="Times New Roman"/>
                <w:sz w:val="20"/>
                <w:szCs w:val="20"/>
              </w:rPr>
              <w:t>a</w:t>
            </w:r>
            <w:r w:rsidR="00E30E02" w:rsidRPr="00F87F2A">
              <w:rPr>
                <w:rFonts w:ascii="Times New Roman" w:hAnsi="Times New Roman" w:cs="Times New Roman"/>
                <w:sz w:val="20"/>
                <w:szCs w:val="20"/>
              </w:rPr>
              <w:t xml:space="preserve">cerilor. </w:t>
            </w:r>
          </w:p>
          <w:p w:rsidR="002C59D6" w:rsidRPr="00F87F2A" w:rsidRDefault="002C59D6" w:rsidP="00E95FAC">
            <w:pPr>
              <w:spacing w:after="0" w:line="240" w:lineRule="auto"/>
              <w:jc w:val="both"/>
              <w:rPr>
                <w:rStyle w:val="Titlu1Caracter"/>
                <w:rFonts w:cs="Times New Roman"/>
                <w:smallCaps w:val="0"/>
                <w:sz w:val="20"/>
                <w:szCs w:val="20"/>
              </w:rPr>
            </w:pPr>
            <w:r w:rsidRPr="00F87F2A">
              <w:rPr>
                <w:rStyle w:val="Titlu1Caracter"/>
                <w:rFonts w:cs="Times New Roman"/>
                <w:sz w:val="20"/>
                <w:szCs w:val="20"/>
              </w:rPr>
              <w:t xml:space="preserve">P 2 - O regiune </w:t>
            </w:r>
            <w:r w:rsidR="00CB641F" w:rsidRPr="00F87F2A">
              <w:rPr>
                <w:rStyle w:val="Titlu1Caracter"/>
                <w:rFonts w:cs="Times New Roman"/>
                <w:sz w:val="20"/>
                <w:szCs w:val="20"/>
              </w:rPr>
              <w:t>digitala</w:t>
            </w:r>
          </w:p>
          <w:p w:rsidR="00F408C0" w:rsidRDefault="00F408C0" w:rsidP="00E95FAC">
            <w:pPr>
              <w:spacing w:after="0" w:line="240" w:lineRule="auto"/>
              <w:jc w:val="both"/>
              <w:rPr>
                <w:rStyle w:val="Titlu1Caracter"/>
                <w:rFonts w:cs="Times New Roman"/>
                <w:sz w:val="20"/>
                <w:szCs w:val="20"/>
              </w:rPr>
            </w:pPr>
            <w:r>
              <w:rPr>
                <w:rFonts w:ascii="Times New Roman" w:eastAsia="Times New Roman" w:hAnsi="Times New Roman" w:cs="Times New Roman"/>
                <w:iCs/>
                <w:noProof/>
                <w:sz w:val="20"/>
                <w:szCs w:val="20"/>
              </w:rPr>
              <w:t>P</w:t>
            </w:r>
            <w:r w:rsidR="00CB641F" w:rsidRPr="00F87F2A">
              <w:rPr>
                <w:rFonts w:ascii="Times New Roman" w:eastAsia="Times New Roman" w:hAnsi="Times New Roman" w:cs="Times New Roman"/>
                <w:iCs/>
                <w:noProof/>
                <w:sz w:val="20"/>
                <w:szCs w:val="20"/>
              </w:rPr>
              <w:t>rin investitiile propuse se prevede dezvoltarea serviciilor publice digitale si interoperabilitatea acestora in vederea imbunatatirii interactiunii cu cetatenii si mediul economic, dar in acelasi timp si pentru imbunatatirea activitatii administrat</w:t>
            </w:r>
            <w:r>
              <w:rPr>
                <w:rFonts w:ascii="Times New Roman" w:eastAsia="Times New Roman" w:hAnsi="Times New Roman" w:cs="Times New Roman"/>
                <w:iCs/>
                <w:noProof/>
                <w:sz w:val="20"/>
                <w:szCs w:val="20"/>
              </w:rPr>
              <w:t>i</w:t>
            </w:r>
            <w:r w:rsidR="00CB641F" w:rsidRPr="00F87F2A">
              <w:rPr>
                <w:rFonts w:ascii="Times New Roman" w:eastAsia="Times New Roman" w:hAnsi="Times New Roman" w:cs="Times New Roman"/>
                <w:iCs/>
                <w:noProof/>
                <w:sz w:val="20"/>
                <w:szCs w:val="20"/>
              </w:rPr>
              <w:t>ilor prin eficientizarea luarii deciziilor.</w:t>
            </w:r>
            <w:r w:rsidR="00975C60">
              <w:rPr>
                <w:rFonts w:ascii="Times New Roman" w:eastAsia="Times New Roman" w:hAnsi="Times New Roman" w:cs="Times New Roman"/>
                <w:iCs/>
                <w:noProof/>
                <w:sz w:val="20"/>
                <w:szCs w:val="20"/>
              </w:rPr>
              <w:t xml:space="preserve"> </w:t>
            </w:r>
            <w:r w:rsidR="00CB641F" w:rsidRPr="00F87F2A">
              <w:rPr>
                <w:rFonts w:ascii="Times New Roman" w:eastAsia="Times New Roman" w:hAnsi="Times New Roman" w:cs="Times New Roman"/>
                <w:iCs/>
                <w:noProof/>
                <w:sz w:val="20"/>
                <w:szCs w:val="20"/>
              </w:rPr>
              <w:t xml:space="preserve">De asemenea se propun investitii care sa determine </w:t>
            </w:r>
            <w:r w:rsidR="00CB641F" w:rsidRPr="00F87F2A">
              <w:rPr>
                <w:rFonts w:ascii="Times New Roman" w:hAnsi="Times New Roman" w:cs="Times New Roman"/>
                <w:sz w:val="20"/>
                <w:szCs w:val="20"/>
              </w:rPr>
              <w:t>c</w:t>
            </w:r>
            <w:r w:rsidR="002C59D6" w:rsidRPr="00F87F2A">
              <w:rPr>
                <w:rFonts w:ascii="Times New Roman" w:hAnsi="Times New Roman" w:cs="Times New Roman"/>
                <w:sz w:val="20"/>
                <w:szCs w:val="20"/>
              </w:rPr>
              <w:t>reşterea gradului de digitalizare în întreprinderile din regiune – adoptare soluţii digitale avansate pentru producţie şi administrarea afacerii.</w:t>
            </w:r>
          </w:p>
          <w:p w:rsidR="002C59D6" w:rsidRPr="00F87F2A" w:rsidRDefault="002C59D6" w:rsidP="00E95FAC">
            <w:pPr>
              <w:spacing w:after="0" w:line="240" w:lineRule="auto"/>
              <w:jc w:val="both"/>
              <w:rPr>
                <w:rFonts w:ascii="Times New Roman" w:hAnsi="Times New Roman" w:cs="Times New Roman"/>
                <w:b/>
                <w:i/>
                <w:sz w:val="20"/>
                <w:szCs w:val="20"/>
              </w:rPr>
            </w:pPr>
            <w:r w:rsidRPr="00F408C0">
              <w:rPr>
                <w:rStyle w:val="Titlu1Caracter"/>
                <w:rFonts w:cs="Times New Roman"/>
                <w:sz w:val="20"/>
                <w:szCs w:val="20"/>
              </w:rPr>
              <w:t>P 3 - O regiune cu comunități prietenoase cu mediul</w:t>
            </w:r>
          </w:p>
          <w:p w:rsidR="002C59D6" w:rsidRPr="00F87F2A" w:rsidRDefault="000D460E" w:rsidP="00E95FAC">
            <w:pPr>
              <w:spacing w:after="0" w:line="240" w:lineRule="auto"/>
              <w:jc w:val="both"/>
              <w:rPr>
                <w:rFonts w:ascii="Times New Roman" w:hAnsi="Times New Roman" w:cs="Times New Roman"/>
                <w:iCs/>
                <w:sz w:val="20"/>
                <w:szCs w:val="20"/>
              </w:rPr>
            </w:pPr>
            <w:r w:rsidRPr="00F87F2A">
              <w:rPr>
                <w:rFonts w:ascii="Times New Roman" w:hAnsi="Times New Roman" w:cs="Times New Roman"/>
                <w:iCs/>
                <w:sz w:val="20"/>
                <w:szCs w:val="20"/>
              </w:rPr>
              <w:t xml:space="preserve">Aceasta vizeaza </w:t>
            </w:r>
            <w:r w:rsidR="00123E88" w:rsidRPr="00F87F2A">
              <w:rPr>
                <w:rFonts w:ascii="Times New Roman" w:hAnsi="Times New Roman" w:cs="Times New Roman"/>
                <w:iCs/>
                <w:sz w:val="20"/>
                <w:szCs w:val="20"/>
              </w:rPr>
              <w:t xml:space="preserve">creșterea calității vieții locuitorilor din localitățile Regiunii Centru </w:t>
            </w:r>
            <w:r w:rsidRPr="00F87F2A">
              <w:rPr>
                <w:rFonts w:ascii="Times New Roman" w:hAnsi="Times New Roman" w:cs="Times New Roman"/>
                <w:iCs/>
                <w:sz w:val="20"/>
                <w:szCs w:val="20"/>
              </w:rPr>
              <w:t>pe de o parte</w:t>
            </w:r>
            <w:r w:rsidR="00123E88" w:rsidRPr="00F87F2A">
              <w:rPr>
                <w:rFonts w:ascii="Times New Roman" w:hAnsi="Times New Roman" w:cs="Times New Roman"/>
                <w:iCs/>
                <w:sz w:val="20"/>
                <w:szCs w:val="20"/>
              </w:rPr>
              <w:t xml:space="preserve"> prin</w:t>
            </w:r>
            <w:r w:rsidRPr="00F87F2A">
              <w:rPr>
                <w:rFonts w:ascii="Times New Roman" w:hAnsi="Times New Roman" w:cs="Times New Roman"/>
                <w:iCs/>
                <w:sz w:val="20"/>
                <w:szCs w:val="20"/>
              </w:rPr>
              <w:t xml:space="preserve"> imbunatatirea performantei energetice a fondului existent de cladiri publice si rezidentiale</w:t>
            </w:r>
            <w:r w:rsidR="00123E88" w:rsidRPr="00F87F2A">
              <w:rPr>
                <w:rFonts w:ascii="Times New Roman" w:hAnsi="Times New Roman" w:cs="Times New Roman"/>
                <w:iCs/>
                <w:sz w:val="20"/>
                <w:szCs w:val="20"/>
              </w:rPr>
              <w:t xml:space="preserve"> si </w:t>
            </w:r>
            <w:r w:rsidRPr="00F87F2A">
              <w:rPr>
                <w:rFonts w:ascii="Times New Roman" w:hAnsi="Times New Roman" w:cs="Times New Roman"/>
                <w:iCs/>
                <w:sz w:val="20"/>
                <w:szCs w:val="20"/>
              </w:rPr>
              <w:t xml:space="preserve">prin </w:t>
            </w:r>
            <w:r w:rsidR="00E2184B" w:rsidRPr="00F87F2A">
              <w:rPr>
                <w:rFonts w:ascii="Times New Roman" w:hAnsi="Times New Roman" w:cs="Times New Roman"/>
                <w:iCs/>
                <w:sz w:val="20"/>
                <w:szCs w:val="20"/>
              </w:rPr>
              <w:t>modernizarea/extinderea sistemului de iluminat</w:t>
            </w:r>
            <w:r w:rsidR="00123E88" w:rsidRPr="00F87F2A">
              <w:rPr>
                <w:rFonts w:ascii="Times New Roman" w:hAnsi="Times New Roman" w:cs="Times New Roman"/>
                <w:iCs/>
                <w:sz w:val="20"/>
                <w:szCs w:val="20"/>
              </w:rPr>
              <w:t xml:space="preserve">, iar pe de alta parte </w:t>
            </w:r>
            <w:r w:rsidR="00E2184B" w:rsidRPr="00F87F2A">
              <w:rPr>
                <w:rFonts w:ascii="Times New Roman" w:hAnsi="Times New Roman" w:cs="Times New Roman"/>
                <w:iCs/>
                <w:sz w:val="20"/>
                <w:szCs w:val="20"/>
              </w:rPr>
              <w:t>printr-o mobilitate durabilă și regenerarea urbană</w:t>
            </w:r>
          </w:p>
          <w:p w:rsidR="002C59D6" w:rsidRPr="00F408C0" w:rsidRDefault="00F408C0" w:rsidP="00E95FAC">
            <w:pPr>
              <w:spacing w:after="0" w:line="240" w:lineRule="auto"/>
              <w:jc w:val="both"/>
              <w:rPr>
                <w:rStyle w:val="Titlu1Caracter"/>
                <w:rFonts w:cs="Times New Roman"/>
                <w:smallCaps w:val="0"/>
                <w:sz w:val="20"/>
                <w:szCs w:val="20"/>
              </w:rPr>
            </w:pPr>
            <w:r>
              <w:rPr>
                <w:rStyle w:val="Titlu1Caracter"/>
                <w:rFonts w:cs="Times New Roman"/>
                <w:sz w:val="20"/>
                <w:szCs w:val="20"/>
              </w:rPr>
              <w:t>P</w:t>
            </w:r>
            <w:r w:rsidR="002C59D6" w:rsidRPr="00F408C0">
              <w:rPr>
                <w:rStyle w:val="Titlu1Caracter"/>
                <w:rFonts w:cs="Times New Roman"/>
                <w:sz w:val="20"/>
                <w:szCs w:val="20"/>
              </w:rPr>
              <w:t xml:space="preserve"> 4 - O regiune accesibilă</w:t>
            </w:r>
          </w:p>
          <w:p w:rsidR="002C59D6" w:rsidRPr="00F87F2A" w:rsidRDefault="002A03F2" w:rsidP="00446B00">
            <w:pPr>
              <w:spacing w:after="0" w:line="240" w:lineRule="auto"/>
              <w:jc w:val="both"/>
              <w:rPr>
                <w:rStyle w:val="Titlu1Caracter"/>
                <w:rFonts w:eastAsia="Times New Roman" w:cs="Times New Roman"/>
                <w:iCs/>
                <w:smallCaps w:val="0"/>
                <w:noProof/>
                <w:color w:val="002060"/>
                <w:sz w:val="20"/>
                <w:szCs w:val="20"/>
                <w:lang w:val="en-GB"/>
              </w:rPr>
            </w:pPr>
            <w:r w:rsidRPr="00F87F2A">
              <w:rPr>
                <w:rFonts w:ascii="Times New Roman" w:hAnsi="Times New Roman" w:cs="Times New Roman"/>
                <w:sz w:val="20"/>
                <w:szCs w:val="20"/>
              </w:rPr>
              <w:t xml:space="preserve">Prioritatea urmareste cresterea conectivitatii zonelor mai putin dezvoltate si a zonelor izolate la reteaua TEN-T, tinand seama de investitiile realizate prin programele anterioare si cele propuse pe celelate prioritati ale </w:t>
            </w:r>
            <w:r w:rsidR="00F408C0">
              <w:rPr>
                <w:rFonts w:ascii="Times New Roman" w:hAnsi="Times New Roman" w:cs="Times New Roman"/>
                <w:sz w:val="20"/>
                <w:szCs w:val="20"/>
              </w:rPr>
              <w:t>POR</w:t>
            </w:r>
            <w:r w:rsidRPr="00F87F2A">
              <w:rPr>
                <w:rFonts w:ascii="Times New Roman" w:hAnsi="Times New Roman" w:cs="Times New Roman"/>
                <w:sz w:val="20"/>
                <w:szCs w:val="20"/>
              </w:rPr>
              <w:t>, dar si cele realizate sau preconizate la nivel national in domeniul conectivitatii. De asemenea se urmareste si decongestionarea traficului din marile aglomerari urbane pentru a putea contribui la implementarea PMUD-urilor.</w:t>
            </w:r>
          </w:p>
          <w:p w:rsidR="002C59D6" w:rsidRPr="00F408C0" w:rsidRDefault="002C59D6" w:rsidP="00E95FAC">
            <w:pPr>
              <w:spacing w:after="0" w:line="240" w:lineRule="auto"/>
              <w:jc w:val="both"/>
              <w:rPr>
                <w:rStyle w:val="Titlu1Caracter"/>
                <w:rFonts w:cs="Times New Roman"/>
                <w:smallCaps w:val="0"/>
                <w:sz w:val="20"/>
                <w:szCs w:val="20"/>
                <w:lang w:val="ro-RO"/>
              </w:rPr>
            </w:pPr>
            <w:r w:rsidRPr="00F408C0">
              <w:rPr>
                <w:rStyle w:val="Titlu1Caracter"/>
                <w:rFonts w:cs="Times New Roman"/>
                <w:sz w:val="20"/>
                <w:szCs w:val="20"/>
              </w:rPr>
              <w:t>P 5 - O regiune educată și incluzivă</w:t>
            </w:r>
          </w:p>
          <w:p w:rsidR="002C59D6" w:rsidRPr="00F408C0" w:rsidRDefault="002A03F2" w:rsidP="00E95FAC">
            <w:pPr>
              <w:spacing w:after="0" w:line="240" w:lineRule="auto"/>
              <w:jc w:val="both"/>
              <w:rPr>
                <w:rFonts w:ascii="Times New Roman" w:eastAsia="Calibri" w:hAnsi="Times New Roman" w:cs="Times New Roman"/>
                <w:noProof/>
                <w:sz w:val="20"/>
                <w:szCs w:val="20"/>
                <w:lang w:eastAsia="en-GB"/>
              </w:rPr>
            </w:pPr>
            <w:r w:rsidRPr="00F408C0">
              <w:rPr>
                <w:rFonts w:ascii="Times New Roman" w:hAnsi="Times New Roman" w:cs="Times New Roman"/>
                <w:sz w:val="20"/>
                <w:szCs w:val="20"/>
              </w:rPr>
              <w:t xml:space="preserve">Prin intermediul acestei prioritati se prevede </w:t>
            </w:r>
            <w:r w:rsidR="002C59D6" w:rsidRPr="00F408C0">
              <w:rPr>
                <w:rFonts w:ascii="Times New Roman" w:hAnsi="Times New Roman" w:cs="Times New Roman"/>
                <w:sz w:val="20"/>
                <w:szCs w:val="20"/>
              </w:rPr>
              <w:t>susținerea comunităților locale pentru asigurarea accesului egal al copiilor și elevilor la infrastructura și serviciile de îngrijire și educație oferite în unitățile de învățământ de la toate nivelurile din Regiunea Centru, inclusiv prin accesibilizarea infrastructurii</w:t>
            </w:r>
            <w:r w:rsidR="00F408C0" w:rsidRPr="00F408C0">
              <w:rPr>
                <w:rFonts w:ascii="Times New Roman" w:hAnsi="Times New Roman" w:cs="Times New Roman"/>
                <w:sz w:val="20"/>
                <w:szCs w:val="20"/>
              </w:rPr>
              <w:t>.</w:t>
            </w:r>
          </w:p>
          <w:p w:rsidR="002C59D6" w:rsidRPr="00F408C0" w:rsidRDefault="00F408C0" w:rsidP="00E95FAC">
            <w:pPr>
              <w:spacing w:after="0" w:line="240" w:lineRule="auto"/>
              <w:jc w:val="both"/>
              <w:rPr>
                <w:rFonts w:ascii="Times New Roman" w:hAnsi="Times New Roman" w:cs="Times New Roman"/>
                <w:b/>
                <w:i/>
                <w:sz w:val="20"/>
                <w:szCs w:val="20"/>
                <w:u w:val="single"/>
              </w:rPr>
            </w:pPr>
            <w:r w:rsidRPr="00F408C0">
              <w:rPr>
                <w:rStyle w:val="Titlu1Caracter"/>
                <w:rFonts w:cs="Times New Roman"/>
                <w:sz w:val="20"/>
                <w:szCs w:val="20"/>
              </w:rPr>
              <w:lastRenderedPageBreak/>
              <w:t xml:space="preserve">P. 6 - </w:t>
            </w:r>
            <w:r w:rsidR="002C59D6" w:rsidRPr="00F408C0">
              <w:rPr>
                <w:rStyle w:val="Titlu1Caracter"/>
                <w:rFonts w:cs="Times New Roman"/>
                <w:sz w:val="20"/>
                <w:szCs w:val="20"/>
              </w:rPr>
              <w:t>O regiune atractivă</w:t>
            </w:r>
          </w:p>
          <w:p w:rsidR="002C59D6" w:rsidRPr="00F408C0" w:rsidRDefault="00F408C0" w:rsidP="00E95FAC">
            <w:pPr>
              <w:spacing w:after="0" w:line="240" w:lineRule="auto"/>
              <w:jc w:val="both"/>
              <w:rPr>
                <w:rFonts w:ascii="Times New Roman" w:hAnsi="Times New Roman" w:cs="Times New Roman"/>
              </w:rPr>
            </w:pPr>
            <w:r w:rsidRPr="00F408C0">
              <w:rPr>
                <w:rFonts w:ascii="Times New Roman" w:hAnsi="Times New Roman" w:cs="Times New Roman"/>
                <w:sz w:val="20"/>
                <w:szCs w:val="20"/>
              </w:rPr>
              <w:t>Prin această prioritate s</w:t>
            </w:r>
            <w:r w:rsidR="002A03F2" w:rsidRPr="00F408C0">
              <w:rPr>
                <w:rFonts w:ascii="Times New Roman" w:hAnsi="Times New Roman" w:cs="Times New Roman"/>
                <w:sz w:val="20"/>
                <w:szCs w:val="20"/>
              </w:rPr>
              <w:t xml:space="preserve">e urmareste </w:t>
            </w:r>
            <w:r w:rsidR="002A03F2" w:rsidRPr="00F408C0">
              <w:rPr>
                <w:rFonts w:ascii="Times New Roman" w:eastAsia="Calibri" w:hAnsi="Times New Roman" w:cs="Times New Roman"/>
                <w:noProof/>
                <w:sz w:val="20"/>
                <w:szCs w:val="20"/>
                <w:lang w:eastAsia="en-GB"/>
              </w:rPr>
              <w:t>dezvoltarea urbană integrată în funcție de nevoile fiecărei categorii de orașe</w:t>
            </w:r>
            <w:r w:rsidR="002F1FF5" w:rsidRPr="00F408C0">
              <w:rPr>
                <w:rFonts w:ascii="Times New Roman" w:eastAsia="Calibri" w:hAnsi="Times New Roman" w:cs="Times New Roman"/>
                <w:noProof/>
                <w:sz w:val="20"/>
                <w:szCs w:val="20"/>
                <w:lang w:eastAsia="en-GB"/>
              </w:rPr>
              <w:t xml:space="preserve">. </w:t>
            </w:r>
            <w:r w:rsidR="002F1FF5" w:rsidRPr="00F408C0">
              <w:rPr>
                <w:rFonts w:ascii="Times New Roman" w:hAnsi="Times New Roman" w:cs="Times New Roman"/>
                <w:sz w:val="20"/>
                <w:szCs w:val="20"/>
              </w:rPr>
              <w:t>De asemenea, intervențiile au în vedere valorificarea potențialului economic al turismului din zonele urbane și rurale</w:t>
            </w:r>
          </w:p>
          <w:p w:rsidR="00512B78" w:rsidRDefault="00512B78" w:rsidP="00E95FAC">
            <w:pPr>
              <w:keepNext/>
              <w:spacing w:after="0" w:line="240" w:lineRule="auto"/>
              <w:jc w:val="both"/>
              <w:rPr>
                <w:rFonts w:ascii="Times New Roman" w:hAnsi="Times New Roman" w:cs="Times New Roman"/>
                <w:b/>
                <w:sz w:val="20"/>
                <w:szCs w:val="20"/>
                <w:u w:val="single"/>
              </w:rPr>
            </w:pPr>
          </w:p>
          <w:p w:rsidR="00F408C0" w:rsidRDefault="002C59D6" w:rsidP="00E95FAC">
            <w:pPr>
              <w:keepNext/>
              <w:spacing w:after="0" w:line="240" w:lineRule="auto"/>
              <w:jc w:val="both"/>
              <w:rPr>
                <w:rFonts w:ascii="Times New Roman" w:hAnsi="Times New Roman" w:cs="Times New Roman"/>
                <w:b/>
                <w:sz w:val="20"/>
                <w:szCs w:val="20"/>
                <w:u w:val="single"/>
              </w:rPr>
            </w:pPr>
            <w:r w:rsidRPr="00F408C0">
              <w:rPr>
                <w:rFonts w:ascii="Times New Roman" w:hAnsi="Times New Roman" w:cs="Times New Roman"/>
                <w:b/>
                <w:sz w:val="20"/>
                <w:szCs w:val="20"/>
                <w:u w:val="single"/>
              </w:rPr>
              <w:t xml:space="preserve">Lecții învățate </w:t>
            </w:r>
          </w:p>
          <w:p w:rsidR="007A72F1" w:rsidRPr="00F408C0" w:rsidRDefault="007A72F1" w:rsidP="00E95FAC">
            <w:pPr>
              <w:keepNext/>
              <w:spacing w:after="0" w:line="240" w:lineRule="auto"/>
              <w:jc w:val="both"/>
              <w:rPr>
                <w:rFonts w:ascii="Times New Roman" w:hAnsi="Times New Roman" w:cs="Times New Roman"/>
                <w:sz w:val="20"/>
                <w:szCs w:val="20"/>
              </w:rPr>
            </w:pPr>
            <w:r w:rsidRPr="00F408C0">
              <w:rPr>
                <w:rFonts w:ascii="Times New Roman" w:hAnsi="Times New Roman" w:cs="Times New Roman"/>
                <w:sz w:val="20"/>
                <w:szCs w:val="20"/>
              </w:rPr>
              <w:t>Evaluările intervențiilor derulate în perioadele anterioare de programare arată că succesul intervențiilor depinde în mare măsură de designul acestora, de construcția și derularea apelurilor, de capacitatea beneficiarilor și de regulile de implementare a proiectelor. La rândul lor, toate aceste aspecte sunt influențate în mare măsură de specificul domeniului în care se realizează investițiile. Drept urmare, pe lângă aspectele orizontale, comune, programarea a avut în vedere și numeroase lecții învățate la nivel sectorial:</w:t>
            </w:r>
          </w:p>
          <w:p w:rsidR="007A72F1" w:rsidRPr="00F408C0" w:rsidRDefault="00AE02C0" w:rsidP="002B7E8C">
            <w:pPr>
              <w:pStyle w:val="Listparagraf"/>
              <w:keepNext/>
              <w:numPr>
                <w:ilvl w:val="0"/>
                <w:numId w:val="83"/>
              </w:numPr>
              <w:spacing w:before="0" w:after="0" w:line="240" w:lineRule="auto"/>
              <w:ind w:left="252" w:hanging="252"/>
              <w:jc w:val="both"/>
              <w:rPr>
                <w:sz w:val="20"/>
                <w:szCs w:val="20"/>
                <w:lang w:val="ro-RO"/>
              </w:rPr>
            </w:pPr>
            <w:r>
              <w:rPr>
                <w:sz w:val="20"/>
                <w:szCs w:val="20"/>
                <w:lang w:val="ro-RO"/>
              </w:rPr>
              <w:t xml:space="preserve">Calitatea proiectelor este esențială pentru succesul implementării programului, </w:t>
            </w:r>
            <w:r w:rsidR="007A72F1" w:rsidRPr="00F408C0">
              <w:rPr>
                <w:sz w:val="20"/>
                <w:szCs w:val="20"/>
                <w:lang w:val="ro-RO"/>
              </w:rPr>
              <w:t xml:space="preserve">cât și pentru atingerea și sustenabilitatea rezultatelor la nivel de program. </w:t>
            </w:r>
            <w:r>
              <w:rPr>
                <w:sz w:val="20"/>
                <w:szCs w:val="20"/>
                <w:lang w:val="ro-RO"/>
              </w:rPr>
              <w:t xml:space="preserve">Astfel este nevoie de o simplificare a procesului de accesare a fondurilor: ghiduri simplificate și ușor de înțeles, proces de selecție ușor, dar care să asigure identificarea proiectelor de calitate, </w:t>
            </w:r>
            <w:r w:rsidR="007A72F1" w:rsidRPr="00F408C0">
              <w:rPr>
                <w:sz w:val="20"/>
                <w:szCs w:val="20"/>
                <w:lang w:val="ro-RO"/>
              </w:rPr>
              <w:t>sprijin rapid și coerent către solicitanți pentru rezolvarea neclarităților</w:t>
            </w:r>
            <w:r>
              <w:rPr>
                <w:sz w:val="20"/>
                <w:szCs w:val="20"/>
                <w:lang w:val="ro-RO"/>
              </w:rPr>
              <w:t>, dar și susținerea celor cu capacitate administrativă redusă</w:t>
            </w:r>
          </w:p>
          <w:p w:rsidR="002C59D6" w:rsidRPr="00512B78" w:rsidRDefault="007A72F1" w:rsidP="002B7E8C">
            <w:pPr>
              <w:pStyle w:val="Listparagraf"/>
              <w:numPr>
                <w:ilvl w:val="0"/>
                <w:numId w:val="83"/>
              </w:numPr>
              <w:spacing w:before="0" w:after="0" w:line="240" w:lineRule="auto"/>
              <w:ind w:left="252" w:hanging="252"/>
              <w:jc w:val="both"/>
              <w:rPr>
                <w:sz w:val="20"/>
                <w:szCs w:val="20"/>
              </w:rPr>
            </w:pPr>
            <w:r w:rsidRPr="00512B78">
              <w:rPr>
                <w:sz w:val="20"/>
                <w:szCs w:val="20"/>
              </w:rPr>
              <w:t xml:space="preserve">In domeniul CDI, </w:t>
            </w:r>
            <w:r w:rsidR="002C59D6" w:rsidRPr="00512B78">
              <w:rPr>
                <w:rFonts w:eastAsia="Times New Roman"/>
                <w:sz w:val="20"/>
                <w:szCs w:val="20"/>
              </w:rPr>
              <w:t xml:space="preserve">modelul clasic de inovare este mult prea liniar și a fost semnalată nevoia de etapizare în introducerea formelor de inovare accelerată bazate pe cooperare (open-innovation, demand driven co-creation). </w:t>
            </w:r>
            <w:r w:rsidR="002C59D6" w:rsidRPr="00512B78">
              <w:rPr>
                <w:iCs/>
                <w:sz w:val="20"/>
                <w:szCs w:val="20"/>
              </w:rPr>
              <w:t xml:space="preserve">Apelurile complexe, cu mai multe etape, inclusiv de precalificare, nu garantează o preselecție eficientă a proiectelor. Asigurarea susținerii în întregime a ciclului de inovare poate fi mai bine realizată prin finanțări în cascadă. Este necesar ca anumite ipoteze de intervenție publică să fie testate în prima parte a perioadei de programare pentru a permite integrarea rezultatelor și reconfigurarea instrumentelor de intervenție. </w:t>
            </w:r>
            <w:r w:rsidR="002C59D6" w:rsidRPr="00512B78">
              <w:rPr>
                <w:sz w:val="20"/>
                <w:szCs w:val="20"/>
              </w:rPr>
              <w:t>Sprijinirea IMM trebuie să fie flexibilă şi centrată pe nevoile lor. Orice restricţie administrativă va conduce la un comportament oportunist din partea IMM. Este recomandat ca o întreprindere să poată aplica pentru diferite proiecte, cum ar fi cercetarea și dezvoltarea, instruirea, eficiența energetică, dar în cadrul aceluiași proces sau apel. Măsurile de sprijin pentru creşterea competitivităţii economice trebuie să ţintească IMM-uri cu potențial mare de creștere, structuri de parteneriat antreprenorial, inclusiv de tip informal, clustere inovative și rețele de lanțuri de valoare şi să focalizeze mai bine eligibilitatea pe domeniile de specializare ale regiunilor.</w:t>
            </w:r>
          </w:p>
          <w:p w:rsidR="002C59D6" w:rsidRPr="00F408C0" w:rsidRDefault="002C59D6" w:rsidP="002B7E8C">
            <w:pPr>
              <w:pStyle w:val="Bullet"/>
              <w:numPr>
                <w:ilvl w:val="0"/>
                <w:numId w:val="83"/>
              </w:numPr>
              <w:spacing w:before="0" w:after="0" w:line="240" w:lineRule="auto"/>
              <w:ind w:left="252" w:hanging="252"/>
              <w:jc w:val="both"/>
              <w:rPr>
                <w:sz w:val="20"/>
                <w:szCs w:val="20"/>
                <w:lang w:val="ro-RO"/>
              </w:rPr>
            </w:pPr>
            <w:r w:rsidRPr="00F408C0">
              <w:rPr>
                <w:sz w:val="20"/>
                <w:szCs w:val="20"/>
                <w:lang w:val="ro-RO"/>
              </w:rPr>
              <w:t>Analizele efectuate pe documentele de evaluare aferente perioadelor anterioare de programare arată că în perioada 2014-2020 îmbunătățirea eficienței energetice a clădirilor a fost cea mai eficientă investiție din punctul de vedere al raportului cost/beneficiu pentru a realiza reduceri de CO</w:t>
            </w:r>
            <w:r w:rsidRPr="00F408C0">
              <w:rPr>
                <w:sz w:val="20"/>
                <w:szCs w:val="20"/>
                <w:vertAlign w:val="subscript"/>
                <w:lang w:val="ro-RO"/>
              </w:rPr>
              <w:t>2</w:t>
            </w:r>
            <w:r w:rsidRPr="00F408C0">
              <w:rPr>
                <w:sz w:val="20"/>
                <w:szCs w:val="20"/>
                <w:lang w:val="ro-RO"/>
              </w:rPr>
              <w:t xml:space="preserve"> . Iluminatul stradal și intervențiile privind mobilitatea urbană, pe de altă parte, prezintă un cost unitar mult mai ridicat pentru reducerea emisiilor de CO</w:t>
            </w:r>
            <w:r w:rsidRPr="00F408C0">
              <w:rPr>
                <w:sz w:val="20"/>
                <w:szCs w:val="20"/>
                <w:vertAlign w:val="subscript"/>
                <w:lang w:val="ro-RO"/>
              </w:rPr>
              <w:t>2</w:t>
            </w:r>
            <w:r w:rsidRPr="00F408C0">
              <w:rPr>
                <w:sz w:val="20"/>
                <w:szCs w:val="20"/>
                <w:lang w:val="ro-RO"/>
              </w:rPr>
              <w:t>. În acest sens, pentru reducerea emisiilor de CO2, în perioada 2021 -2027 este necesară continuarea sprijinirii intervențiilor din aceste domenii. Simplificarea procedurilor, creșterea clarității documentelor de aplicare și asigurarea unei mai bune coordonări sunt provocările majore ale acestei perioade de programare; până în prezent, la nivel regional au identificate o serie de recomandări pentru îmbunătățirea politicilor din domeniul energiei și eficienței energetice realizat în cadrul unui proiect interregional derulat de ADR Centru</w:t>
            </w:r>
            <w:r w:rsidRPr="00F408C0">
              <w:rPr>
                <w:rStyle w:val="Referinnotdesubsol"/>
                <w:sz w:val="20"/>
                <w:szCs w:val="20"/>
                <w:lang w:val="ro-RO"/>
              </w:rPr>
              <w:footnoteReference w:id="12"/>
            </w:r>
            <w:r w:rsidRPr="00F408C0">
              <w:rPr>
                <w:sz w:val="20"/>
                <w:szCs w:val="20"/>
                <w:lang w:val="ro-RO"/>
              </w:rPr>
              <w:t>, fiind identificate principalele acțiuni ce pot contribui la și îmbunătățirea POR 2021-2027.</w:t>
            </w:r>
          </w:p>
          <w:p w:rsidR="00AA730A" w:rsidRPr="00AA730A" w:rsidRDefault="007A72F1" w:rsidP="002B7E8C">
            <w:pPr>
              <w:pStyle w:val="Listparagraf"/>
              <w:numPr>
                <w:ilvl w:val="0"/>
                <w:numId w:val="83"/>
              </w:numPr>
              <w:spacing w:before="0" w:after="0" w:line="240" w:lineRule="auto"/>
              <w:ind w:left="252" w:hanging="252"/>
              <w:jc w:val="both"/>
              <w:rPr>
                <w:bCs/>
                <w:noProof/>
                <w:sz w:val="20"/>
                <w:szCs w:val="20"/>
              </w:rPr>
            </w:pPr>
            <w:r w:rsidRPr="00F408C0">
              <w:rPr>
                <w:sz w:val="20"/>
                <w:szCs w:val="20"/>
                <w:lang w:val="ro-RO"/>
              </w:rPr>
              <w:t xml:space="preserve">Intervențiile de revitalizare urbană au înregistrat un interes redus în perioada anterioară, cauzat de o serie de limitări ale criteriilor de eligibilitate (minimul suprafeței supusă intervenției, maximul suprafeței construite acceptate în cadrul intervenției, necesitatea existenței ”Registrului spațiilor verzi”). </w:t>
            </w:r>
          </w:p>
          <w:p w:rsidR="00512B78" w:rsidRPr="00512B78" w:rsidRDefault="00AA730A" w:rsidP="002B7E8C">
            <w:pPr>
              <w:pStyle w:val="Listparagraf"/>
              <w:numPr>
                <w:ilvl w:val="0"/>
                <w:numId w:val="83"/>
              </w:numPr>
              <w:spacing w:before="0" w:after="0" w:line="240" w:lineRule="auto"/>
              <w:ind w:left="252" w:hanging="252"/>
              <w:jc w:val="both"/>
              <w:rPr>
                <w:bCs/>
                <w:noProof/>
                <w:sz w:val="20"/>
                <w:szCs w:val="20"/>
              </w:rPr>
            </w:pPr>
            <w:r>
              <w:rPr>
                <w:sz w:val="20"/>
                <w:szCs w:val="20"/>
                <w:lang w:val="ro-RO"/>
              </w:rPr>
              <w:t>Pe domeniul infrastructurii educaționale una dinrecomandările principale ale evaluării</w:t>
            </w:r>
            <w:r w:rsidR="002C59D6" w:rsidRPr="00512B78">
              <w:rPr>
                <w:rFonts w:eastAsia="MS Gothic"/>
                <w:sz w:val="20"/>
                <w:szCs w:val="20"/>
                <w:lang w:eastAsia="en-GB"/>
              </w:rPr>
              <w:t xml:space="preserve"> intermediar</w:t>
            </w:r>
            <w:r>
              <w:rPr>
                <w:rFonts w:eastAsia="MS Gothic"/>
                <w:sz w:val="20"/>
                <w:szCs w:val="20"/>
                <w:lang w:eastAsia="en-GB"/>
              </w:rPr>
              <w:t>e</w:t>
            </w:r>
            <w:r w:rsidR="002C59D6" w:rsidRPr="00512B78">
              <w:rPr>
                <w:rFonts w:eastAsia="MS Gothic"/>
                <w:sz w:val="20"/>
                <w:szCs w:val="20"/>
                <w:lang w:eastAsia="en-GB"/>
              </w:rPr>
              <w:t xml:space="preserve"> a POR 2014/2020 </w:t>
            </w:r>
            <w:r>
              <w:rPr>
                <w:rFonts w:eastAsia="MS Gothic"/>
                <w:sz w:val="20"/>
                <w:szCs w:val="20"/>
                <w:lang w:eastAsia="en-GB"/>
              </w:rPr>
              <w:t>a vizat</w:t>
            </w:r>
            <w:r w:rsidR="00512B78">
              <w:rPr>
                <w:rFonts w:eastAsia="MS Gothic"/>
                <w:sz w:val="20"/>
                <w:szCs w:val="20"/>
                <w:lang w:eastAsia="en-GB"/>
              </w:rPr>
              <w:t xml:space="preserve"> </w:t>
            </w:r>
            <w:r w:rsidR="002C59D6" w:rsidRPr="00512B78">
              <w:rPr>
                <w:rFonts w:eastAsia="MS Gothic"/>
                <w:sz w:val="20"/>
                <w:szCs w:val="20"/>
                <w:lang w:eastAsia="en-GB"/>
              </w:rPr>
              <w:t>abordarea integrată a intervențiilor, avându-se în vedere atât scopul serviciilor educaționale, cât și actorii cu atribuții legale în domeniul educației prin crearea cadrului de colaborare comunicare (MEC, ISJ-uri, UAT-uri).</w:t>
            </w:r>
          </w:p>
          <w:p w:rsidR="002C59D6" w:rsidRPr="00512B78" w:rsidRDefault="002C59D6" w:rsidP="002B7E8C">
            <w:pPr>
              <w:pStyle w:val="Listparagraf"/>
              <w:numPr>
                <w:ilvl w:val="0"/>
                <w:numId w:val="83"/>
              </w:numPr>
              <w:spacing w:before="0" w:after="0" w:line="240" w:lineRule="auto"/>
              <w:ind w:left="252" w:hanging="252"/>
              <w:jc w:val="both"/>
              <w:rPr>
                <w:bCs/>
                <w:noProof/>
                <w:sz w:val="20"/>
                <w:szCs w:val="20"/>
              </w:rPr>
            </w:pPr>
            <w:r w:rsidRPr="00512B78">
              <w:rPr>
                <w:noProof/>
                <w:sz w:val="20"/>
                <w:szCs w:val="20"/>
              </w:rPr>
              <w:t xml:space="preserve">Experiența programelor POR anterioare a relevat nevoia unui mai bun management al obiectivelor de patrimoniu, ulterior realizării intervențiilor (plan de conservare, plan de promovare, etc.).  </w:t>
            </w:r>
            <w:r w:rsidR="00E30441" w:rsidRPr="00512B78">
              <w:rPr>
                <w:iCs/>
                <w:sz w:val="20"/>
                <w:szCs w:val="20"/>
              </w:rPr>
              <w:t xml:space="preserve">O altă lecție învățată este importanța abordării promovării turistice bazată pe managementul destinațiilor turistice. </w:t>
            </w:r>
            <w:r w:rsidRPr="00512B78">
              <w:rPr>
                <w:noProof/>
                <w:sz w:val="20"/>
                <w:szCs w:val="20"/>
              </w:rPr>
              <w:t>Totodată, s-a recomandat dezvoltarea de planuri de interpretare. Obiectivele de patrimoniu construit au în general multe istorii care nu sunt explicite, motiv pentru care nu sunt cunoscute. Se recomandă impunerea unor activități care să dezvolte planurile de interpretare pentru public care să conțină stimuli și interpretări, respectându-se adevărul istoric.</w:t>
            </w:r>
          </w:p>
          <w:p w:rsidR="002B5135" w:rsidRPr="00512B78" w:rsidRDefault="002B5135" w:rsidP="00E95FAC">
            <w:pPr>
              <w:spacing w:after="0" w:line="240" w:lineRule="auto"/>
              <w:rPr>
                <w:rFonts w:ascii="Times New Roman" w:hAnsi="Times New Roman" w:cs="Times New Roman"/>
                <w:bCs/>
                <w:noProof/>
                <w:sz w:val="20"/>
                <w:szCs w:val="20"/>
              </w:rPr>
            </w:pPr>
          </w:p>
          <w:p w:rsidR="002C59D6" w:rsidRPr="00E95FAC" w:rsidRDefault="002B5135" w:rsidP="00E95FAC">
            <w:pPr>
              <w:spacing w:after="0" w:line="240" w:lineRule="auto"/>
              <w:jc w:val="both"/>
              <w:rPr>
                <w:rFonts w:ascii="Times New Roman" w:hAnsi="Times New Roman" w:cs="Times New Roman"/>
                <w:i/>
                <w:sz w:val="24"/>
                <w:szCs w:val="24"/>
              </w:rPr>
            </w:pPr>
            <w:r w:rsidRPr="00E95FAC">
              <w:rPr>
                <w:rFonts w:ascii="Times New Roman" w:hAnsi="Times New Roman" w:cs="Times New Roman"/>
                <w:i/>
                <w:sz w:val="24"/>
                <w:szCs w:val="24"/>
              </w:rPr>
              <w:t xml:space="preserve">Abordarea privind dezvoltarea urbană integrată </w:t>
            </w:r>
          </w:p>
          <w:p w:rsidR="00827086" w:rsidRPr="00512B78" w:rsidRDefault="00827086" w:rsidP="00E95FAC">
            <w:pPr>
              <w:spacing w:after="0" w:line="240" w:lineRule="auto"/>
              <w:jc w:val="both"/>
              <w:rPr>
                <w:rFonts w:ascii="Times New Roman" w:hAnsi="Times New Roman" w:cs="Times New Roman"/>
                <w:sz w:val="20"/>
                <w:szCs w:val="20"/>
              </w:rPr>
            </w:pPr>
            <w:r w:rsidRPr="00512B78">
              <w:rPr>
                <w:rFonts w:ascii="Times New Roman" w:hAnsi="Times New Roman" w:cs="Times New Roman"/>
                <w:sz w:val="20"/>
                <w:szCs w:val="20"/>
              </w:rPr>
              <w:t xml:space="preserve">Considerate </w:t>
            </w:r>
            <w:r w:rsidRPr="00512B78">
              <w:rPr>
                <w:rFonts w:ascii="Times New Roman" w:hAnsi="Times New Roman" w:cs="Times New Roman"/>
                <w:b/>
                <w:sz w:val="20"/>
                <w:szCs w:val="20"/>
              </w:rPr>
              <w:t>motoare ale economiei</w:t>
            </w:r>
            <w:r w:rsidRPr="00512B78">
              <w:rPr>
                <w:rFonts w:ascii="Times New Roman" w:hAnsi="Times New Roman" w:cs="Times New Roman"/>
                <w:sz w:val="20"/>
                <w:szCs w:val="20"/>
              </w:rPr>
              <w:t xml:space="preserve">, orașele sunt catalizatori pentru creativitate și inovare. Diversele dimensiuni ale vieții urbane - economică, socială, culturală și de mediu - sunt strâns legate între ele, iar succesul în materie de </w:t>
            </w:r>
            <w:r w:rsidRPr="00512B78">
              <w:rPr>
                <w:rFonts w:ascii="Times New Roman" w:hAnsi="Times New Roman" w:cs="Times New Roman"/>
                <w:sz w:val="20"/>
                <w:szCs w:val="20"/>
              </w:rPr>
              <w:lastRenderedPageBreak/>
              <w:t xml:space="preserve">dezvoltare urbană poate fi atins numai prin intermediul unei </w:t>
            </w:r>
            <w:r w:rsidRPr="00512B78">
              <w:rPr>
                <w:rFonts w:ascii="Times New Roman" w:hAnsi="Times New Roman" w:cs="Times New Roman"/>
                <w:b/>
                <w:sz w:val="20"/>
                <w:szCs w:val="20"/>
              </w:rPr>
              <w:t xml:space="preserve">abordări integrate, </w:t>
            </w:r>
            <w:r w:rsidRPr="00512B78">
              <w:rPr>
                <w:rFonts w:ascii="Times New Roman" w:hAnsi="Times New Roman" w:cs="Times New Roman"/>
                <w:sz w:val="20"/>
                <w:szCs w:val="20"/>
              </w:rPr>
              <w:t xml:space="preserve">care să vizeze atât dimensiunile sustenabilității urbane, cât și provocările și noile tendințe privind progresul societății.  </w:t>
            </w:r>
          </w:p>
          <w:p w:rsidR="00827086" w:rsidRPr="00512B78" w:rsidRDefault="00827086" w:rsidP="00446B00">
            <w:pPr>
              <w:spacing w:after="0" w:line="240" w:lineRule="auto"/>
              <w:jc w:val="both"/>
            </w:pPr>
            <w:r w:rsidRPr="00512B78">
              <w:rPr>
                <w:rFonts w:ascii="Times New Roman" w:hAnsi="Times New Roman" w:cs="Times New Roman"/>
                <w:sz w:val="20"/>
                <w:szCs w:val="20"/>
              </w:rPr>
              <w:t>Rețeaua urbană de localități din Regiunea Centru este formată din 57 de orașe (dintre care 20 sunt municipii). Dinamica și configurația rețelei de localități sunt factori care au influențat în mod direct nivelul de dezvoltare socială și economică a Regiunii. R</w:t>
            </w:r>
            <w:r w:rsidRPr="00512B78">
              <w:rPr>
                <w:rFonts w:ascii="Times New Roman" w:hAnsi="Times New Roman" w:cs="Times New Roman"/>
                <w:b/>
                <w:sz w:val="20"/>
                <w:szCs w:val="20"/>
              </w:rPr>
              <w:t>ețeaua urbană la nivelul Regiunii Centru</w:t>
            </w:r>
            <w:r w:rsidRPr="00512B78">
              <w:rPr>
                <w:rFonts w:ascii="Times New Roman" w:hAnsi="Times New Roman" w:cs="Times New Roman"/>
                <w:sz w:val="20"/>
                <w:szCs w:val="20"/>
              </w:rPr>
              <w:t xml:space="preserve"> cuprinde un oraș peste 200.000 locuitori (Brașov), două orașe cu o populație între 100.000-200.000 locuitori (Sibiu și Târgu Mureș), trei orașe cu o populație între 50.000-100.000 locuitori (Alba Iulia, Mediaș și Sfântu Gheorghe), 16 orașe cu o populație între 20.000-50.000 locuitori și 35 de orașe cu o populație mai mică de 20.000 locuitori. </w:t>
            </w:r>
          </w:p>
          <w:p w:rsidR="006323DB" w:rsidRPr="00512B78" w:rsidRDefault="00827086" w:rsidP="00E95FAC">
            <w:pPr>
              <w:spacing w:after="0" w:line="240" w:lineRule="auto"/>
              <w:jc w:val="both"/>
              <w:rPr>
                <w:rFonts w:ascii="Times New Roman" w:eastAsia="Calibri" w:hAnsi="Times New Roman" w:cs="Times New Roman"/>
                <w:noProof/>
                <w:sz w:val="20"/>
                <w:szCs w:val="20"/>
                <w:lang w:val="en-US"/>
              </w:rPr>
            </w:pPr>
            <w:r w:rsidRPr="00512B78">
              <w:rPr>
                <w:rFonts w:ascii="Times New Roman" w:hAnsi="Times New Roman" w:cs="Times New Roman"/>
                <w:noProof/>
                <w:sz w:val="20"/>
                <w:szCs w:val="20"/>
              </w:rPr>
              <w:t xml:space="preserve">În implementarea politicii de dezvoltare urbană la nivelul Regiunii Centru se propune o abordare integrată care să ia în calcul următoarele aspecte: continuitate, simplificare, flexibilitate, implicare locală. Dezvoltarea urbană ar trebui abordată similar cu perioada actuală de programare, menținând aspectele funcționale. </w:t>
            </w:r>
            <w:r w:rsidRPr="00512B78">
              <w:rPr>
                <w:rFonts w:ascii="Times New Roman" w:hAnsi="Times New Roman" w:cs="Times New Roman"/>
                <w:sz w:val="20"/>
                <w:szCs w:val="20"/>
              </w:rPr>
              <w:t>Abordarea dezvoltării urbane pleacă pe de o parte de la necesitatea de a susține centrele urbane mari ca poli de dezvoltare economică și cunoaștere la nivel regional pentru a face față provocărilor generate de extinderea zonelor metropolitane, accentuarea problemelor de mediu și sociale, iar pe de altă parte de a crea oportunități de dezvoltare și menținere a populației în orașele mici și mijlocii care se confruntă cu scădere demografică, probleme economice și sociale.</w:t>
            </w:r>
          </w:p>
          <w:p w:rsidR="00827086" w:rsidRPr="00512B78" w:rsidRDefault="00827086" w:rsidP="00E95FAC">
            <w:pPr>
              <w:spacing w:after="0" w:line="240" w:lineRule="auto"/>
              <w:jc w:val="both"/>
              <w:rPr>
                <w:rFonts w:ascii="Times New Roman" w:hAnsi="Times New Roman" w:cs="Times New Roman"/>
                <w:sz w:val="20"/>
                <w:szCs w:val="20"/>
              </w:rPr>
            </w:pPr>
            <w:r w:rsidRPr="00512B78">
              <w:rPr>
                <w:rFonts w:ascii="Times New Roman" w:eastAsia="Calibri" w:hAnsi="Times New Roman" w:cs="Times New Roman"/>
                <w:noProof/>
                <w:sz w:val="20"/>
                <w:szCs w:val="20"/>
                <w:lang w:val="en-US"/>
              </w:rPr>
              <w:t>Astfel, finanțarea dezvoltării urbane durabile prin POR se va face în următoarea perioadă ținând cont de nevoile orașelor identificate</w:t>
            </w:r>
            <w:r w:rsidRPr="00512B78">
              <w:rPr>
                <w:rFonts w:ascii="Times New Roman" w:eastAsia="Calibri" w:hAnsi="Times New Roman" w:cs="Times New Roman"/>
                <w:sz w:val="20"/>
                <w:szCs w:val="20"/>
                <w:lang w:val="en-US"/>
              </w:rPr>
              <w:t xml:space="preserve"> </w:t>
            </w:r>
            <w:r w:rsidRPr="00512B78">
              <w:rPr>
                <w:rFonts w:ascii="Times New Roman" w:eastAsia="Calibri" w:hAnsi="Times New Roman" w:cs="Times New Roman"/>
                <w:noProof/>
                <w:sz w:val="20"/>
                <w:szCs w:val="20"/>
                <w:lang w:val="en-US"/>
              </w:rPr>
              <w:t>în mod diferențiat (nevoi ale orașelor mari și mijlocii și nevoi ale centrelor urbane mici) în cadrul analizei la nivel regional și respectând următoarele principii:</w:t>
            </w:r>
          </w:p>
          <w:p w:rsidR="00827086" w:rsidRPr="00512B78" w:rsidRDefault="00827086" w:rsidP="00E95FAC">
            <w:pPr>
              <w:numPr>
                <w:ilvl w:val="0"/>
                <w:numId w:val="79"/>
              </w:numPr>
              <w:spacing w:after="0" w:line="240" w:lineRule="auto"/>
              <w:contextualSpacing/>
              <w:jc w:val="both"/>
              <w:rPr>
                <w:rFonts w:ascii="Times New Roman" w:eastAsia="Calibri" w:hAnsi="Times New Roman" w:cs="Times New Roman"/>
                <w:noProof/>
                <w:sz w:val="20"/>
                <w:szCs w:val="20"/>
                <w:lang w:val="en-US"/>
              </w:rPr>
            </w:pPr>
            <w:r w:rsidRPr="00512B78">
              <w:rPr>
                <w:rFonts w:ascii="Times New Roman" w:eastAsia="Calibri" w:hAnsi="Times New Roman" w:cs="Times New Roman"/>
                <w:noProof/>
                <w:sz w:val="20"/>
                <w:szCs w:val="20"/>
                <w:lang w:val="en-US"/>
              </w:rPr>
              <w:t>Dezvoltarea urbană trebuie să contribuie la dezvoltarea echilibrată a Regiunii și la reducerea disparităților economice, sociale și teritoriale</w:t>
            </w:r>
          </w:p>
          <w:p w:rsidR="00827086" w:rsidRPr="00512B78" w:rsidRDefault="00827086" w:rsidP="00E95FAC">
            <w:pPr>
              <w:numPr>
                <w:ilvl w:val="0"/>
                <w:numId w:val="79"/>
              </w:numPr>
              <w:spacing w:after="0" w:line="240" w:lineRule="auto"/>
              <w:contextualSpacing/>
              <w:jc w:val="both"/>
              <w:rPr>
                <w:rFonts w:ascii="Times New Roman" w:eastAsia="Calibri" w:hAnsi="Times New Roman" w:cs="Times New Roman"/>
                <w:noProof/>
                <w:sz w:val="20"/>
                <w:szCs w:val="20"/>
                <w:lang w:val="en-US"/>
              </w:rPr>
            </w:pPr>
            <w:r w:rsidRPr="00512B78">
              <w:rPr>
                <w:rFonts w:ascii="Times New Roman" w:eastAsia="Calibri" w:hAnsi="Times New Roman" w:cs="Times New Roman"/>
                <w:sz w:val="20"/>
                <w:szCs w:val="20"/>
              </w:rPr>
              <w:t>Încurajarea unei viziuni de dezvoltare la un nivel teritorial mai extins prin stabilirea ZUF-urilor și a structurilor funcționale aferente pentru orașele cu un număr mare de locuitori (&gt;50.000 locuitori), în special în cazul municipiilor reședință de județ</w:t>
            </w:r>
          </w:p>
          <w:p w:rsidR="00827086" w:rsidRPr="00512B78" w:rsidRDefault="00827086" w:rsidP="00E95FAC">
            <w:pPr>
              <w:numPr>
                <w:ilvl w:val="0"/>
                <w:numId w:val="79"/>
              </w:numPr>
              <w:spacing w:after="0" w:line="240" w:lineRule="auto"/>
              <w:contextualSpacing/>
              <w:jc w:val="both"/>
              <w:rPr>
                <w:rFonts w:ascii="Times New Roman" w:eastAsia="Calibri" w:hAnsi="Times New Roman" w:cs="Times New Roman"/>
                <w:noProof/>
                <w:sz w:val="20"/>
                <w:szCs w:val="20"/>
                <w:lang w:val="en-US"/>
              </w:rPr>
            </w:pPr>
            <w:r w:rsidRPr="00512B78">
              <w:rPr>
                <w:rFonts w:ascii="Times New Roman" w:eastAsia="Calibri" w:hAnsi="Times New Roman" w:cs="Times New Roman"/>
                <w:noProof/>
                <w:sz w:val="20"/>
                <w:szCs w:val="20"/>
                <w:lang w:val="en-US"/>
              </w:rPr>
              <w:t xml:space="preserve">Proiectele finanțate trebuie să respecte principiile dezvoltării urbane durabile și să se încadreze în strategiile de dezvoltare la nivel de oraș sau ZUF/zonă metropolitană </w:t>
            </w:r>
          </w:p>
          <w:p w:rsidR="00827086" w:rsidRPr="00B8302B" w:rsidRDefault="00BA6E60" w:rsidP="00446B00">
            <w:pPr>
              <w:numPr>
                <w:ilvl w:val="0"/>
                <w:numId w:val="79"/>
              </w:numPr>
              <w:spacing w:after="0" w:line="240" w:lineRule="auto"/>
              <w:contextualSpacing/>
              <w:jc w:val="both"/>
              <w:rPr>
                <w:rFonts w:ascii="Times New Roman" w:hAnsi="Times New Roman" w:cs="Times New Roman"/>
                <w:sz w:val="20"/>
                <w:szCs w:val="20"/>
              </w:rPr>
            </w:pPr>
            <w:r w:rsidRPr="00512B78">
              <w:rPr>
                <w:rFonts w:ascii="Times New Roman" w:eastAsia="Calibri" w:hAnsi="Times New Roman" w:cs="Times New Roman"/>
                <w:noProof/>
                <w:sz w:val="20"/>
                <w:szCs w:val="20"/>
                <w:lang w:val="en-US"/>
              </w:rPr>
              <w:t xml:space="preserve">Integrarea prevederilor OUG 156/2020 privind </w:t>
            </w:r>
            <w:r w:rsidRPr="00512B78">
              <w:rPr>
                <w:rFonts w:ascii="Times New Roman" w:eastAsia="Times New Roman" w:hAnsi="Times New Roman" w:cs="Times New Roman"/>
                <w:i/>
                <w:iCs/>
                <w:noProof/>
                <w:sz w:val="20"/>
                <w:szCs w:val="20"/>
                <w:lang w:val="en-GB"/>
              </w:rPr>
              <w:t>unele măsuri pentru sustinerea dezvoltarii teritoriale a localitatilor urbane si rurale din Romania cu finantare din fonduri externe nerambursabile</w:t>
            </w:r>
          </w:p>
          <w:p w:rsidR="006323DB" w:rsidRPr="00512B78" w:rsidRDefault="002B5135" w:rsidP="00E95FAC">
            <w:pPr>
              <w:spacing w:after="0" w:line="240" w:lineRule="auto"/>
              <w:jc w:val="both"/>
              <w:rPr>
                <w:rFonts w:ascii="Times New Roman" w:hAnsi="Times New Roman" w:cs="Times New Roman"/>
                <w:sz w:val="20"/>
                <w:szCs w:val="20"/>
              </w:rPr>
            </w:pPr>
            <w:r w:rsidRPr="00512B78">
              <w:rPr>
                <w:rFonts w:ascii="Times New Roman" w:hAnsi="Times New Roman" w:cs="Times New Roman"/>
                <w:sz w:val="20"/>
                <w:szCs w:val="20"/>
              </w:rPr>
              <w:t>Toate cele 6 priorități ale POR 2021-2027 vor aborda, într-o manieră integrată (bazată pe viziunea integrată a dezvoltării din SIDU/PMUD elaborate de municipii și orașe) provocările actuale ale zonelor urbane din Regiunea Centru.</w:t>
            </w:r>
            <w:r w:rsidR="00BA6E60" w:rsidRPr="00512B78">
              <w:rPr>
                <w:rFonts w:ascii="Times New Roman" w:hAnsi="Times New Roman" w:cs="Times New Roman"/>
                <w:sz w:val="20"/>
                <w:szCs w:val="20"/>
              </w:rPr>
              <w:t xml:space="preserve"> </w:t>
            </w:r>
          </w:p>
          <w:p w:rsidR="000A255F" w:rsidRPr="00CE3BCD" w:rsidRDefault="00827086" w:rsidP="00446B00">
            <w:pPr>
              <w:spacing w:after="0" w:line="240" w:lineRule="auto"/>
              <w:jc w:val="both"/>
              <w:rPr>
                <w:rFonts w:ascii="Times New Roman" w:hAnsi="Times New Roman" w:cs="Times New Roman"/>
                <w:sz w:val="20"/>
                <w:szCs w:val="20"/>
              </w:rPr>
            </w:pPr>
            <w:r w:rsidRPr="00512B78">
              <w:rPr>
                <w:rFonts w:ascii="Times New Roman" w:hAnsi="Times New Roman" w:cs="Times New Roman"/>
                <w:noProof/>
                <w:sz w:val="20"/>
                <w:szCs w:val="20"/>
              </w:rPr>
              <w:t xml:space="preserve">Dezvoltarea urbană va fi tratată separat pentru municipiile reședință de județ și </w:t>
            </w:r>
            <w:r w:rsidR="00BA6E60" w:rsidRPr="00512B78">
              <w:rPr>
                <w:rFonts w:ascii="Times New Roman" w:hAnsi="Times New Roman" w:cs="Times New Roman"/>
                <w:noProof/>
                <w:sz w:val="20"/>
                <w:szCs w:val="20"/>
              </w:rPr>
              <w:t xml:space="preserve">celelalte municipii de la nivel regional care vor avea alocari predefinite conform art. 6 </w:t>
            </w:r>
            <w:r w:rsidR="00512B78">
              <w:rPr>
                <w:rFonts w:ascii="Times New Roman" w:hAnsi="Times New Roman" w:cs="Times New Roman"/>
                <w:noProof/>
                <w:sz w:val="20"/>
                <w:szCs w:val="20"/>
              </w:rPr>
              <w:t xml:space="preserve">din </w:t>
            </w:r>
            <w:r w:rsidR="00BA6E60" w:rsidRPr="00512B78">
              <w:rPr>
                <w:rFonts w:ascii="Times New Roman" w:hAnsi="Times New Roman" w:cs="Times New Roman"/>
                <w:noProof/>
                <w:sz w:val="20"/>
                <w:szCs w:val="20"/>
              </w:rPr>
              <w:t>OUG</w:t>
            </w:r>
            <w:r w:rsidR="00FF7C93" w:rsidRPr="00512B78">
              <w:rPr>
                <w:rFonts w:ascii="Times New Roman" w:hAnsi="Times New Roman" w:cs="Times New Roman"/>
                <w:noProof/>
                <w:sz w:val="20"/>
                <w:szCs w:val="20"/>
              </w:rPr>
              <w:t xml:space="preserve">156/2020. </w:t>
            </w:r>
            <w:r w:rsidR="00FF7C93" w:rsidRPr="00512B78">
              <w:rPr>
                <w:rFonts w:ascii="Times New Roman" w:hAnsi="Times New Roman" w:cs="Times New Roman"/>
                <w:sz w:val="20"/>
                <w:szCs w:val="20"/>
              </w:rPr>
              <w:t>In calculul realizat pentru incadrarea in procentul minim de alocare pentru dezvoltare urbana durabila</w:t>
            </w:r>
            <w:r w:rsidR="0067267B" w:rsidRPr="00512B78">
              <w:rPr>
                <w:rFonts w:ascii="Times New Roman" w:hAnsi="Times New Roman" w:cs="Times New Roman"/>
                <w:sz w:val="20"/>
                <w:szCs w:val="20"/>
              </w:rPr>
              <w:t xml:space="preserve"> si pentru stabilirea aloca</w:t>
            </w:r>
            <w:r w:rsidR="00FF7C93" w:rsidRPr="00512B78">
              <w:rPr>
                <w:rFonts w:ascii="Times New Roman" w:hAnsi="Times New Roman" w:cs="Times New Roman"/>
                <w:sz w:val="20"/>
                <w:szCs w:val="20"/>
              </w:rPr>
              <w:t xml:space="preserve">rilor predefinite pentru </w:t>
            </w:r>
            <w:r w:rsidR="0067267B" w:rsidRPr="00512B78">
              <w:rPr>
                <w:rFonts w:ascii="Times New Roman" w:hAnsi="Times New Roman" w:cs="Times New Roman"/>
                <w:sz w:val="20"/>
                <w:szCs w:val="20"/>
              </w:rPr>
              <w:t xml:space="preserve">municipiile resedinta de judet si celelalte municipii de la nivel regional se vor lua in calcul doar alocarile previzionate prin POR </w:t>
            </w:r>
            <w:r w:rsidR="00BD6B3E">
              <w:rPr>
                <w:rFonts w:ascii="Times New Roman" w:hAnsi="Times New Roman" w:cs="Times New Roman"/>
                <w:sz w:val="20"/>
                <w:szCs w:val="20"/>
              </w:rPr>
              <w:t xml:space="preserve">Centru </w:t>
            </w:r>
            <w:r w:rsidR="0067267B" w:rsidRPr="00512B78">
              <w:rPr>
                <w:rFonts w:ascii="Times New Roman" w:hAnsi="Times New Roman" w:cs="Times New Roman"/>
                <w:sz w:val="20"/>
                <w:szCs w:val="20"/>
              </w:rPr>
              <w:t xml:space="preserve">pentru </w:t>
            </w:r>
            <w:r w:rsidR="00BD6B3E">
              <w:rPr>
                <w:rFonts w:ascii="Times New Roman" w:hAnsi="Times New Roman" w:cs="Times New Roman"/>
                <w:sz w:val="20"/>
                <w:szCs w:val="20"/>
              </w:rPr>
              <w:t>măsurile referitoare la smartcity, cele</w:t>
            </w:r>
            <w:r w:rsidR="0067267B" w:rsidRPr="00512B78">
              <w:rPr>
                <w:rFonts w:ascii="Times New Roman" w:hAnsi="Times New Roman" w:cs="Times New Roman"/>
                <w:sz w:val="20"/>
                <w:szCs w:val="20"/>
              </w:rPr>
              <w:t xml:space="preserve"> de regenerare urbana si mobilitate urbana durabila aferente </w:t>
            </w:r>
            <w:r w:rsidR="00BD6B3E">
              <w:rPr>
                <w:rFonts w:ascii="Times New Roman" w:hAnsi="Times New Roman" w:cs="Times New Roman"/>
                <w:sz w:val="20"/>
                <w:szCs w:val="20"/>
              </w:rPr>
              <w:t>Priorităților 2 si 3</w:t>
            </w:r>
            <w:r w:rsidR="0067267B" w:rsidRPr="00512B78">
              <w:rPr>
                <w:rFonts w:ascii="Times New Roman" w:hAnsi="Times New Roman" w:cs="Times New Roman"/>
                <w:sz w:val="20"/>
                <w:szCs w:val="20"/>
              </w:rPr>
              <w:t>.</w:t>
            </w:r>
            <w:r w:rsidR="00CE3BCD">
              <w:rPr>
                <w:rFonts w:ascii="Times New Roman" w:hAnsi="Times New Roman" w:cs="Times New Roman"/>
                <w:sz w:val="20"/>
                <w:szCs w:val="20"/>
              </w:rPr>
              <w:t xml:space="preserve"> </w:t>
            </w:r>
            <w:r w:rsidR="0067267B" w:rsidRPr="00512B78">
              <w:rPr>
                <w:rFonts w:ascii="Times New Roman" w:hAnsi="Times New Roman" w:cs="Times New Roman"/>
                <w:sz w:val="20"/>
                <w:szCs w:val="20"/>
              </w:rPr>
              <w:t>In cadrul celorla</w:t>
            </w:r>
            <w:r w:rsidR="00884BB0" w:rsidRPr="00512B78">
              <w:rPr>
                <w:rFonts w:ascii="Times New Roman" w:hAnsi="Times New Roman" w:cs="Times New Roman"/>
                <w:sz w:val="20"/>
                <w:szCs w:val="20"/>
              </w:rPr>
              <w:t>l</w:t>
            </w:r>
            <w:r w:rsidR="0067267B" w:rsidRPr="00512B78">
              <w:rPr>
                <w:rFonts w:ascii="Times New Roman" w:hAnsi="Times New Roman" w:cs="Times New Roman"/>
                <w:sz w:val="20"/>
                <w:szCs w:val="20"/>
              </w:rPr>
              <w:t xml:space="preserve">te prioritati ale </w:t>
            </w:r>
            <w:r w:rsidR="00512B78">
              <w:rPr>
                <w:rFonts w:ascii="Times New Roman" w:hAnsi="Times New Roman" w:cs="Times New Roman"/>
                <w:sz w:val="20"/>
                <w:szCs w:val="20"/>
              </w:rPr>
              <w:t xml:space="preserve">POR </w:t>
            </w:r>
            <w:r w:rsidR="0067267B" w:rsidRPr="00512B78">
              <w:rPr>
                <w:rFonts w:ascii="Times New Roman" w:hAnsi="Times New Roman" w:cs="Times New Roman"/>
                <w:sz w:val="20"/>
                <w:szCs w:val="20"/>
              </w:rPr>
              <w:t xml:space="preserve">care vor fi adresate mediului urban, accesul la fonduri se va face pe baze competitive, dar luand in calcul includerea propunerilor de proiecte in cadrul </w:t>
            </w:r>
            <w:r w:rsidR="00B8302B">
              <w:rPr>
                <w:rFonts w:ascii="Times New Roman" w:hAnsi="Times New Roman" w:cs="Times New Roman"/>
                <w:sz w:val="20"/>
                <w:szCs w:val="20"/>
              </w:rPr>
              <w:t>SIDU</w:t>
            </w:r>
            <w:r w:rsidR="0067267B" w:rsidRPr="00512B78">
              <w:rPr>
                <w:rFonts w:ascii="Times New Roman" w:hAnsi="Times New Roman" w:cs="Times New Roman"/>
                <w:sz w:val="20"/>
                <w:szCs w:val="20"/>
              </w:rPr>
              <w:t>.</w:t>
            </w:r>
          </w:p>
          <w:p w:rsidR="000A255F" w:rsidRPr="00512B78" w:rsidRDefault="000A255F" w:rsidP="00E95FAC">
            <w:pPr>
              <w:pStyle w:val="Default"/>
              <w:jc w:val="both"/>
              <w:rPr>
                <w:rFonts w:ascii="Times New Roman" w:eastAsia="Calibri" w:hAnsi="Times New Roman" w:cs="Times New Roman"/>
                <w:noProof/>
                <w:color w:val="auto"/>
                <w:sz w:val="20"/>
                <w:szCs w:val="20"/>
                <w:lang w:val="ro-RO"/>
              </w:rPr>
            </w:pPr>
            <w:r w:rsidRPr="00512B78">
              <w:rPr>
                <w:rFonts w:ascii="Times New Roman" w:eastAsia="Calibri" w:hAnsi="Times New Roman" w:cs="Times New Roman"/>
                <w:noProof/>
                <w:color w:val="auto"/>
                <w:sz w:val="20"/>
                <w:szCs w:val="20"/>
                <w:lang w:val="ro-RO"/>
              </w:rPr>
              <w:t>Implementarea politicii de dezvoltare urbană la nivelul Regiunii Centru va avea la bază dezvoltarea SIDU care să fie completate de PMUD</w:t>
            </w:r>
            <w:r w:rsidR="00CE3BCD">
              <w:rPr>
                <w:rFonts w:ascii="Times New Roman" w:eastAsia="Calibri" w:hAnsi="Times New Roman" w:cs="Times New Roman"/>
                <w:noProof/>
                <w:color w:val="auto"/>
                <w:sz w:val="20"/>
                <w:szCs w:val="20"/>
                <w:lang w:val="ro-RO"/>
              </w:rPr>
              <w:t xml:space="preserve"> </w:t>
            </w:r>
            <w:r w:rsidRPr="00512B78">
              <w:rPr>
                <w:rFonts w:ascii="Times New Roman" w:eastAsia="Calibri" w:hAnsi="Times New Roman" w:cs="Times New Roman"/>
                <w:noProof/>
                <w:color w:val="auto"/>
                <w:sz w:val="20"/>
                <w:szCs w:val="20"/>
                <w:lang w:val="ro-RO"/>
              </w:rPr>
              <w:t>și alte documente strategice care să susțină dezvoltarea.</w:t>
            </w:r>
          </w:p>
          <w:p w:rsidR="0067267B" w:rsidRPr="00512B78" w:rsidRDefault="000A255F" w:rsidP="00E95FAC">
            <w:pPr>
              <w:pStyle w:val="Default"/>
              <w:jc w:val="both"/>
              <w:rPr>
                <w:rFonts w:ascii="Times New Roman" w:eastAsia="Calibri" w:hAnsi="Times New Roman" w:cs="Times New Roman"/>
                <w:noProof/>
                <w:color w:val="auto"/>
                <w:sz w:val="20"/>
                <w:szCs w:val="20"/>
                <w:lang w:val="ro-RO"/>
              </w:rPr>
            </w:pPr>
            <w:r w:rsidRPr="00512B78">
              <w:rPr>
                <w:rFonts w:ascii="Times New Roman" w:eastAsia="Calibri" w:hAnsi="Times New Roman" w:cs="Times New Roman"/>
                <w:noProof/>
                <w:color w:val="auto"/>
                <w:sz w:val="20"/>
                <w:szCs w:val="20"/>
                <w:lang w:val="ro-RO"/>
              </w:rPr>
              <w:t xml:space="preserve">Alocarea predefinită către municipiile reședință de județ va lua în calcul proporția polpulației aferente acestora din total populație existentă la nivel regional în mediul urban. Procentul rezultat </w:t>
            </w:r>
            <w:r w:rsidR="0067267B" w:rsidRPr="00512B78">
              <w:rPr>
                <w:rFonts w:ascii="Times New Roman" w:eastAsia="Calibri" w:hAnsi="Times New Roman" w:cs="Times New Roman"/>
                <w:noProof/>
                <w:color w:val="auto"/>
                <w:sz w:val="20"/>
                <w:szCs w:val="20"/>
                <w:lang w:val="ro-RO"/>
              </w:rPr>
              <w:t>astfel – 50,</w:t>
            </w:r>
            <w:r w:rsidR="00190F7C">
              <w:rPr>
                <w:rFonts w:ascii="Times New Roman" w:eastAsia="Calibri" w:hAnsi="Times New Roman" w:cs="Times New Roman"/>
                <w:noProof/>
                <w:color w:val="auto"/>
                <w:sz w:val="20"/>
                <w:szCs w:val="20"/>
                <w:lang w:val="ro-RO"/>
              </w:rPr>
              <w:t>1</w:t>
            </w:r>
            <w:r w:rsidR="00303481">
              <w:rPr>
                <w:rFonts w:ascii="Times New Roman" w:eastAsia="Calibri" w:hAnsi="Times New Roman" w:cs="Times New Roman"/>
                <w:noProof/>
                <w:color w:val="auto"/>
                <w:sz w:val="20"/>
                <w:szCs w:val="20"/>
                <w:lang w:val="ro-RO"/>
              </w:rPr>
              <w:t>4</w:t>
            </w:r>
            <w:r w:rsidR="0067267B" w:rsidRPr="00512B78">
              <w:rPr>
                <w:rFonts w:ascii="Times New Roman" w:eastAsia="Calibri" w:hAnsi="Times New Roman" w:cs="Times New Roman"/>
                <w:noProof/>
                <w:color w:val="auto"/>
                <w:sz w:val="20"/>
                <w:szCs w:val="20"/>
                <w:lang w:val="ro-RO"/>
              </w:rPr>
              <w:t xml:space="preserve">% </w:t>
            </w:r>
            <w:r w:rsidRPr="00512B78">
              <w:rPr>
                <w:rFonts w:ascii="Times New Roman" w:eastAsia="Calibri" w:hAnsi="Times New Roman" w:cs="Times New Roman"/>
                <w:noProof/>
                <w:color w:val="auto"/>
                <w:sz w:val="20"/>
                <w:szCs w:val="20"/>
                <w:lang w:val="ro-RO"/>
              </w:rPr>
              <w:t>se va aplica la fondurile alocate pentru dezvoltare urbană în POR 2021-2027</w:t>
            </w:r>
            <w:r w:rsidR="0067267B" w:rsidRPr="00512B78">
              <w:rPr>
                <w:rFonts w:ascii="Times New Roman" w:eastAsia="Calibri" w:hAnsi="Times New Roman" w:cs="Times New Roman"/>
                <w:noProof/>
                <w:color w:val="auto"/>
                <w:sz w:val="20"/>
                <w:szCs w:val="20"/>
                <w:lang w:val="ro-RO"/>
              </w:rPr>
              <w:t xml:space="preserve">, respectiv fondurile alocate pentru </w:t>
            </w:r>
            <w:r w:rsidR="00303481">
              <w:rPr>
                <w:rFonts w:ascii="Times New Roman" w:eastAsia="Calibri" w:hAnsi="Times New Roman" w:cs="Times New Roman"/>
                <w:noProof/>
                <w:color w:val="auto"/>
                <w:sz w:val="20"/>
                <w:szCs w:val="20"/>
                <w:lang w:val="ro-RO"/>
              </w:rPr>
              <w:t xml:space="preserve">smartcity, </w:t>
            </w:r>
            <w:r w:rsidR="0067267B" w:rsidRPr="00512B78">
              <w:rPr>
                <w:rFonts w:ascii="Times New Roman" w:eastAsia="Calibri" w:hAnsi="Times New Roman" w:cs="Times New Roman"/>
                <w:noProof/>
                <w:color w:val="auto"/>
                <w:sz w:val="20"/>
                <w:szCs w:val="20"/>
                <w:lang w:val="ro-RO"/>
              </w:rPr>
              <w:t>regenerare urbana si cele aferente domeniului de mobilitate urbana durabila</w:t>
            </w:r>
            <w:r w:rsidRPr="00512B78">
              <w:rPr>
                <w:rFonts w:ascii="Times New Roman" w:eastAsia="Calibri" w:hAnsi="Times New Roman" w:cs="Times New Roman"/>
                <w:noProof/>
                <w:color w:val="auto"/>
                <w:sz w:val="20"/>
                <w:szCs w:val="20"/>
                <w:lang w:val="ro-RO"/>
              </w:rPr>
              <w:t xml:space="preserve">. Ulterior aceste sume se vor împărți între municipiile reședință de județ ținând seama </w:t>
            </w:r>
            <w:r w:rsidR="00023884" w:rsidRPr="00512B78">
              <w:rPr>
                <w:rFonts w:ascii="Times New Roman" w:eastAsia="Calibri" w:hAnsi="Times New Roman" w:cs="Times New Roman"/>
                <w:noProof/>
                <w:color w:val="auto"/>
                <w:sz w:val="20"/>
                <w:szCs w:val="20"/>
                <w:lang w:val="ro-RO"/>
              </w:rPr>
              <w:t xml:space="preserve">de următoarele aspecte: 35% din fonduri se </w:t>
            </w:r>
            <w:r w:rsidR="003201C3" w:rsidRPr="00512B78">
              <w:rPr>
                <w:rFonts w:ascii="Times New Roman" w:eastAsia="Calibri" w:hAnsi="Times New Roman" w:cs="Times New Roman"/>
                <w:noProof/>
                <w:color w:val="auto"/>
                <w:sz w:val="20"/>
                <w:szCs w:val="20"/>
                <w:lang w:val="ro-RO"/>
              </w:rPr>
              <w:t>î</w:t>
            </w:r>
            <w:r w:rsidR="00023884" w:rsidRPr="00512B78">
              <w:rPr>
                <w:rFonts w:ascii="Times New Roman" w:eastAsia="Calibri" w:hAnsi="Times New Roman" w:cs="Times New Roman"/>
                <w:noProof/>
                <w:color w:val="auto"/>
                <w:sz w:val="20"/>
                <w:szCs w:val="20"/>
                <w:lang w:val="ro-RO"/>
              </w:rPr>
              <w:t>mpart egal între municipiile reședință de județ, iar 65% în funcție de numărul populației.</w:t>
            </w:r>
          </w:p>
          <w:p w:rsidR="003201C3" w:rsidRPr="00512B78" w:rsidRDefault="0067267B" w:rsidP="00E95FAC">
            <w:pPr>
              <w:pStyle w:val="Default"/>
              <w:jc w:val="both"/>
              <w:rPr>
                <w:rFonts w:ascii="Times New Roman" w:eastAsia="Calibri" w:hAnsi="Times New Roman" w:cs="Times New Roman"/>
                <w:noProof/>
                <w:color w:val="auto"/>
                <w:sz w:val="20"/>
                <w:szCs w:val="20"/>
                <w:lang w:val="ro-RO"/>
              </w:rPr>
            </w:pPr>
            <w:r w:rsidRPr="00512B78">
              <w:rPr>
                <w:rFonts w:ascii="Times New Roman" w:eastAsia="Calibri" w:hAnsi="Times New Roman" w:cs="Times New Roman"/>
                <w:noProof/>
                <w:color w:val="auto"/>
                <w:sz w:val="20"/>
                <w:szCs w:val="20"/>
                <w:lang w:val="ro-RO"/>
              </w:rPr>
              <w:t>In cazul celorlalte municipii de la nivel regional – 14 la numar</w:t>
            </w:r>
            <w:r w:rsidR="00190F7C">
              <w:rPr>
                <w:rFonts w:ascii="Times New Roman" w:eastAsia="Calibri" w:hAnsi="Times New Roman" w:cs="Times New Roman"/>
                <w:noProof/>
                <w:color w:val="auto"/>
                <w:sz w:val="20"/>
                <w:szCs w:val="20"/>
                <w:lang w:val="ro-RO"/>
              </w:rPr>
              <w:t xml:space="preserve"> - </w:t>
            </w:r>
            <w:r w:rsidRPr="00512B78">
              <w:rPr>
                <w:rFonts w:ascii="Times New Roman" w:eastAsia="Calibri" w:hAnsi="Times New Roman" w:cs="Times New Roman"/>
                <w:noProof/>
                <w:color w:val="auto"/>
                <w:sz w:val="20"/>
                <w:szCs w:val="20"/>
                <w:lang w:val="ro-RO"/>
              </w:rPr>
              <w:t xml:space="preserve">se </w:t>
            </w:r>
            <w:r w:rsidR="00190F7C" w:rsidRPr="00512B78">
              <w:rPr>
                <w:rFonts w:ascii="Times New Roman" w:eastAsia="Calibri" w:hAnsi="Times New Roman" w:cs="Times New Roman"/>
                <w:noProof/>
                <w:color w:val="auto"/>
                <w:sz w:val="20"/>
                <w:szCs w:val="20"/>
                <w:lang w:val="ro-RO"/>
              </w:rPr>
              <w:t>v</w:t>
            </w:r>
            <w:r w:rsidR="00190F7C">
              <w:rPr>
                <w:rFonts w:ascii="Times New Roman" w:eastAsia="Calibri" w:hAnsi="Times New Roman" w:cs="Times New Roman"/>
                <w:noProof/>
                <w:color w:val="auto"/>
                <w:sz w:val="20"/>
                <w:szCs w:val="20"/>
                <w:lang w:val="ro-RO"/>
              </w:rPr>
              <w:t>a</w:t>
            </w:r>
            <w:r w:rsidR="00190F7C" w:rsidRPr="00512B78">
              <w:rPr>
                <w:rFonts w:ascii="Times New Roman" w:eastAsia="Calibri" w:hAnsi="Times New Roman" w:cs="Times New Roman"/>
                <w:noProof/>
                <w:color w:val="auto"/>
                <w:sz w:val="20"/>
                <w:szCs w:val="20"/>
                <w:lang w:val="ro-RO"/>
              </w:rPr>
              <w:t xml:space="preserve"> </w:t>
            </w:r>
            <w:r w:rsidRPr="00512B78">
              <w:rPr>
                <w:rFonts w:ascii="Times New Roman" w:eastAsia="Calibri" w:hAnsi="Times New Roman" w:cs="Times New Roman"/>
                <w:noProof/>
                <w:color w:val="auto"/>
                <w:sz w:val="20"/>
                <w:szCs w:val="20"/>
                <w:lang w:val="ro-RO"/>
              </w:rPr>
              <w:t xml:space="preserve">aplica acelasi principiu ca la nivelul municipiilor resedinta de judet cu mentiunea </w:t>
            </w:r>
            <w:r w:rsidR="00190F7C">
              <w:rPr>
                <w:rFonts w:ascii="Times New Roman" w:eastAsia="Calibri" w:hAnsi="Times New Roman" w:cs="Times New Roman"/>
                <w:noProof/>
                <w:color w:val="auto"/>
                <w:sz w:val="20"/>
                <w:szCs w:val="20"/>
                <w:lang w:val="ro-RO"/>
              </w:rPr>
              <w:t xml:space="preserve">ca </w:t>
            </w:r>
            <w:r w:rsidRPr="00512B78">
              <w:rPr>
                <w:rFonts w:ascii="Times New Roman" w:eastAsia="Calibri" w:hAnsi="Times New Roman" w:cs="Times New Roman"/>
                <w:noProof/>
                <w:color w:val="auto"/>
                <w:sz w:val="20"/>
                <w:szCs w:val="20"/>
                <w:lang w:val="ro-RO"/>
              </w:rPr>
              <w:t>proportia populatiei aferente acestora din totalul populatiei existente la nivel regional in mediul urban este de 27,</w:t>
            </w:r>
            <w:r w:rsidR="00303481">
              <w:rPr>
                <w:rFonts w:ascii="Times New Roman" w:eastAsia="Calibri" w:hAnsi="Times New Roman" w:cs="Times New Roman"/>
                <w:noProof/>
                <w:color w:val="auto"/>
                <w:sz w:val="20"/>
                <w:szCs w:val="20"/>
                <w:lang w:val="ro-RO"/>
              </w:rPr>
              <w:t>30</w:t>
            </w:r>
            <w:r w:rsidRPr="00512B78">
              <w:rPr>
                <w:rFonts w:ascii="Times New Roman" w:eastAsia="Calibri" w:hAnsi="Times New Roman" w:cs="Times New Roman"/>
                <w:noProof/>
                <w:color w:val="auto"/>
                <w:sz w:val="20"/>
                <w:szCs w:val="20"/>
                <w:lang w:val="ro-RO"/>
              </w:rPr>
              <w:t>%</w:t>
            </w:r>
            <w:r w:rsidR="004C3AEE" w:rsidRPr="00512B78">
              <w:rPr>
                <w:rFonts w:ascii="Times New Roman" w:eastAsia="Calibri" w:hAnsi="Times New Roman" w:cs="Times New Roman"/>
                <w:noProof/>
                <w:color w:val="auto"/>
                <w:sz w:val="20"/>
                <w:szCs w:val="20"/>
                <w:lang w:val="ro-RO"/>
              </w:rPr>
              <w:t>.</w:t>
            </w:r>
          </w:p>
          <w:p w:rsidR="003201C3" w:rsidRPr="00512B78" w:rsidRDefault="00023884" w:rsidP="00E95FAC">
            <w:pPr>
              <w:spacing w:after="0" w:line="240" w:lineRule="auto"/>
              <w:jc w:val="both"/>
              <w:rPr>
                <w:rFonts w:ascii="Times New Roman" w:hAnsi="Times New Roman" w:cs="Times New Roman"/>
                <w:sz w:val="20"/>
                <w:szCs w:val="20"/>
              </w:rPr>
            </w:pPr>
            <w:r w:rsidRPr="00512B78">
              <w:rPr>
                <w:rFonts w:ascii="Times New Roman" w:eastAsia="Calibri" w:hAnsi="Times New Roman" w:cs="Times New Roman"/>
                <w:noProof/>
                <w:sz w:val="20"/>
                <w:szCs w:val="20"/>
              </w:rPr>
              <w:t xml:space="preserve">Celelate orașe de la nivel regional </w:t>
            </w:r>
            <w:r w:rsidR="004C3AEE" w:rsidRPr="00512B78">
              <w:rPr>
                <w:rFonts w:ascii="Times New Roman" w:eastAsia="Calibri" w:hAnsi="Times New Roman" w:cs="Times New Roman"/>
                <w:noProof/>
                <w:sz w:val="20"/>
                <w:szCs w:val="20"/>
              </w:rPr>
              <w:t>vor avea o alocare de 22,</w:t>
            </w:r>
            <w:r w:rsidR="00303481">
              <w:rPr>
                <w:rFonts w:ascii="Times New Roman" w:eastAsia="Calibri" w:hAnsi="Times New Roman" w:cs="Times New Roman"/>
                <w:noProof/>
                <w:sz w:val="20"/>
                <w:szCs w:val="20"/>
              </w:rPr>
              <w:t>5</w:t>
            </w:r>
            <w:r w:rsidR="00190F7C">
              <w:rPr>
                <w:rFonts w:ascii="Times New Roman" w:eastAsia="Calibri" w:hAnsi="Times New Roman" w:cs="Times New Roman"/>
                <w:noProof/>
                <w:sz w:val="20"/>
                <w:szCs w:val="20"/>
              </w:rPr>
              <w:t>6</w:t>
            </w:r>
            <w:r w:rsidR="004C3AEE" w:rsidRPr="00512B78">
              <w:rPr>
                <w:rFonts w:ascii="Times New Roman" w:eastAsia="Calibri" w:hAnsi="Times New Roman" w:cs="Times New Roman"/>
                <w:noProof/>
                <w:sz w:val="20"/>
                <w:szCs w:val="20"/>
              </w:rPr>
              <w:t xml:space="preserve">% din fondurile alocate pentru dezvoltare urbana in POR, respectiv </w:t>
            </w:r>
            <w:r w:rsidR="00303481">
              <w:rPr>
                <w:rFonts w:ascii="Times New Roman" w:eastAsia="Calibri" w:hAnsi="Times New Roman" w:cs="Times New Roman"/>
                <w:noProof/>
                <w:sz w:val="20"/>
                <w:szCs w:val="20"/>
              </w:rPr>
              <w:t xml:space="preserve">smartcity, </w:t>
            </w:r>
            <w:r w:rsidR="004C3AEE" w:rsidRPr="00512B78">
              <w:rPr>
                <w:rFonts w:ascii="Times New Roman" w:eastAsia="Calibri" w:hAnsi="Times New Roman" w:cs="Times New Roman"/>
                <w:noProof/>
                <w:sz w:val="20"/>
                <w:szCs w:val="20"/>
              </w:rPr>
              <w:t xml:space="preserve">regenerare urbana si mobilitate urbana durabila pentru accesarea carora se vor derula apeluri competitive, </w:t>
            </w:r>
            <w:r w:rsidRPr="00512B78">
              <w:rPr>
                <w:rFonts w:ascii="Times New Roman" w:hAnsi="Times New Roman" w:cs="Times New Roman"/>
                <w:sz w:val="20"/>
                <w:szCs w:val="20"/>
              </w:rPr>
              <w:t>iar</w:t>
            </w:r>
            <w:r w:rsidR="004C3AEE" w:rsidRPr="00512B78">
              <w:rPr>
                <w:rFonts w:ascii="Times New Roman" w:hAnsi="Times New Roman" w:cs="Times New Roman"/>
                <w:sz w:val="20"/>
                <w:szCs w:val="20"/>
              </w:rPr>
              <w:t xml:space="preserve"> finantarea</w:t>
            </w:r>
            <w:r w:rsidRPr="00512B78">
              <w:rPr>
                <w:rFonts w:ascii="Times New Roman" w:hAnsi="Times New Roman" w:cs="Times New Roman"/>
                <w:sz w:val="20"/>
                <w:szCs w:val="20"/>
              </w:rPr>
              <w:t xml:space="preserve"> </w:t>
            </w:r>
            <w:r w:rsidR="004C3AEE" w:rsidRPr="00512B78">
              <w:rPr>
                <w:rFonts w:ascii="Times New Roman" w:hAnsi="Times New Roman" w:cs="Times New Roman"/>
                <w:sz w:val="20"/>
                <w:szCs w:val="20"/>
              </w:rPr>
              <w:t xml:space="preserve">proiectelor </w:t>
            </w:r>
            <w:r w:rsidRPr="00512B78">
              <w:rPr>
                <w:rFonts w:ascii="Times New Roman" w:hAnsi="Times New Roman" w:cs="Times New Roman"/>
                <w:sz w:val="20"/>
                <w:szCs w:val="20"/>
              </w:rPr>
              <w:t xml:space="preserve">va trebui susținută si de existenta lor într-o strategie integrată de la nivel local care va avea </w:t>
            </w:r>
            <w:r w:rsidR="00AA730A">
              <w:rPr>
                <w:rFonts w:ascii="Times New Roman" w:hAnsi="Times New Roman" w:cs="Times New Roman"/>
                <w:sz w:val="20"/>
                <w:szCs w:val="20"/>
              </w:rPr>
              <w:t>o listă de proiecte prioritare.</w:t>
            </w:r>
          </w:p>
          <w:p w:rsidR="00023884" w:rsidRPr="00CE3BCD" w:rsidRDefault="00023884" w:rsidP="00E95FAC">
            <w:pPr>
              <w:spacing w:after="0" w:line="240" w:lineRule="auto"/>
              <w:jc w:val="both"/>
              <w:rPr>
                <w:rFonts w:ascii="Times New Roman" w:hAnsi="Times New Roman" w:cs="Times New Roman"/>
                <w:sz w:val="20"/>
                <w:szCs w:val="20"/>
              </w:rPr>
            </w:pPr>
            <w:r w:rsidRPr="00512B78">
              <w:rPr>
                <w:rFonts w:ascii="Times New Roman" w:hAnsi="Times New Roman" w:cs="Times New Roman"/>
                <w:sz w:val="20"/>
                <w:szCs w:val="20"/>
              </w:rPr>
              <w:t xml:space="preserve">Mecanismul de guvernanță al dezvoltării urbane - consiliul local al </w:t>
            </w:r>
            <w:r w:rsidR="004C3AEE" w:rsidRPr="00512B78">
              <w:rPr>
                <w:rFonts w:ascii="Times New Roman" w:hAnsi="Times New Roman" w:cs="Times New Roman"/>
                <w:sz w:val="20"/>
                <w:szCs w:val="20"/>
              </w:rPr>
              <w:t>municipiilor</w:t>
            </w:r>
            <w:r w:rsidRPr="00512B78">
              <w:rPr>
                <w:rFonts w:ascii="Times New Roman" w:hAnsi="Times New Roman" w:cs="Times New Roman"/>
                <w:sz w:val="20"/>
                <w:szCs w:val="20"/>
              </w:rPr>
              <w:t xml:space="preserve">/consiliul local al </w:t>
            </w:r>
            <w:r w:rsidR="004C3AEE" w:rsidRPr="00512B78">
              <w:rPr>
                <w:rFonts w:ascii="Times New Roman" w:hAnsi="Times New Roman" w:cs="Times New Roman"/>
                <w:sz w:val="20"/>
                <w:szCs w:val="20"/>
              </w:rPr>
              <w:t>municipiilor</w:t>
            </w:r>
            <w:r w:rsidRPr="00512B78">
              <w:rPr>
                <w:rFonts w:ascii="Times New Roman" w:hAnsi="Times New Roman" w:cs="Times New Roman"/>
                <w:sz w:val="20"/>
                <w:szCs w:val="20"/>
              </w:rPr>
              <w:t xml:space="preserve"> și consiliile locale ale localităților din zona urbană funcțională sau ADI (în cazul în care Strategia integrată vizează și zona urbană funcțională</w:t>
            </w:r>
            <w:r w:rsidR="00CE3BCD">
              <w:rPr>
                <w:rFonts w:ascii="Times New Roman" w:hAnsi="Times New Roman" w:cs="Times New Roman"/>
                <w:sz w:val="20"/>
                <w:szCs w:val="20"/>
              </w:rPr>
              <w:t>/zona metropolitană</w:t>
            </w:r>
            <w:r w:rsidRPr="00512B78">
              <w:rPr>
                <w:rFonts w:ascii="Times New Roman" w:hAnsi="Times New Roman" w:cs="Times New Roman"/>
                <w:sz w:val="20"/>
                <w:szCs w:val="20"/>
              </w:rPr>
              <w:t xml:space="preserve">), vor selecta </w:t>
            </w:r>
            <w:r w:rsidRPr="00512B78">
              <w:rPr>
                <w:rFonts w:ascii="Times New Roman" w:hAnsi="Times New Roman" w:cs="Times New Roman"/>
                <w:noProof/>
                <w:sz w:val="20"/>
                <w:szCs w:val="20"/>
              </w:rPr>
              <w:t>din portofoliile de proiecte aferente documentelor strategice proiectele prioritare în baza unor criterii standard propuse în Documentul Cadru</w:t>
            </w:r>
            <w:r w:rsidR="004C3AEE" w:rsidRPr="00512B78">
              <w:rPr>
                <w:rFonts w:ascii="Times New Roman" w:hAnsi="Times New Roman" w:cs="Times New Roman"/>
                <w:noProof/>
                <w:sz w:val="20"/>
                <w:szCs w:val="20"/>
              </w:rPr>
              <w:t xml:space="preserve"> al dezvoltarii urbane care va fi propus</w:t>
            </w:r>
            <w:r w:rsidRPr="00512B78">
              <w:rPr>
                <w:rFonts w:ascii="Times New Roman" w:hAnsi="Times New Roman" w:cs="Times New Roman"/>
                <w:noProof/>
                <w:sz w:val="20"/>
                <w:szCs w:val="20"/>
              </w:rPr>
              <w:t xml:space="preserve"> și criterii specifice propuse conform strategiei.</w:t>
            </w:r>
            <w:r w:rsidRPr="00512B78">
              <w:rPr>
                <w:rFonts w:ascii="Times New Roman" w:hAnsi="Times New Roman" w:cs="Times New Roman"/>
                <w:sz w:val="20"/>
                <w:szCs w:val="20"/>
              </w:rPr>
              <w:t xml:space="preserve"> </w:t>
            </w:r>
          </w:p>
          <w:p w:rsidR="00023884" w:rsidRPr="00CE3BCD" w:rsidRDefault="00023884" w:rsidP="00E95FAC">
            <w:pPr>
              <w:spacing w:after="0" w:line="240" w:lineRule="auto"/>
              <w:jc w:val="both"/>
              <w:rPr>
                <w:rFonts w:ascii="Times New Roman" w:hAnsi="Times New Roman" w:cs="Times New Roman"/>
                <w:sz w:val="20"/>
                <w:szCs w:val="20"/>
              </w:rPr>
            </w:pPr>
            <w:r w:rsidRPr="00CE3BCD">
              <w:rPr>
                <w:rFonts w:ascii="Times New Roman" w:hAnsi="Times New Roman" w:cs="Times New Roman"/>
                <w:sz w:val="20"/>
                <w:szCs w:val="20"/>
              </w:rPr>
              <w:t xml:space="preserve">Decizia privind proiectele ce vor fi promovate la finanțare va aparține forului decizional local: Consiliul Local sau forul decizional ADI daca se aplica la zona funcțională sau metropolitană, ori altă structură decizională a parteneriatului, în baza criteriilor propuse în Documentul cadru și în SIDU. </w:t>
            </w:r>
          </w:p>
          <w:p w:rsidR="003201C3" w:rsidRPr="00512B78" w:rsidRDefault="00023884" w:rsidP="00E95FAC">
            <w:pPr>
              <w:spacing w:after="0" w:line="240" w:lineRule="auto"/>
              <w:jc w:val="both"/>
              <w:rPr>
                <w:rFonts w:ascii="Times New Roman" w:hAnsi="Times New Roman" w:cs="Times New Roman"/>
                <w:sz w:val="20"/>
                <w:szCs w:val="20"/>
              </w:rPr>
            </w:pPr>
            <w:r w:rsidRPr="00CE3BCD">
              <w:rPr>
                <w:rFonts w:ascii="Times New Roman" w:hAnsi="Times New Roman" w:cs="Times New Roman"/>
                <w:sz w:val="20"/>
                <w:szCs w:val="20"/>
              </w:rPr>
              <w:lastRenderedPageBreak/>
              <w:t>În procesul de realizare/actualizare a documentelor strategice se va urmări crearea unui cadru partenerial</w:t>
            </w:r>
            <w:r w:rsidRPr="00512B78">
              <w:rPr>
                <w:rFonts w:ascii="Times New Roman" w:hAnsi="Times New Roman" w:cs="Times New Roman"/>
                <w:sz w:val="20"/>
                <w:szCs w:val="20"/>
              </w:rPr>
              <w:t xml:space="preserve"> real cu factorii interesați de la nivel local/metropolitan, în vederea asigurării principiilo</w:t>
            </w:r>
            <w:r w:rsidR="00CE3BCD">
              <w:rPr>
                <w:rFonts w:ascii="Times New Roman" w:hAnsi="Times New Roman" w:cs="Times New Roman"/>
                <w:sz w:val="20"/>
                <w:szCs w:val="20"/>
              </w:rPr>
              <w:t xml:space="preserve">r de consultare și de </w:t>
            </w:r>
            <w:r w:rsidRPr="00512B78">
              <w:rPr>
                <w:rFonts w:ascii="Times New Roman" w:hAnsi="Times New Roman" w:cs="Times New Roman"/>
                <w:sz w:val="20"/>
                <w:szCs w:val="20"/>
              </w:rPr>
              <w:t>transparență decizională.</w:t>
            </w:r>
          </w:p>
          <w:p w:rsidR="00E2184B" w:rsidRPr="00512B78" w:rsidRDefault="00E2184B" w:rsidP="00E95FAC">
            <w:pPr>
              <w:spacing w:after="0" w:line="240" w:lineRule="auto"/>
              <w:jc w:val="both"/>
              <w:rPr>
                <w:rFonts w:ascii="Times New Roman" w:hAnsi="Times New Roman" w:cs="Times New Roman"/>
                <w:b/>
                <w:sz w:val="20"/>
                <w:szCs w:val="20"/>
              </w:rPr>
            </w:pPr>
            <w:r w:rsidRPr="00512B78">
              <w:rPr>
                <w:rFonts w:ascii="Times New Roman" w:hAnsi="Times New Roman" w:cs="Times New Roman"/>
                <w:sz w:val="20"/>
                <w:szCs w:val="20"/>
              </w:rPr>
              <w:t xml:space="preserve">Acțiunile asupra zonelor urbane vor fi completate direct sau indirect de acțiunile finanțate prin PO Sănătate, cu intervenții asupra infrastructurii de sănătate în urban, PO Dezvoltare Durabilă , PO </w:t>
            </w:r>
            <w:r w:rsidR="00D05C2C">
              <w:rPr>
                <w:rFonts w:ascii="Times New Roman" w:hAnsi="Times New Roman" w:cs="Times New Roman"/>
                <w:sz w:val="20"/>
                <w:szCs w:val="20"/>
              </w:rPr>
              <w:t>Inclu</w:t>
            </w:r>
            <w:r w:rsidR="00CE3BCD">
              <w:rPr>
                <w:rFonts w:ascii="Times New Roman" w:hAnsi="Times New Roman" w:cs="Times New Roman"/>
                <w:sz w:val="20"/>
                <w:szCs w:val="20"/>
              </w:rPr>
              <w:t>z</w:t>
            </w:r>
            <w:r w:rsidR="00D05C2C">
              <w:rPr>
                <w:rFonts w:ascii="Times New Roman" w:hAnsi="Times New Roman" w:cs="Times New Roman"/>
                <w:sz w:val="20"/>
                <w:szCs w:val="20"/>
              </w:rPr>
              <w:t>iune și Demnitate Sociala</w:t>
            </w:r>
            <w:r w:rsidRPr="00512B78">
              <w:rPr>
                <w:rFonts w:ascii="Times New Roman" w:hAnsi="Times New Roman" w:cs="Times New Roman"/>
                <w:sz w:val="20"/>
                <w:szCs w:val="20"/>
              </w:rPr>
              <w:t xml:space="preserve">, PO </w:t>
            </w:r>
            <w:r w:rsidR="00D05C2C">
              <w:rPr>
                <w:rFonts w:ascii="Times New Roman" w:hAnsi="Times New Roman" w:cs="Times New Roman"/>
                <w:sz w:val="20"/>
                <w:szCs w:val="20"/>
              </w:rPr>
              <w:t>Educatie și Ocupare</w:t>
            </w:r>
            <w:r w:rsidRPr="00512B78">
              <w:rPr>
                <w:rFonts w:ascii="Times New Roman" w:hAnsi="Times New Roman" w:cs="Times New Roman"/>
                <w:sz w:val="20"/>
                <w:szCs w:val="20"/>
              </w:rPr>
              <w:t xml:space="preserve">,  PO Transport și PO Tranziție </w:t>
            </w:r>
            <w:r w:rsidR="00D05C2C">
              <w:rPr>
                <w:rFonts w:ascii="Times New Roman" w:hAnsi="Times New Roman" w:cs="Times New Roman"/>
                <w:sz w:val="20"/>
                <w:szCs w:val="20"/>
              </w:rPr>
              <w:t>Justă</w:t>
            </w:r>
            <w:r w:rsidR="00CE3BCD">
              <w:rPr>
                <w:rFonts w:ascii="Times New Roman" w:hAnsi="Times New Roman" w:cs="Times New Roman"/>
                <w:sz w:val="20"/>
                <w:szCs w:val="20"/>
              </w:rPr>
              <w:t>.</w:t>
            </w:r>
          </w:p>
          <w:p w:rsidR="006241BB" w:rsidRPr="00190F7C" w:rsidRDefault="006241BB" w:rsidP="00E95FAC">
            <w:pPr>
              <w:spacing w:after="0" w:line="240" w:lineRule="auto"/>
              <w:jc w:val="both"/>
              <w:rPr>
                <w:rFonts w:ascii="Times New Roman" w:hAnsi="Times New Roman" w:cs="Times New Roman"/>
                <w:sz w:val="20"/>
                <w:szCs w:val="20"/>
              </w:rPr>
            </w:pPr>
          </w:p>
          <w:p w:rsidR="00884BB0" w:rsidRPr="00190F7C" w:rsidRDefault="004F652D" w:rsidP="00E95FAC">
            <w:pPr>
              <w:spacing w:after="0" w:line="240" w:lineRule="auto"/>
              <w:jc w:val="both"/>
              <w:rPr>
                <w:rFonts w:ascii="Times New Roman" w:hAnsi="Times New Roman" w:cs="Times New Roman"/>
                <w:sz w:val="20"/>
                <w:szCs w:val="20"/>
              </w:rPr>
            </w:pPr>
            <w:r w:rsidRPr="00E95FAC">
              <w:rPr>
                <w:rFonts w:ascii="Times New Roman" w:hAnsi="Times New Roman" w:cs="Times New Roman"/>
                <w:i/>
                <w:sz w:val="24"/>
                <w:szCs w:val="24"/>
              </w:rPr>
              <w:t xml:space="preserve">Sistemul de management și control propus la nivel regional: </w:t>
            </w:r>
          </w:p>
          <w:p w:rsidR="00250BB8" w:rsidRPr="00190F7C" w:rsidRDefault="00884BB0" w:rsidP="00E95FAC">
            <w:pPr>
              <w:spacing w:after="0" w:line="240" w:lineRule="auto"/>
              <w:jc w:val="both"/>
              <w:rPr>
                <w:rFonts w:ascii="Times New Roman" w:hAnsi="Times New Roman" w:cs="Times New Roman"/>
                <w:sz w:val="20"/>
                <w:szCs w:val="20"/>
              </w:rPr>
            </w:pPr>
            <w:r w:rsidRPr="00190F7C">
              <w:rPr>
                <w:rFonts w:ascii="Times New Roman" w:hAnsi="Times New Roman" w:cs="Times New Roman"/>
                <w:sz w:val="20"/>
                <w:szCs w:val="20"/>
              </w:rPr>
              <w:t>Având în vedere prevederile legislatiei in vigoare (Legea 315/2004 privind dezvoltarea regionala in Romania si HG 1115/2004 privind elaborarea in parteneriat a Planului National de Dezvoltare), sistemul de management si control propus la nivel regional va fi format din:</w:t>
            </w:r>
          </w:p>
          <w:p w:rsidR="00884BB0" w:rsidRPr="00190F7C" w:rsidRDefault="00884BB0" w:rsidP="00E95FAC">
            <w:pPr>
              <w:pStyle w:val="Listparagraf"/>
              <w:numPr>
                <w:ilvl w:val="0"/>
                <w:numId w:val="80"/>
              </w:numPr>
              <w:spacing w:before="0" w:after="0" w:line="240" w:lineRule="auto"/>
              <w:jc w:val="both"/>
              <w:rPr>
                <w:sz w:val="20"/>
                <w:szCs w:val="20"/>
              </w:rPr>
            </w:pPr>
            <w:r w:rsidRPr="00190F7C">
              <w:rPr>
                <w:b/>
                <w:sz w:val="20"/>
                <w:szCs w:val="20"/>
              </w:rPr>
              <w:t xml:space="preserve">Consiliul pentru Dezvoltare Regională (CDR) Centru </w:t>
            </w:r>
            <w:r w:rsidRPr="00190F7C">
              <w:rPr>
                <w:sz w:val="20"/>
                <w:szCs w:val="20"/>
              </w:rPr>
              <w:t>(reprezentanții administrației locale, președinții consiliilor județene, primarii municipiilor reședință de județ, câte un reprezentant al primarilor de orașe și unul al primarilor de comune din fiecare județ al regiunii – 24 membrii) cu rol de asumare și decizie, care conform Art. 7 din legea 315/2004 analizează și aprobă strategia și programele de dezvoltare regională, având competența de a asuma în numele regiunii aceste programe și de a verifica și analiza implementarea lor – rol în aprobarea POR 2021-2027</w:t>
            </w:r>
            <w:r w:rsidR="00B91D00" w:rsidRPr="00190F7C">
              <w:rPr>
                <w:sz w:val="20"/>
                <w:szCs w:val="20"/>
              </w:rPr>
              <w:t xml:space="preserve">. CDR Centru este organismul regional deliberativ, fara personalitate juridica, care este constituit si functioneaza pe principii parteneriale la nivelul </w:t>
            </w:r>
            <w:r w:rsidR="00D05C2C">
              <w:rPr>
                <w:sz w:val="20"/>
                <w:szCs w:val="20"/>
              </w:rPr>
              <w:t xml:space="preserve">Regiunii </w:t>
            </w:r>
            <w:r w:rsidR="00B91D00" w:rsidRPr="00190F7C">
              <w:rPr>
                <w:sz w:val="20"/>
                <w:szCs w:val="20"/>
              </w:rPr>
              <w:t>Centru, in scopul coordonarii activitatilor de elaborare si monitorizare ce decurg din politicile de dezvoltare regionala</w:t>
            </w:r>
          </w:p>
          <w:p w:rsidR="003201C3" w:rsidRPr="00190F7C" w:rsidRDefault="004F652D" w:rsidP="00E95FAC">
            <w:pPr>
              <w:pStyle w:val="Listparagraf"/>
              <w:numPr>
                <w:ilvl w:val="0"/>
                <w:numId w:val="80"/>
              </w:numPr>
              <w:spacing w:before="0" w:after="0" w:line="240" w:lineRule="auto"/>
              <w:jc w:val="both"/>
              <w:rPr>
                <w:sz w:val="20"/>
                <w:szCs w:val="20"/>
              </w:rPr>
            </w:pPr>
            <w:r w:rsidRPr="00190F7C">
              <w:rPr>
                <w:b/>
                <w:sz w:val="20"/>
                <w:szCs w:val="20"/>
              </w:rPr>
              <w:t xml:space="preserve">ADR </w:t>
            </w:r>
            <w:r w:rsidR="003201C3" w:rsidRPr="00190F7C">
              <w:rPr>
                <w:b/>
                <w:sz w:val="20"/>
                <w:szCs w:val="20"/>
              </w:rPr>
              <w:t>Centru</w:t>
            </w:r>
            <w:r w:rsidR="003201C3" w:rsidRPr="00190F7C">
              <w:rPr>
                <w:sz w:val="20"/>
                <w:szCs w:val="20"/>
              </w:rPr>
              <w:t xml:space="preserve"> - care conform Legii 315/2004 privind dezvoltarea regională în România este un organism non-guvernamental, nonprofit, de utilitate publică, for executiv la nivel regional în ce privește politica regională, cu personalitate juridică ce îndeplinește rolul de autoritate de management pentru </w:t>
            </w:r>
            <w:r w:rsidR="00D05C2C">
              <w:rPr>
                <w:sz w:val="20"/>
                <w:szCs w:val="20"/>
              </w:rPr>
              <w:t>POR</w:t>
            </w:r>
            <w:r w:rsidR="003201C3" w:rsidRPr="00190F7C">
              <w:rPr>
                <w:sz w:val="20"/>
                <w:szCs w:val="20"/>
              </w:rPr>
              <w:t xml:space="preserve"> 2021-2027 (OUG 122/2020)</w:t>
            </w:r>
            <w:r w:rsidRPr="00190F7C">
              <w:rPr>
                <w:sz w:val="20"/>
                <w:szCs w:val="20"/>
              </w:rPr>
              <w:t xml:space="preserve">; </w:t>
            </w:r>
          </w:p>
          <w:p w:rsidR="003201C3" w:rsidRPr="00190F7C" w:rsidRDefault="003201C3" w:rsidP="00E95FAC">
            <w:pPr>
              <w:pStyle w:val="Listparagraf"/>
              <w:numPr>
                <w:ilvl w:val="0"/>
                <w:numId w:val="80"/>
              </w:numPr>
              <w:spacing w:before="0" w:after="0" w:line="240" w:lineRule="auto"/>
              <w:jc w:val="both"/>
              <w:rPr>
                <w:sz w:val="20"/>
                <w:szCs w:val="20"/>
              </w:rPr>
            </w:pPr>
            <w:r w:rsidRPr="00190F7C">
              <w:rPr>
                <w:b/>
                <w:sz w:val="20"/>
                <w:szCs w:val="20"/>
              </w:rPr>
              <w:t xml:space="preserve">Comitetul Regional </w:t>
            </w:r>
            <w:r w:rsidR="00190F7C">
              <w:rPr>
                <w:b/>
                <w:sz w:val="20"/>
                <w:szCs w:val="20"/>
              </w:rPr>
              <w:t>de Planificare</w:t>
            </w:r>
            <w:r w:rsidRPr="00190F7C">
              <w:rPr>
                <w:b/>
                <w:sz w:val="20"/>
                <w:szCs w:val="20"/>
              </w:rPr>
              <w:t xml:space="preserve"> (CRP) Centru - </w:t>
            </w:r>
            <w:r w:rsidRPr="00190F7C">
              <w:rPr>
                <w:sz w:val="20"/>
                <w:szCs w:val="20"/>
              </w:rPr>
              <w:t xml:space="preserve">organism consultativ care este o structură partenerială regională largă formată din 42 de entități de la nivel regional și care are ca scop consultarea privind elaborarea </w:t>
            </w:r>
            <w:r w:rsidR="00190F7C">
              <w:rPr>
                <w:sz w:val="20"/>
                <w:szCs w:val="20"/>
              </w:rPr>
              <w:t>PDR Centru</w:t>
            </w:r>
            <w:r w:rsidRPr="00190F7C">
              <w:rPr>
                <w:sz w:val="20"/>
                <w:szCs w:val="20"/>
              </w:rPr>
              <w:t xml:space="preserve"> și avizarea tuturor documentelor privind elaborarea și implementarea acestuia în vederea pregătirii deciziilor CDR</w:t>
            </w:r>
            <w:r w:rsidR="00D05C2C">
              <w:rPr>
                <w:sz w:val="20"/>
                <w:szCs w:val="20"/>
              </w:rPr>
              <w:t>, dar și cu rol în pregătirea POR</w:t>
            </w:r>
          </w:p>
          <w:p w:rsidR="00884BB0" w:rsidRPr="00446B00" w:rsidRDefault="003201C3" w:rsidP="00446B00">
            <w:pPr>
              <w:pStyle w:val="Listparagraf"/>
              <w:numPr>
                <w:ilvl w:val="0"/>
                <w:numId w:val="80"/>
              </w:numPr>
              <w:spacing w:before="0" w:after="0" w:line="240" w:lineRule="auto"/>
              <w:jc w:val="both"/>
              <w:rPr>
                <w:sz w:val="20"/>
                <w:szCs w:val="20"/>
              </w:rPr>
            </w:pPr>
            <w:r w:rsidRPr="00190F7C">
              <w:rPr>
                <w:b/>
                <w:sz w:val="20"/>
                <w:szCs w:val="20"/>
              </w:rPr>
              <w:t>Consorțiul Regional de Inovare Regiunea Centru (CRI)</w:t>
            </w:r>
            <w:r w:rsidRPr="00190F7C">
              <w:rPr>
                <w:sz w:val="20"/>
                <w:szCs w:val="20"/>
              </w:rPr>
              <w:t xml:space="preserve"> este structura consultativă formată din 40 de entități regionale, implicată în procesul de actualizare, implementare și monitorizare a Strategiei Regionale de Specializare Inteligentă, și pregătirea deciziilor CDR Centru în domeniul specializării inteligente și inovării</w:t>
            </w:r>
          </w:p>
          <w:p w:rsidR="00B91D00" w:rsidRPr="00190F7C" w:rsidRDefault="00884BB0" w:rsidP="00E95FAC">
            <w:pPr>
              <w:spacing w:after="0" w:line="240" w:lineRule="auto"/>
              <w:jc w:val="both"/>
              <w:rPr>
                <w:rFonts w:ascii="Times New Roman" w:hAnsi="Times New Roman" w:cs="Times New Roman"/>
                <w:sz w:val="20"/>
                <w:szCs w:val="20"/>
              </w:rPr>
            </w:pPr>
            <w:r w:rsidRPr="00190F7C">
              <w:rPr>
                <w:rFonts w:ascii="Times New Roman" w:hAnsi="Times New Roman" w:cs="Times New Roman"/>
                <w:sz w:val="20"/>
                <w:szCs w:val="20"/>
              </w:rPr>
              <w:t xml:space="preserve">Acest cadru asigura implicare si reprezentativitatea principalilor actori din regiune in procesul de elaborare implementare si control al </w:t>
            </w:r>
            <w:r w:rsidR="00190F7C">
              <w:rPr>
                <w:rFonts w:ascii="Times New Roman" w:hAnsi="Times New Roman" w:cs="Times New Roman"/>
                <w:sz w:val="20"/>
                <w:szCs w:val="20"/>
              </w:rPr>
              <w:t>POR</w:t>
            </w:r>
            <w:r w:rsidRPr="00190F7C">
              <w:rPr>
                <w:rFonts w:ascii="Times New Roman" w:hAnsi="Times New Roman" w:cs="Times New Roman"/>
                <w:sz w:val="20"/>
                <w:szCs w:val="20"/>
              </w:rPr>
              <w:t xml:space="preserve">, are o experienta de buna functionare de 20 de ani, asigura echilibrul structurilor de putere locale si regionale, fiind in acelasi timp relativ suplu. In plus, se bazeaza intr-o mare masura pe un sistem de reguli/proceduri profesionale si intr-o mica masura pe decizii administrative care pot fi uneori subiective. </w:t>
            </w:r>
          </w:p>
          <w:p w:rsidR="009771A1" w:rsidRPr="00E95FAC" w:rsidRDefault="00884BB0" w:rsidP="00E95FAC">
            <w:pPr>
              <w:spacing w:after="0" w:line="240" w:lineRule="auto"/>
              <w:jc w:val="both"/>
              <w:rPr>
                <w:rFonts w:ascii="Times New Roman" w:hAnsi="Times New Roman" w:cs="Times New Roman"/>
                <w:sz w:val="20"/>
                <w:szCs w:val="20"/>
              </w:rPr>
            </w:pPr>
            <w:r w:rsidRPr="00190F7C">
              <w:rPr>
                <w:rFonts w:ascii="Times New Roman" w:hAnsi="Times New Roman" w:cs="Times New Roman"/>
                <w:sz w:val="20"/>
                <w:szCs w:val="20"/>
              </w:rPr>
              <w:t xml:space="preserve">Implementarea, monitorizarea si evaluarea POR </w:t>
            </w:r>
            <w:r w:rsidR="00B91D00" w:rsidRPr="00190F7C">
              <w:rPr>
                <w:rFonts w:ascii="Times New Roman" w:hAnsi="Times New Roman" w:cs="Times New Roman"/>
                <w:sz w:val="20"/>
                <w:szCs w:val="20"/>
              </w:rPr>
              <w:t>Centru</w:t>
            </w:r>
            <w:r w:rsidRPr="00190F7C">
              <w:rPr>
                <w:rFonts w:ascii="Times New Roman" w:hAnsi="Times New Roman" w:cs="Times New Roman"/>
                <w:sz w:val="20"/>
                <w:szCs w:val="20"/>
              </w:rPr>
              <w:t xml:space="preserve"> 2021-2027 va fi realizata cu sprijinul </w:t>
            </w:r>
            <w:r w:rsidR="00B91D00" w:rsidRPr="00190F7C">
              <w:rPr>
                <w:rFonts w:ascii="Times New Roman" w:hAnsi="Times New Roman" w:cs="Times New Roman"/>
                <w:b/>
                <w:sz w:val="20"/>
                <w:szCs w:val="20"/>
              </w:rPr>
              <w:t>Comitetul</w:t>
            </w:r>
            <w:r w:rsidR="00190F7C">
              <w:rPr>
                <w:rFonts w:ascii="Times New Roman" w:hAnsi="Times New Roman" w:cs="Times New Roman"/>
                <w:b/>
                <w:sz w:val="20"/>
                <w:szCs w:val="20"/>
              </w:rPr>
              <w:t>ui</w:t>
            </w:r>
            <w:r w:rsidR="00B91D00" w:rsidRPr="00190F7C">
              <w:rPr>
                <w:rFonts w:ascii="Times New Roman" w:hAnsi="Times New Roman" w:cs="Times New Roman"/>
                <w:b/>
                <w:sz w:val="20"/>
                <w:szCs w:val="20"/>
              </w:rPr>
              <w:t xml:space="preserve"> de Monitorizare al POR 2021-2027 Regiunea Centru,</w:t>
            </w:r>
            <w:r w:rsidR="00B91D00" w:rsidRPr="00190F7C">
              <w:rPr>
                <w:rFonts w:ascii="Times New Roman" w:hAnsi="Times New Roman" w:cs="Times New Roman"/>
                <w:sz w:val="20"/>
                <w:szCs w:val="20"/>
              </w:rPr>
              <w:t xml:space="preserve"> organism fundamental pentru principiul partenerial, care va reuni reprezentanți ai mediului public, privat, academic</w:t>
            </w:r>
            <w:r w:rsidR="00D05C2C">
              <w:rPr>
                <w:rFonts w:ascii="Times New Roman" w:hAnsi="Times New Roman" w:cs="Times New Roman"/>
                <w:sz w:val="20"/>
                <w:szCs w:val="20"/>
              </w:rPr>
              <w:t xml:space="preserve"> </w:t>
            </w:r>
            <w:r w:rsidR="00B91D00" w:rsidRPr="00190F7C">
              <w:rPr>
                <w:rFonts w:ascii="Times New Roman" w:hAnsi="Times New Roman" w:cs="Times New Roman"/>
                <w:sz w:val="20"/>
                <w:szCs w:val="20"/>
              </w:rPr>
              <w:t xml:space="preserve">și asociativ, cu rol important în implementarea și monitorizarea Programului. </w:t>
            </w:r>
            <w:r w:rsidRPr="00190F7C">
              <w:rPr>
                <w:rFonts w:ascii="Times New Roman" w:hAnsi="Times New Roman" w:cs="Times New Roman"/>
                <w:sz w:val="20"/>
                <w:szCs w:val="20"/>
              </w:rPr>
              <w:t xml:space="preserve">Criteriile si procesul de selectie </w:t>
            </w:r>
            <w:r w:rsidR="00B91D00" w:rsidRPr="00190F7C">
              <w:rPr>
                <w:rFonts w:ascii="Times New Roman" w:hAnsi="Times New Roman" w:cs="Times New Roman"/>
                <w:sz w:val="20"/>
                <w:szCs w:val="20"/>
              </w:rPr>
              <w:t xml:space="preserve">a membriilor </w:t>
            </w:r>
            <w:r w:rsidRPr="00190F7C">
              <w:rPr>
                <w:rFonts w:ascii="Times New Roman" w:hAnsi="Times New Roman" w:cs="Times New Roman"/>
                <w:sz w:val="20"/>
                <w:szCs w:val="20"/>
              </w:rPr>
              <w:t xml:space="preserve">vor fi realizate ulterior, dupa aprobarea programului. CM POR </w:t>
            </w:r>
            <w:r w:rsidR="00B91D00" w:rsidRPr="00190F7C">
              <w:rPr>
                <w:rFonts w:ascii="Times New Roman" w:hAnsi="Times New Roman" w:cs="Times New Roman"/>
                <w:sz w:val="20"/>
                <w:szCs w:val="20"/>
              </w:rPr>
              <w:t xml:space="preserve">Centru </w:t>
            </w:r>
            <w:r w:rsidRPr="00190F7C">
              <w:rPr>
                <w:rFonts w:ascii="Times New Roman" w:hAnsi="Times New Roman" w:cs="Times New Roman"/>
                <w:sz w:val="20"/>
                <w:szCs w:val="20"/>
              </w:rPr>
              <w:t>examineaza toate aspectele care afecteaza evolutia programului, inclusiv concluziile evaluarilor performantei.</w:t>
            </w:r>
          </w:p>
        </w:tc>
      </w:tr>
    </w:tbl>
    <w:p w:rsidR="00F000AD" w:rsidRPr="00F000AD" w:rsidRDefault="00F000AD" w:rsidP="00F000AD">
      <w:pPr>
        <w:spacing w:before="120" w:after="120" w:line="360" w:lineRule="auto"/>
        <w:rPr>
          <w:rFonts w:ascii="Times New Roman" w:eastAsia="Times New Roman" w:hAnsi="Times New Roman" w:cs="Times New Roman"/>
          <w:i/>
          <w:noProof/>
          <w:sz w:val="24"/>
          <w:szCs w:val="24"/>
          <w:lang w:val="en-GB"/>
        </w:rPr>
      </w:pPr>
      <w:r w:rsidRPr="00F000AD">
        <w:rPr>
          <w:rFonts w:ascii="Times New Roman" w:eastAsia="Times New Roman" w:hAnsi="Times New Roman" w:cs="Times New Roman"/>
          <w:i/>
          <w:noProof/>
          <w:sz w:val="24"/>
          <w:szCs w:val="24"/>
          <w:lang w:val="en-GB"/>
        </w:rPr>
        <w:lastRenderedPageBreak/>
        <w:t>For the Investment for Jobs and Growth goal: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619"/>
        <w:gridCol w:w="6786"/>
      </w:tblGrid>
      <w:tr w:rsidR="00F000AD" w:rsidRPr="00F000AD" w:rsidTr="00A5682B">
        <w:tc>
          <w:tcPr>
            <w:tcW w:w="5000" w:type="pct"/>
            <w:gridSpan w:val="3"/>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spacing w:before="120" w:after="120"/>
              <w:rPr>
                <w:rFonts w:ascii="Times New Roman" w:eastAsia="Times New Roman" w:hAnsi="Times New Roman" w:cs="Times New Roman"/>
                <w:b/>
                <w:iCs/>
                <w:noProof/>
                <w:sz w:val="20"/>
                <w:lang w:val="en-US"/>
              </w:rPr>
            </w:pPr>
            <w:r w:rsidRPr="00F000AD">
              <w:rPr>
                <w:rFonts w:ascii="Times New Roman" w:eastAsia="Times New Roman" w:hAnsi="Times New Roman" w:cs="Times New Roman"/>
                <w:b/>
                <w:iCs/>
                <w:noProof/>
                <w:sz w:val="20"/>
                <w:lang w:val="en-US"/>
              </w:rPr>
              <w:t>Table 1</w:t>
            </w:r>
          </w:p>
        </w:tc>
      </w:tr>
      <w:tr w:rsidR="00054FC4" w:rsidRPr="00F000AD" w:rsidTr="00A5682B">
        <w:tc>
          <w:tcPr>
            <w:tcW w:w="635" w:type="pct"/>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spacing w:before="120" w:after="120"/>
              <w:rPr>
                <w:rFonts w:ascii="Times New Roman" w:eastAsia="Times New Roman" w:hAnsi="Times New Roman" w:cs="Times New Roman"/>
                <w:b/>
                <w:iCs/>
                <w:noProof/>
                <w:sz w:val="20"/>
                <w:lang w:val="en-US"/>
              </w:rPr>
            </w:pPr>
            <w:r w:rsidRPr="00F000AD">
              <w:rPr>
                <w:rFonts w:ascii="Times New Roman" w:eastAsia="Times New Roman" w:hAnsi="Times New Roman" w:cs="Times New Roman"/>
                <w:b/>
                <w:iCs/>
                <w:noProof/>
                <w:sz w:val="20"/>
                <w:lang w:val="en-US"/>
              </w:rPr>
              <w:t xml:space="preserve">Policy objective </w:t>
            </w:r>
          </w:p>
        </w:tc>
        <w:tc>
          <w:tcPr>
            <w:tcW w:w="841" w:type="pct"/>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spacing w:before="120" w:after="120"/>
              <w:rPr>
                <w:rFonts w:ascii="Times New Roman" w:eastAsia="Times New Roman" w:hAnsi="Times New Roman" w:cs="Times New Roman"/>
                <w:b/>
                <w:iCs/>
                <w:noProof/>
                <w:sz w:val="20"/>
                <w:lang w:val="en-US"/>
              </w:rPr>
            </w:pPr>
            <w:r w:rsidRPr="00F000AD">
              <w:rPr>
                <w:rFonts w:ascii="Times New Roman" w:eastAsia="Times New Roman" w:hAnsi="Times New Roman" w:cs="Times New Roman"/>
                <w:b/>
                <w:iCs/>
                <w:noProof/>
                <w:sz w:val="20"/>
                <w:lang w:val="en-US"/>
              </w:rPr>
              <w:t xml:space="preserve">Specific objective </w:t>
            </w:r>
          </w:p>
        </w:tc>
        <w:tc>
          <w:tcPr>
            <w:tcW w:w="3524" w:type="pct"/>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spacing w:before="120" w:after="120"/>
              <w:rPr>
                <w:rFonts w:ascii="Times New Roman" w:eastAsia="Times New Roman" w:hAnsi="Times New Roman" w:cs="Times New Roman"/>
                <w:b/>
                <w:iCs/>
                <w:noProof/>
                <w:sz w:val="20"/>
                <w:lang w:val="en-US"/>
              </w:rPr>
            </w:pPr>
            <w:r w:rsidRPr="00F000AD">
              <w:rPr>
                <w:rFonts w:ascii="Times New Roman" w:eastAsia="Times New Roman" w:hAnsi="Times New Roman" w:cs="Times New Roman"/>
                <w:b/>
                <w:iCs/>
                <w:noProof/>
                <w:sz w:val="20"/>
                <w:lang w:val="en-US"/>
              </w:rPr>
              <w:t>Justification (summary)</w:t>
            </w:r>
          </w:p>
        </w:tc>
      </w:tr>
      <w:tr w:rsidR="003906EF" w:rsidRPr="00F000AD" w:rsidTr="00A5682B">
        <w:tc>
          <w:tcPr>
            <w:tcW w:w="635" w:type="pct"/>
            <w:vMerge w:val="restart"/>
            <w:tcBorders>
              <w:top w:val="single" w:sz="4" w:space="0" w:color="auto"/>
              <w:left w:val="single" w:sz="4" w:space="0" w:color="auto"/>
              <w:right w:val="single" w:sz="4" w:space="0" w:color="auto"/>
            </w:tcBorders>
          </w:tcPr>
          <w:p w:rsidR="003906EF" w:rsidRPr="00C06D99" w:rsidRDefault="003906EF" w:rsidP="003906EF">
            <w:pPr>
              <w:pStyle w:val="Listparagraf"/>
              <w:numPr>
                <w:ilvl w:val="0"/>
                <w:numId w:val="58"/>
              </w:numPr>
              <w:ind w:left="162" w:hanging="162"/>
              <w:rPr>
                <w:rFonts w:eastAsia="Times New Roman"/>
                <w:b/>
                <w:iCs/>
                <w:noProof/>
                <w:sz w:val="20"/>
                <w:szCs w:val="20"/>
                <w:lang w:val="en-US"/>
              </w:rPr>
            </w:pPr>
            <w:r w:rsidRPr="00C06D99">
              <w:rPr>
                <w:rFonts w:eastAsia="Times New Roman"/>
                <w:b/>
                <w:iCs/>
                <w:noProof/>
                <w:sz w:val="20"/>
                <w:szCs w:val="20"/>
                <w:lang w:val="en-US"/>
              </w:rPr>
              <w:t xml:space="preserve"> O Europă mai inteigentă</w:t>
            </w:r>
          </w:p>
        </w:tc>
        <w:tc>
          <w:tcPr>
            <w:tcW w:w="841" w:type="pct"/>
            <w:tcBorders>
              <w:top w:val="single" w:sz="4" w:space="0" w:color="auto"/>
              <w:left w:val="single" w:sz="4" w:space="0" w:color="auto"/>
              <w:bottom w:val="single" w:sz="4" w:space="0" w:color="auto"/>
              <w:right w:val="single" w:sz="4" w:space="0" w:color="auto"/>
            </w:tcBorders>
          </w:tcPr>
          <w:p w:rsidR="003906EF" w:rsidRPr="00C06D99" w:rsidRDefault="003906EF" w:rsidP="003906EF">
            <w:pPr>
              <w:spacing w:before="120" w:after="120"/>
              <w:rPr>
                <w:rFonts w:ascii="Times New Roman" w:eastAsia="Times New Roman" w:hAnsi="Times New Roman" w:cs="Times New Roman"/>
                <w:i/>
                <w:iCs/>
                <w:noProof/>
                <w:sz w:val="20"/>
                <w:szCs w:val="20"/>
                <w:lang w:val="en-US"/>
              </w:rPr>
            </w:pPr>
            <w:r w:rsidRPr="00C06D99">
              <w:rPr>
                <w:rFonts w:ascii="Times New Roman" w:hAnsi="Times New Roman" w:cs="Times New Roman"/>
                <w:sz w:val="20"/>
                <w:szCs w:val="20"/>
              </w:rPr>
              <w:t>a (i) Dezvoltarea capacităților de cercetare și inovare și adoptarea tehnologiilor avansate</w:t>
            </w:r>
          </w:p>
        </w:tc>
        <w:tc>
          <w:tcPr>
            <w:tcW w:w="3524" w:type="pct"/>
            <w:tcBorders>
              <w:top w:val="single" w:sz="4" w:space="0" w:color="auto"/>
              <w:left w:val="single" w:sz="4" w:space="0" w:color="auto"/>
              <w:bottom w:val="single" w:sz="4" w:space="0" w:color="auto"/>
              <w:right w:val="single" w:sz="4" w:space="0" w:color="auto"/>
            </w:tcBorders>
            <w:hideMark/>
          </w:tcPr>
          <w:p w:rsidR="003906EF" w:rsidRPr="00C06D99" w:rsidRDefault="0040330F" w:rsidP="003906EF">
            <w:pPr>
              <w:spacing w:after="0" w:line="240" w:lineRule="auto"/>
              <w:jc w:val="both"/>
              <w:rPr>
                <w:rFonts w:ascii="Times New Roman" w:eastAsia="Times New Roman" w:hAnsi="Times New Roman" w:cs="Times New Roman"/>
                <w:iCs/>
                <w:noProof/>
                <w:sz w:val="20"/>
                <w:szCs w:val="20"/>
                <w:lang w:val="en-US"/>
              </w:rPr>
            </w:pPr>
            <w:r w:rsidRPr="007A7F5D">
              <w:rPr>
                <w:rFonts w:ascii="Times New Roman" w:hAnsi="Times New Roman" w:cs="Times New Roman"/>
                <w:bCs/>
                <w:sz w:val="20"/>
                <w:szCs w:val="20"/>
              </w:rPr>
              <w:t>Structurarea unui ecosistem de inovare regional se poate realiza doar cu susținerea creării și dezvoltării de entități care să compună acest ecosistem, precum și prin realizarea de conexiuni între aceste entități</w:t>
            </w:r>
            <w:r>
              <w:rPr>
                <w:rFonts w:ascii="Times New Roman" w:hAnsi="Times New Roman" w:cs="Times New Roman"/>
                <w:bCs/>
                <w:sz w:val="20"/>
                <w:szCs w:val="20"/>
              </w:rPr>
              <w:t>, conform RIS3 Centru</w:t>
            </w:r>
            <w:r w:rsidRPr="007A7F5D">
              <w:rPr>
                <w:rFonts w:ascii="Times New Roman" w:hAnsi="Times New Roman" w:cs="Times New Roman"/>
                <w:bCs/>
                <w:sz w:val="20"/>
                <w:szCs w:val="20"/>
              </w:rPr>
              <w:t>. Trebuie să avem în vedere faptul că doar 5% din totalul infrastructurilor de CDI susținute din fonduri publice sunt pe teritoriul Regiunii Centru, totalizând 4% din totalul echipamentelor înregistrate pe platform</w:t>
            </w:r>
            <w:r>
              <w:rPr>
                <w:rFonts w:ascii="Times New Roman" w:hAnsi="Times New Roman" w:cs="Times New Roman"/>
                <w:bCs/>
                <w:sz w:val="20"/>
                <w:szCs w:val="20"/>
              </w:rPr>
              <w:t>a ERRIS</w:t>
            </w:r>
            <w:r w:rsidRPr="007A7F5D">
              <w:rPr>
                <w:rFonts w:ascii="Times New Roman" w:hAnsi="Times New Roman" w:cs="Times New Roman"/>
                <w:bCs/>
                <w:sz w:val="20"/>
                <w:szCs w:val="20"/>
              </w:rPr>
              <w:t xml:space="preserve">. </w:t>
            </w:r>
            <w:r w:rsidRPr="00250542">
              <w:rPr>
                <w:rFonts w:ascii="Times New Roman" w:hAnsi="Times New Roman" w:cs="Times New Roman"/>
                <w:bCs/>
                <w:sz w:val="20"/>
                <w:szCs w:val="20"/>
              </w:rPr>
              <w:t xml:space="preserve">Media </w:t>
            </w:r>
            <w:r>
              <w:rPr>
                <w:rFonts w:ascii="Times New Roman" w:hAnsi="Times New Roman" w:cs="Times New Roman"/>
                <w:bCs/>
                <w:sz w:val="20"/>
                <w:szCs w:val="20"/>
              </w:rPr>
              <w:t>UE</w:t>
            </w:r>
            <w:r w:rsidRPr="00250542">
              <w:rPr>
                <w:rFonts w:ascii="Times New Roman" w:hAnsi="Times New Roman" w:cs="Times New Roman"/>
                <w:bCs/>
                <w:sz w:val="20"/>
                <w:szCs w:val="20"/>
              </w:rPr>
              <w:t xml:space="preserve"> a veniturilor generate de tranzacţiile cu produse inovative este de 13%, state</w:t>
            </w:r>
            <w:r>
              <w:rPr>
                <w:rFonts w:ascii="Times New Roman" w:hAnsi="Times New Roman" w:cs="Times New Roman"/>
                <w:bCs/>
                <w:sz w:val="20"/>
                <w:szCs w:val="20"/>
              </w:rPr>
              <w:t>le</w:t>
            </w:r>
            <w:r w:rsidRPr="00250542">
              <w:rPr>
                <w:rFonts w:ascii="Times New Roman" w:hAnsi="Times New Roman" w:cs="Times New Roman"/>
                <w:bCs/>
                <w:sz w:val="20"/>
                <w:szCs w:val="20"/>
              </w:rPr>
              <w:t xml:space="preserve"> campioane </w:t>
            </w:r>
            <w:r>
              <w:rPr>
                <w:rFonts w:ascii="Times New Roman" w:hAnsi="Times New Roman" w:cs="Times New Roman"/>
                <w:bCs/>
                <w:sz w:val="20"/>
                <w:szCs w:val="20"/>
              </w:rPr>
              <w:t>având</w:t>
            </w:r>
            <w:r w:rsidRPr="00250542">
              <w:rPr>
                <w:rFonts w:ascii="Times New Roman" w:hAnsi="Times New Roman" w:cs="Times New Roman"/>
                <w:bCs/>
                <w:sz w:val="20"/>
                <w:szCs w:val="20"/>
              </w:rPr>
              <w:t xml:space="preserve"> un procent apropiat de 20%. </w:t>
            </w:r>
            <w:r>
              <w:rPr>
                <w:rFonts w:ascii="Times New Roman" w:hAnsi="Times New Roman" w:cs="Times New Roman"/>
                <w:bCs/>
                <w:sz w:val="20"/>
                <w:szCs w:val="20"/>
              </w:rPr>
              <w:t xml:space="preserve">în timp ce România înregistrează un procent de sub 5%. </w:t>
            </w:r>
            <w:r w:rsidRPr="00250542">
              <w:rPr>
                <w:rFonts w:ascii="Times New Roman" w:hAnsi="Times New Roman" w:cs="Times New Roman"/>
                <w:bCs/>
                <w:sz w:val="20"/>
                <w:szCs w:val="20"/>
              </w:rPr>
              <w:t xml:space="preserve">Doar 10% din întreprinderile din România au desfăşurat între anii 2014-2016 activităţi inovatoare, dar şi printre acestea există firme cu inovaţii </w:t>
            </w:r>
            <w:r>
              <w:rPr>
                <w:rFonts w:ascii="Times New Roman" w:hAnsi="Times New Roman" w:cs="Times New Roman"/>
                <w:bCs/>
                <w:sz w:val="20"/>
                <w:szCs w:val="20"/>
              </w:rPr>
              <w:t xml:space="preserve">nefinalizate şi/sau abandonate </w:t>
            </w:r>
            <w:r w:rsidRPr="00250542">
              <w:rPr>
                <w:rFonts w:ascii="Times New Roman" w:hAnsi="Times New Roman" w:cs="Times New Roman"/>
                <w:bCs/>
                <w:sz w:val="20"/>
                <w:szCs w:val="20"/>
              </w:rPr>
              <w:t>(INS)</w:t>
            </w:r>
            <w:r>
              <w:rPr>
                <w:rFonts w:ascii="Times New Roman" w:hAnsi="Times New Roman" w:cs="Times New Roman"/>
                <w:bCs/>
                <w:sz w:val="20"/>
                <w:szCs w:val="20"/>
              </w:rPr>
              <w:t xml:space="preserve">. </w:t>
            </w:r>
            <w:r w:rsidRPr="003344CE">
              <w:rPr>
                <w:rFonts w:ascii="Times New Roman" w:hAnsi="Times New Roman" w:cs="Times New Roman"/>
                <w:bCs/>
                <w:sz w:val="20"/>
                <w:szCs w:val="20"/>
              </w:rPr>
              <w:t xml:space="preserve">Regiunea Centru performează modest, conform </w:t>
            </w:r>
            <w:r>
              <w:rPr>
                <w:rFonts w:ascii="Times New Roman" w:hAnsi="Times New Roman" w:cs="Times New Roman"/>
                <w:bCs/>
                <w:sz w:val="20"/>
                <w:szCs w:val="20"/>
              </w:rPr>
              <w:t>Regional Innovation Scoreboard</w:t>
            </w:r>
            <w:r w:rsidRPr="003344CE">
              <w:rPr>
                <w:rFonts w:ascii="Times New Roman" w:hAnsi="Times New Roman" w:cs="Times New Roman"/>
                <w:bCs/>
                <w:sz w:val="20"/>
                <w:szCs w:val="20"/>
              </w:rPr>
              <w:t xml:space="preserve">, la </w:t>
            </w:r>
            <w:r>
              <w:rPr>
                <w:rFonts w:ascii="Times New Roman" w:hAnsi="Times New Roman" w:cs="Times New Roman"/>
                <w:bCs/>
                <w:sz w:val="20"/>
                <w:szCs w:val="20"/>
              </w:rPr>
              <w:t xml:space="preserve">marea majoritate a indicatorilor utilizați în examinarea </w:t>
            </w:r>
            <w:r>
              <w:rPr>
                <w:rFonts w:ascii="Times New Roman" w:hAnsi="Times New Roman" w:cs="Times New Roman"/>
                <w:bCs/>
                <w:sz w:val="20"/>
                <w:szCs w:val="20"/>
              </w:rPr>
              <w:lastRenderedPageBreak/>
              <w:t>inovării).</w:t>
            </w:r>
            <w:r w:rsidRPr="003344CE">
              <w:rPr>
                <w:rFonts w:ascii="Times New Roman" w:hAnsi="Times New Roman" w:cs="Times New Roman"/>
                <w:bCs/>
                <w:sz w:val="20"/>
                <w:szCs w:val="20"/>
              </w:rPr>
              <w:t xml:space="preserve"> </w:t>
            </w:r>
            <w:r>
              <w:rPr>
                <w:rFonts w:ascii="Times New Roman" w:hAnsi="Times New Roman" w:cs="Times New Roman"/>
                <w:bCs/>
                <w:sz w:val="20"/>
                <w:szCs w:val="20"/>
              </w:rPr>
              <w:t>E</w:t>
            </w:r>
            <w:r w:rsidRPr="003344CE">
              <w:rPr>
                <w:rFonts w:ascii="Times New Roman" w:hAnsi="Times New Roman" w:cs="Times New Roman"/>
                <w:bCs/>
                <w:sz w:val="20"/>
                <w:szCs w:val="20"/>
              </w:rPr>
              <w:t>ste activ în regiune doar un singur incubator de afaceri (din totalul de 11 la nivel național), 3 Hub-uri (din totalul de 25) și nici o structură de accelerare (din cele 14 la nivel național).</w:t>
            </w:r>
            <w:r>
              <w:rPr>
                <w:rFonts w:ascii="Times New Roman" w:hAnsi="Times New Roman" w:cs="Times New Roman"/>
                <w:bCs/>
                <w:sz w:val="20"/>
                <w:szCs w:val="20"/>
              </w:rPr>
              <w:t xml:space="preserve"> </w:t>
            </w:r>
            <w:r w:rsidRPr="007A7F5D">
              <w:rPr>
                <w:rFonts w:ascii="Times New Roman" w:hAnsi="Times New Roman" w:cs="Times New Roman"/>
                <w:bCs/>
                <w:sz w:val="20"/>
                <w:szCs w:val="20"/>
              </w:rPr>
              <w:t xml:space="preserve">IMM din Regiunea Centru </w:t>
            </w:r>
            <w:r>
              <w:rPr>
                <w:rFonts w:ascii="Times New Roman" w:hAnsi="Times New Roman" w:cs="Times New Roman"/>
                <w:bCs/>
                <w:sz w:val="20"/>
                <w:szCs w:val="20"/>
              </w:rPr>
              <w:t xml:space="preserve">sunt </w:t>
            </w:r>
            <w:r w:rsidRPr="007A7F5D">
              <w:rPr>
                <w:rFonts w:ascii="Times New Roman" w:hAnsi="Times New Roman" w:cs="Times New Roman"/>
                <w:bCs/>
                <w:sz w:val="20"/>
                <w:szCs w:val="20"/>
              </w:rPr>
              <w:t xml:space="preserve">la mai puțin de 30% din media </w:t>
            </w:r>
            <w:r>
              <w:rPr>
                <w:rFonts w:ascii="Times New Roman" w:hAnsi="Times New Roman" w:cs="Times New Roman"/>
                <w:bCs/>
                <w:sz w:val="20"/>
                <w:szCs w:val="20"/>
              </w:rPr>
              <w:t>UE</w:t>
            </w:r>
            <w:r w:rsidRPr="007A7F5D">
              <w:rPr>
                <w:rFonts w:ascii="Times New Roman" w:hAnsi="Times New Roman" w:cs="Times New Roman"/>
                <w:bCs/>
                <w:sz w:val="20"/>
                <w:szCs w:val="20"/>
              </w:rPr>
              <w:t xml:space="preserve"> în ce privește volumul din venituri ocupat de vânzările de produse noi pentru piață sau pentru firmă</w:t>
            </w:r>
            <w:r>
              <w:rPr>
                <w:rFonts w:ascii="Times New Roman" w:hAnsi="Times New Roman" w:cs="Times New Roman"/>
                <w:bCs/>
                <w:sz w:val="20"/>
                <w:szCs w:val="20"/>
              </w:rPr>
              <w:t>. În lipsa unei pieţe regionale a cunoaşterii, transferul tehnologic este sugrumat şi multe din start-up-urile inovative din Regiune migrează în afara regiunii pentru oportunităţi de creştere. În ce priveşte c</w:t>
            </w:r>
            <w:r w:rsidRPr="00D659EC">
              <w:rPr>
                <w:rFonts w:ascii="Times New Roman" w:hAnsi="Times New Roman" w:cs="Times New Roman"/>
                <w:bCs/>
                <w:sz w:val="20"/>
                <w:szCs w:val="20"/>
              </w:rPr>
              <w:t>heltuieli</w:t>
            </w:r>
            <w:r>
              <w:rPr>
                <w:rFonts w:ascii="Times New Roman" w:hAnsi="Times New Roman" w:cs="Times New Roman"/>
                <w:bCs/>
                <w:sz w:val="20"/>
                <w:szCs w:val="20"/>
              </w:rPr>
              <w:t>le</w:t>
            </w:r>
            <w:r w:rsidRPr="00D659EC">
              <w:rPr>
                <w:rFonts w:ascii="Times New Roman" w:hAnsi="Times New Roman" w:cs="Times New Roman"/>
                <w:bCs/>
                <w:sz w:val="20"/>
                <w:szCs w:val="20"/>
              </w:rPr>
              <w:t xml:space="preserve"> de CDI ale sectorului public</w:t>
            </w:r>
            <w:r>
              <w:rPr>
                <w:rFonts w:ascii="Times New Roman" w:hAnsi="Times New Roman" w:cs="Times New Roman"/>
                <w:bCs/>
                <w:sz w:val="20"/>
                <w:szCs w:val="20"/>
              </w:rPr>
              <w:t>,</w:t>
            </w:r>
            <w:r w:rsidRPr="00D659EC">
              <w:rPr>
                <w:rFonts w:ascii="Times New Roman" w:hAnsi="Times New Roman" w:cs="Times New Roman"/>
                <w:bCs/>
                <w:sz w:val="20"/>
                <w:szCs w:val="20"/>
              </w:rPr>
              <w:t xml:space="preserve"> Regiunea Centru este mult rămasă în urmă, fiind la distanţă mare de media naţională şi având o prezenţă aproape neglijabilă faţă de media UE.</w:t>
            </w:r>
            <w:r>
              <w:rPr>
                <w:rFonts w:ascii="Times New Roman" w:hAnsi="Times New Roman" w:cs="Times New Roman"/>
                <w:bCs/>
                <w:sz w:val="20"/>
                <w:szCs w:val="20"/>
              </w:rPr>
              <w:t xml:space="preserve"> Dezvoltarea capacităților de cercetare și inovare și adoptarea tehnologiilor avansate sunt prevăzute în RIS 3 Centru ca principali driveri de inovare, susținerea acțiunilor în această direcție fiind determinantă la nivel regional.  </w:t>
            </w:r>
            <w:r w:rsidRPr="00D659EC">
              <w:rPr>
                <w:rFonts w:ascii="Times New Roman" w:hAnsi="Times New Roman" w:cs="Times New Roman"/>
                <w:bCs/>
                <w:sz w:val="20"/>
                <w:szCs w:val="20"/>
              </w:rPr>
              <w:t xml:space="preserve"> </w:t>
            </w:r>
          </w:p>
        </w:tc>
      </w:tr>
      <w:tr w:rsidR="003906EF" w:rsidRPr="00F000AD" w:rsidTr="00A5682B">
        <w:tc>
          <w:tcPr>
            <w:tcW w:w="635" w:type="pct"/>
            <w:vMerge/>
            <w:tcBorders>
              <w:left w:val="single" w:sz="4" w:space="0" w:color="auto"/>
              <w:right w:val="single" w:sz="4" w:space="0" w:color="auto"/>
            </w:tcBorders>
          </w:tcPr>
          <w:p w:rsidR="003906EF" w:rsidRPr="00C06D99" w:rsidRDefault="003906EF" w:rsidP="003906EF">
            <w:pPr>
              <w:spacing w:before="120" w:after="120"/>
              <w:rPr>
                <w:rFonts w:ascii="Times New Roman" w:eastAsia="Times New Roman" w:hAnsi="Times New Roman" w:cs="Times New Roman"/>
                <w:b/>
                <w:iCs/>
                <w:noProof/>
                <w:sz w:val="20"/>
                <w:szCs w:val="20"/>
                <w:lang w:val="en-US"/>
              </w:rPr>
            </w:pPr>
          </w:p>
        </w:tc>
        <w:tc>
          <w:tcPr>
            <w:tcW w:w="841" w:type="pct"/>
            <w:tcBorders>
              <w:top w:val="single" w:sz="4" w:space="0" w:color="auto"/>
              <w:left w:val="single" w:sz="4" w:space="0" w:color="auto"/>
              <w:bottom w:val="single" w:sz="4" w:space="0" w:color="auto"/>
              <w:right w:val="single" w:sz="4" w:space="0" w:color="auto"/>
            </w:tcBorders>
          </w:tcPr>
          <w:p w:rsidR="003906EF" w:rsidRPr="00C06D99" w:rsidRDefault="003906EF" w:rsidP="003906EF">
            <w:pPr>
              <w:spacing w:before="120" w:after="120"/>
              <w:rPr>
                <w:rFonts w:ascii="Times New Roman" w:hAnsi="Times New Roman" w:cs="Times New Roman"/>
                <w:i/>
                <w:sz w:val="20"/>
                <w:szCs w:val="20"/>
              </w:rPr>
            </w:pPr>
            <w:r w:rsidRPr="00C06D99">
              <w:rPr>
                <w:rFonts w:ascii="Times New Roman" w:hAnsi="Times New Roman" w:cs="Times New Roman"/>
                <w:sz w:val="20"/>
                <w:szCs w:val="20"/>
              </w:rPr>
              <w:t>a (ii) Fructificarea avantajelor digitalizării, în beneficiul cetățenilor, al companiilor și al guvernelor</w:t>
            </w:r>
          </w:p>
        </w:tc>
        <w:tc>
          <w:tcPr>
            <w:tcW w:w="3524" w:type="pct"/>
            <w:tcBorders>
              <w:top w:val="single" w:sz="4" w:space="0" w:color="auto"/>
              <w:left w:val="single" w:sz="4" w:space="0" w:color="auto"/>
              <w:bottom w:val="single" w:sz="4" w:space="0" w:color="auto"/>
              <w:right w:val="single" w:sz="4" w:space="0" w:color="auto"/>
            </w:tcBorders>
          </w:tcPr>
          <w:p w:rsidR="0040330F" w:rsidRPr="005C75DF" w:rsidRDefault="0040330F" w:rsidP="005C75DF">
            <w:pPr>
              <w:spacing w:after="0" w:line="240" w:lineRule="auto"/>
              <w:jc w:val="both"/>
              <w:rPr>
                <w:rFonts w:ascii="Times New Roman" w:eastAsia="Times New Roman" w:hAnsi="Times New Roman" w:cs="Times New Roman"/>
                <w:iCs/>
                <w:noProof/>
                <w:sz w:val="20"/>
                <w:szCs w:val="20"/>
                <w:lang w:val="en-US"/>
              </w:rPr>
            </w:pPr>
            <w:r w:rsidRPr="004A09AF">
              <w:rPr>
                <w:rFonts w:ascii="Times New Roman" w:hAnsi="Times New Roman" w:cs="Times New Roman"/>
                <w:sz w:val="20"/>
                <w:szCs w:val="20"/>
              </w:rPr>
              <w:t xml:space="preserve">Intervenţia publică pentru accelerarea adoptării soluţiilor digitale, atât în mediul privat, cât şi în cel public, este justificată prioritar de decalajul constatat faţă de media europeană şi de progresele modeste înregistrate pentru atenuarea lui. Majoritatea companiilor au introdus doar o digitalizare primară a celor mai accesibile procese și folosindu-se cele mai accesibile device-uri (folosirea facturii electronice, tehnologia mobile și utilizarea de instrumente și echipamente de acces, control și securitate centralizate). Componenta avansată a digitalizării (stocarea Cloud, data analytics sau utilizarea de aplicații de tip ERP, SAP) nu e implementată decât </w:t>
            </w:r>
            <w:r w:rsidRPr="005C75DF">
              <w:rPr>
                <w:rFonts w:ascii="Times New Roman" w:hAnsi="Times New Roman" w:cs="Times New Roman"/>
                <w:sz w:val="20"/>
                <w:szCs w:val="20"/>
              </w:rPr>
              <w:t>într-o proporție foarte mică</w:t>
            </w:r>
            <w:r w:rsidRPr="004A09AF">
              <w:rPr>
                <w:rFonts w:ascii="Times New Roman" w:hAnsi="Times New Roman" w:cs="Times New Roman"/>
                <w:sz w:val="20"/>
                <w:szCs w:val="20"/>
              </w:rPr>
              <w:t xml:space="preserve"> de către companii. IMM-urile nu sunt conştiente de beneficiile digitalizării şi nu ştiu cum să adopte tehnologiile digitale în afacerile lor. Programele de digitalizare trebuie să se concentreze pe furnizarea de produse şi servicii integrate pentru IMM-uri, incluzând activităţi de conştientizare, programe de alfabetizare digitală, transfer de cunoaştere servicii de consultanţă şi investiţii în tehnologii digitale. </w:t>
            </w:r>
            <w:r w:rsidRPr="004A09AF">
              <w:rPr>
                <w:rFonts w:ascii="Times New Roman" w:eastAsia="Times New Roman" w:hAnsi="Times New Roman" w:cs="Times New Roman"/>
                <w:iCs/>
                <w:noProof/>
                <w:sz w:val="20"/>
                <w:szCs w:val="20"/>
                <w:lang w:val="en-US"/>
              </w:rPr>
              <w:t xml:space="preserve">Pentru segmentul destinat cetățenilor și administrației, s-a luat în considerare faptul că utilizarea instrumentelor digitale de către reprezentanții administrației publice aduce îmbunătățiri consistente a fluxurilor de lucru, reducerea timpului de procesare a solicitărilor și creșterea satisfacției </w:t>
            </w:r>
            <w:r w:rsidRPr="00CB1D2B">
              <w:rPr>
                <w:rFonts w:ascii="Times New Roman" w:eastAsia="Times New Roman" w:hAnsi="Times New Roman" w:cs="Times New Roman"/>
                <w:iCs/>
                <w:noProof/>
                <w:sz w:val="20"/>
                <w:szCs w:val="20"/>
                <w:lang w:val="en-US"/>
              </w:rPr>
              <w:t>cetățenilor</w:t>
            </w:r>
            <w:r w:rsidRPr="003F2E69">
              <w:rPr>
                <w:rFonts w:ascii="Times New Roman" w:eastAsia="Times New Roman" w:hAnsi="Times New Roman" w:cs="Times New Roman"/>
                <w:iCs/>
                <w:noProof/>
                <w:sz w:val="20"/>
                <w:szCs w:val="20"/>
                <w:lang w:val="en-US"/>
              </w:rPr>
              <w:t xml:space="preserve"> în relația cu instituțiile și autoritățile publice. </w:t>
            </w:r>
            <w:r w:rsidRPr="005C75DF">
              <w:rPr>
                <w:rFonts w:ascii="Times New Roman" w:eastAsia="Times New Roman" w:hAnsi="Times New Roman" w:cs="Times New Roman"/>
                <w:iCs/>
                <w:noProof/>
                <w:sz w:val="20"/>
                <w:szCs w:val="20"/>
                <w:lang w:val="en-US"/>
              </w:rPr>
              <w:t>Componenta de digitalizare destinată cetățenilor și administrației este asociată intervențiilor care susțin inițiativele de smart city pentru a fi plasată într-un context coerent și pentru a sublinia relația dintre informatizarea administrației și modernizarea modului de locuire a spațiului urban în beneficiul cetățenilor.</w:t>
            </w:r>
          </w:p>
          <w:p w:rsidR="00B96624" w:rsidRPr="00C06D99" w:rsidRDefault="0040330F" w:rsidP="004A09AF">
            <w:pPr>
              <w:spacing w:after="0" w:line="240" w:lineRule="auto"/>
              <w:jc w:val="both"/>
              <w:rPr>
                <w:rFonts w:ascii="Times New Roman" w:eastAsia="Times New Roman" w:hAnsi="Times New Roman" w:cs="Times New Roman"/>
                <w:iCs/>
                <w:noProof/>
                <w:sz w:val="20"/>
                <w:szCs w:val="20"/>
                <w:lang w:val="en-US"/>
              </w:rPr>
            </w:pPr>
            <w:r w:rsidRPr="005C75DF">
              <w:rPr>
                <w:rFonts w:ascii="Times New Roman" w:eastAsia="Times New Roman" w:hAnsi="Times New Roman" w:cs="Times New Roman"/>
                <w:iCs/>
                <w:noProof/>
                <w:sz w:val="20"/>
                <w:szCs w:val="20"/>
                <w:lang w:val="en-US"/>
              </w:rPr>
              <w:t>RIS3 Centru prevede necesitatea intervenției pentru îndepărtarea barierelor în difuzarea digitalizării, accesul la finanțare fiind unul dintre cei mai puternici determinanți.</w:t>
            </w:r>
            <w:r w:rsidR="004A09AF">
              <w:rPr>
                <w:rFonts w:ascii="Times New Roman" w:hAnsi="Times New Roman" w:cs="Times New Roman"/>
                <w:sz w:val="20"/>
                <w:szCs w:val="20"/>
              </w:rPr>
              <w:t xml:space="preserve"> </w:t>
            </w:r>
            <w:r w:rsidR="00B96624" w:rsidRPr="005C75DF">
              <w:rPr>
                <w:rFonts w:ascii="Times New Roman" w:hAnsi="Times New Roman" w:cs="Times New Roman"/>
                <w:sz w:val="20"/>
                <w:szCs w:val="20"/>
              </w:rPr>
              <w:t>In strategiile de dezvoltare urbana, unitatile administrativ teritoriale au identificat o serie de nevoi/probleme ce tin de cresterea gradului de digitalizare: guvernanță, economie, mediu, capital uman, locuire.</w:t>
            </w:r>
          </w:p>
        </w:tc>
      </w:tr>
      <w:tr w:rsidR="003906EF" w:rsidRPr="00F000AD" w:rsidTr="00A5682B">
        <w:tc>
          <w:tcPr>
            <w:tcW w:w="635" w:type="pct"/>
            <w:vMerge/>
            <w:tcBorders>
              <w:left w:val="single" w:sz="4" w:space="0" w:color="auto"/>
              <w:right w:val="single" w:sz="4" w:space="0" w:color="auto"/>
            </w:tcBorders>
          </w:tcPr>
          <w:p w:rsidR="003906EF" w:rsidRPr="00C06D99" w:rsidRDefault="003906EF" w:rsidP="003906EF">
            <w:pPr>
              <w:spacing w:before="120" w:after="120"/>
              <w:rPr>
                <w:rFonts w:ascii="Times New Roman" w:eastAsia="Times New Roman" w:hAnsi="Times New Roman" w:cs="Times New Roman"/>
                <w:b/>
                <w:iCs/>
                <w:noProof/>
                <w:sz w:val="20"/>
                <w:szCs w:val="20"/>
                <w:lang w:val="en-US"/>
              </w:rPr>
            </w:pPr>
          </w:p>
        </w:tc>
        <w:tc>
          <w:tcPr>
            <w:tcW w:w="841" w:type="pct"/>
            <w:tcBorders>
              <w:top w:val="single" w:sz="4" w:space="0" w:color="auto"/>
              <w:left w:val="single" w:sz="4" w:space="0" w:color="auto"/>
              <w:bottom w:val="single" w:sz="4" w:space="0" w:color="auto"/>
              <w:right w:val="single" w:sz="4" w:space="0" w:color="auto"/>
            </w:tcBorders>
          </w:tcPr>
          <w:p w:rsidR="003906EF" w:rsidRPr="00C06D99" w:rsidRDefault="003906EF" w:rsidP="003906EF">
            <w:pPr>
              <w:spacing w:after="0" w:line="240" w:lineRule="auto"/>
              <w:rPr>
                <w:rFonts w:ascii="Times New Roman" w:hAnsi="Times New Roman" w:cs="Times New Roman"/>
                <w:i/>
                <w:sz w:val="20"/>
                <w:szCs w:val="20"/>
              </w:rPr>
            </w:pPr>
            <w:r w:rsidRPr="00C06D99">
              <w:rPr>
                <w:rFonts w:ascii="Times New Roman" w:hAnsi="Times New Roman" w:cs="Times New Roman"/>
                <w:sz w:val="20"/>
                <w:szCs w:val="20"/>
              </w:rPr>
              <w:t>a (iii) Impulsionarea creșterii și competitivității IMM-urilor</w:t>
            </w:r>
          </w:p>
        </w:tc>
        <w:tc>
          <w:tcPr>
            <w:tcW w:w="3524" w:type="pct"/>
            <w:tcBorders>
              <w:top w:val="single" w:sz="4" w:space="0" w:color="auto"/>
              <w:left w:val="single" w:sz="4" w:space="0" w:color="auto"/>
              <w:bottom w:val="single" w:sz="4" w:space="0" w:color="auto"/>
              <w:right w:val="single" w:sz="4" w:space="0" w:color="auto"/>
            </w:tcBorders>
          </w:tcPr>
          <w:p w:rsidR="003906EF" w:rsidRPr="00C06D99" w:rsidRDefault="0040330F" w:rsidP="003906EF">
            <w:pPr>
              <w:spacing w:after="0" w:line="240" w:lineRule="auto"/>
              <w:jc w:val="both"/>
              <w:rPr>
                <w:rFonts w:ascii="Times New Roman" w:eastAsia="Times New Roman" w:hAnsi="Times New Roman" w:cs="Times New Roman"/>
                <w:iCs/>
                <w:noProof/>
                <w:sz w:val="20"/>
                <w:szCs w:val="20"/>
                <w:lang w:val="en-US"/>
              </w:rPr>
            </w:pPr>
            <w:r>
              <w:rPr>
                <w:rFonts w:ascii="Times New Roman" w:hAnsi="Times New Roman" w:cs="Times New Roman"/>
                <w:bCs/>
                <w:sz w:val="20"/>
                <w:szCs w:val="20"/>
              </w:rPr>
              <w:t>Având în vedere orientarea industrială a Regiunii Centru, precum și faptul că aproape 90% din companiile din regiune sunt IMM, creșterea competitivității acestui segment economic este esențială. N</w:t>
            </w:r>
            <w:r w:rsidRPr="00E63028">
              <w:rPr>
                <w:rFonts w:ascii="Times New Roman" w:hAnsi="Times New Roman" w:cs="Times New Roman"/>
                <w:bCs/>
                <w:sz w:val="20"/>
                <w:szCs w:val="20"/>
              </w:rPr>
              <w:t>evoile IMM țin, mai ales, de accesul la resurse pentru investiții, ele fiind într-o poziție de inferioritate față de întreprinderile mari. În special în sectorul industrial, dar nu numai, adoptarea noilor tehnologii este, pentru IMM, răspuns</w:t>
            </w:r>
            <w:r>
              <w:rPr>
                <w:rFonts w:ascii="Times New Roman" w:hAnsi="Times New Roman" w:cs="Times New Roman"/>
                <w:bCs/>
                <w:sz w:val="20"/>
                <w:szCs w:val="20"/>
              </w:rPr>
              <w:t>ul optim</w:t>
            </w:r>
            <w:r w:rsidRPr="00E63028">
              <w:rPr>
                <w:rFonts w:ascii="Times New Roman" w:hAnsi="Times New Roman" w:cs="Times New Roman"/>
                <w:bCs/>
                <w:sz w:val="20"/>
                <w:szCs w:val="20"/>
              </w:rPr>
              <w:t xml:space="preserve"> pe care îl au la tensionarea pieței muncii din Regiune (șomaj foarte scăzut) și singurul instrument cu care pot contracara absorbția forței de muncă din piață de către companiile mari, cu care nu pot concura în termeni de salarizare la aceeași intensitate a utilizării forței de muncă pe unitatea de produs. </w:t>
            </w:r>
            <w:r w:rsidRPr="00057273">
              <w:rPr>
                <w:rFonts w:ascii="Times New Roman" w:hAnsi="Times New Roman" w:cs="Times New Roman"/>
                <w:bCs/>
                <w:sz w:val="20"/>
                <w:szCs w:val="20"/>
              </w:rPr>
              <w:t>Necesitatea intervenției destinată modernizării industriale a IMM este demonstrată de interesul manifestat de microîntreprinderi și IMM-uri pentru AP 2 POR 2014-2020 în Regiune. Prin orientarea acestui interes spre cele mai noi tehnologii efectul în economia regională se va maximiza. În</w:t>
            </w:r>
            <w:r>
              <w:rPr>
                <w:rFonts w:ascii="Times New Roman" w:hAnsi="Times New Roman" w:cs="Times New Roman"/>
                <w:bCs/>
                <w:sz w:val="20"/>
                <w:szCs w:val="20"/>
              </w:rPr>
              <w:t>tr-un</w:t>
            </w:r>
            <w:r w:rsidRPr="00057273">
              <w:rPr>
                <w:rFonts w:ascii="Times New Roman" w:hAnsi="Times New Roman" w:cs="Times New Roman"/>
                <w:bCs/>
                <w:sz w:val="20"/>
                <w:szCs w:val="20"/>
              </w:rPr>
              <w:t xml:space="preserve"> raport</w:t>
            </w:r>
            <w:r>
              <w:rPr>
                <w:rFonts w:ascii="Times New Roman" w:hAnsi="Times New Roman" w:cs="Times New Roman"/>
                <w:bCs/>
                <w:sz w:val="20"/>
                <w:szCs w:val="20"/>
              </w:rPr>
              <w:t xml:space="preserve"> privind tehnicile avansate de manufacturare</w:t>
            </w:r>
            <w:r w:rsidRPr="00057273">
              <w:rPr>
                <w:rFonts w:ascii="Times New Roman" w:hAnsi="Times New Roman" w:cs="Times New Roman"/>
                <w:bCs/>
                <w:sz w:val="20"/>
                <w:szCs w:val="20"/>
              </w:rPr>
              <w:t>, un grup de lucru condus de Institutul Fraunhofer a conceput o listă a principalelor tehnol</w:t>
            </w:r>
            <w:r>
              <w:rPr>
                <w:rFonts w:ascii="Times New Roman" w:hAnsi="Times New Roman" w:cs="Times New Roman"/>
                <w:bCs/>
                <w:sz w:val="20"/>
                <w:szCs w:val="20"/>
              </w:rPr>
              <w:t xml:space="preserve">ogii: </w:t>
            </w:r>
            <w:r w:rsidRPr="00057273">
              <w:rPr>
                <w:rFonts w:ascii="Times New Roman" w:hAnsi="Times New Roman" w:cs="Times New Roman"/>
                <w:bCs/>
                <w:sz w:val="20"/>
                <w:szCs w:val="20"/>
              </w:rPr>
              <w:t xml:space="preserve">Tehnologii de Manufacturare de Înaltă Performanță, Tehnologii cu suport IT, Tehnologii de manufacturare sustenabilă. </w:t>
            </w:r>
            <w:r>
              <w:rPr>
                <w:rFonts w:ascii="Times New Roman" w:hAnsi="Times New Roman" w:cs="Times New Roman"/>
                <w:bCs/>
                <w:sz w:val="20"/>
                <w:szCs w:val="20"/>
              </w:rPr>
              <w:t>O</w:t>
            </w:r>
            <w:r w:rsidRPr="00057273">
              <w:rPr>
                <w:rFonts w:ascii="Times New Roman" w:hAnsi="Times New Roman" w:cs="Times New Roman"/>
                <w:bCs/>
                <w:sz w:val="20"/>
                <w:szCs w:val="20"/>
              </w:rPr>
              <w:t>rientarea investițiilor în modernizarea industrială nu se poate referi doar la aceste tehnologii, însă țintirea celor mai avansate echipamente și tehnologii este un obiectiv legitim, fără a exclude de la finanțare tehnologiile mature, dar care au capacitatea de a susține progresul tehnologic al utilizatorilor.</w:t>
            </w:r>
            <w:r>
              <w:rPr>
                <w:rFonts w:ascii="Times New Roman" w:hAnsi="Times New Roman" w:cs="Times New Roman"/>
                <w:bCs/>
                <w:sz w:val="20"/>
                <w:szCs w:val="20"/>
              </w:rPr>
              <w:t xml:space="preserve"> Susținerea competitivității IMM în sectoarele de excelență identificate prin RIS3 Centru, prin susținerea investițiilor, va contribui la consolidarea și avansarea poziționării în lanțurile valorice, alimentând și procesul </w:t>
            </w:r>
            <w:r>
              <w:rPr>
                <w:rFonts w:ascii="Times New Roman" w:hAnsi="Times New Roman" w:cs="Times New Roman"/>
                <w:bCs/>
                <w:sz w:val="20"/>
                <w:szCs w:val="20"/>
              </w:rPr>
              <w:lastRenderedPageBreak/>
              <w:t>de inovare în condițiile în care, conform RIS3 Centru, achiziția de tehnologie este un important driver al achiziției de cunoaștere.</w:t>
            </w:r>
          </w:p>
        </w:tc>
      </w:tr>
      <w:tr w:rsidR="00BC7338" w:rsidRPr="00F000AD" w:rsidTr="00A5682B">
        <w:tc>
          <w:tcPr>
            <w:tcW w:w="635" w:type="pct"/>
            <w:vMerge/>
            <w:tcBorders>
              <w:left w:val="single" w:sz="4" w:space="0" w:color="auto"/>
              <w:right w:val="single" w:sz="4" w:space="0" w:color="auto"/>
            </w:tcBorders>
          </w:tcPr>
          <w:p w:rsidR="00BC7338" w:rsidRPr="00C06D99" w:rsidRDefault="00BC7338" w:rsidP="00BC7338">
            <w:pPr>
              <w:spacing w:before="120" w:after="120"/>
              <w:rPr>
                <w:rFonts w:ascii="Times New Roman" w:eastAsia="Times New Roman" w:hAnsi="Times New Roman" w:cs="Times New Roman"/>
                <w:b/>
                <w:iCs/>
                <w:noProof/>
                <w:sz w:val="20"/>
                <w:szCs w:val="20"/>
                <w:lang w:val="en-US"/>
              </w:rPr>
            </w:pPr>
          </w:p>
        </w:tc>
        <w:tc>
          <w:tcPr>
            <w:tcW w:w="841" w:type="pct"/>
            <w:tcBorders>
              <w:top w:val="single" w:sz="4" w:space="0" w:color="auto"/>
              <w:left w:val="single" w:sz="4" w:space="0" w:color="auto"/>
              <w:bottom w:val="single" w:sz="4" w:space="0" w:color="auto"/>
              <w:right w:val="single" w:sz="4" w:space="0" w:color="auto"/>
            </w:tcBorders>
          </w:tcPr>
          <w:p w:rsidR="00BC7338" w:rsidRPr="00C06D99" w:rsidRDefault="00BC7338" w:rsidP="00BC7338">
            <w:pPr>
              <w:spacing w:before="120" w:after="120"/>
              <w:rPr>
                <w:rFonts w:ascii="Times New Roman" w:hAnsi="Times New Roman" w:cs="Times New Roman"/>
                <w:i/>
                <w:sz w:val="20"/>
                <w:szCs w:val="20"/>
              </w:rPr>
            </w:pPr>
            <w:r w:rsidRPr="00C06D99">
              <w:rPr>
                <w:rFonts w:ascii="Times New Roman" w:hAnsi="Times New Roman" w:cs="Times New Roman"/>
                <w:sz w:val="20"/>
                <w:szCs w:val="20"/>
              </w:rPr>
              <w:t>a (iv) Dezvoltarea competențelor pentru specializare inteligentă, tranziție industrială și antreprenoriat</w:t>
            </w:r>
          </w:p>
        </w:tc>
        <w:tc>
          <w:tcPr>
            <w:tcW w:w="3524" w:type="pct"/>
            <w:tcBorders>
              <w:top w:val="single" w:sz="4" w:space="0" w:color="auto"/>
              <w:left w:val="single" w:sz="4" w:space="0" w:color="auto"/>
              <w:bottom w:val="single" w:sz="4" w:space="0" w:color="auto"/>
              <w:right w:val="single" w:sz="4" w:space="0" w:color="auto"/>
            </w:tcBorders>
          </w:tcPr>
          <w:p w:rsidR="00BC7338" w:rsidRPr="00C06D99" w:rsidRDefault="0040330F" w:rsidP="005C75DF">
            <w:pPr>
              <w:spacing w:after="0" w:line="240" w:lineRule="auto"/>
              <w:jc w:val="both"/>
              <w:rPr>
                <w:rFonts w:ascii="Times New Roman" w:eastAsia="Times New Roman" w:hAnsi="Times New Roman" w:cs="Times New Roman"/>
                <w:iCs/>
                <w:noProof/>
                <w:sz w:val="20"/>
                <w:szCs w:val="20"/>
                <w:lang w:val="en-US"/>
              </w:rPr>
            </w:pPr>
            <w:r>
              <w:rPr>
                <w:rFonts w:ascii="Times New Roman" w:eastAsia="Calibri" w:hAnsi="Times New Roman" w:cs="Times New Roman"/>
                <w:bCs/>
                <w:sz w:val="20"/>
                <w:szCs w:val="20"/>
              </w:rPr>
              <w:t>Î</w:t>
            </w:r>
            <w:r w:rsidRPr="00C06D99">
              <w:rPr>
                <w:rFonts w:ascii="Times New Roman" w:eastAsia="Calibri" w:hAnsi="Times New Roman" w:cs="Times New Roman"/>
                <w:bCs/>
                <w:sz w:val="20"/>
                <w:szCs w:val="20"/>
              </w:rPr>
              <w:t xml:space="preserve">n conformitate cu o analiză a </w:t>
            </w:r>
            <w:r>
              <w:rPr>
                <w:rFonts w:ascii="Times New Roman" w:eastAsia="Calibri" w:hAnsi="Times New Roman" w:cs="Times New Roman"/>
                <w:bCs/>
                <w:sz w:val="20"/>
                <w:szCs w:val="20"/>
              </w:rPr>
              <w:t>WEF</w:t>
            </w:r>
            <w:r w:rsidRPr="00C06D99">
              <w:rPr>
                <w:rFonts w:ascii="Times New Roman" w:eastAsia="Calibri" w:hAnsi="Times New Roman" w:cs="Times New Roman"/>
                <w:bCs/>
                <w:sz w:val="20"/>
                <w:szCs w:val="20"/>
              </w:rPr>
              <w:t>, desfășurată în 2018, 59% din companii (cel mai mare procent) au identificat lipsa abilităților în piața locală drept principală barieră în adoptarea noilor tehnologii. De asemenea, introducerea de noi modele de inovare sau de business (</w:t>
            </w:r>
            <w:r>
              <w:rPr>
                <w:rFonts w:ascii="Times New Roman" w:eastAsia="Calibri" w:hAnsi="Times New Roman" w:cs="Times New Roman"/>
                <w:bCs/>
                <w:sz w:val="20"/>
                <w:szCs w:val="20"/>
              </w:rPr>
              <w:t xml:space="preserve">ex.: </w:t>
            </w:r>
            <w:r w:rsidRPr="00C06D99">
              <w:rPr>
                <w:rFonts w:ascii="Times New Roman" w:eastAsia="Calibri" w:hAnsi="Times New Roman" w:cs="Times New Roman"/>
                <w:bCs/>
                <w:sz w:val="20"/>
                <w:szCs w:val="20"/>
              </w:rPr>
              <w:t>inovarea deschisă, digitalizarea, robotizarea, direct manufacturing) presupun adaptări care se traduc</w:t>
            </w:r>
            <w:r>
              <w:rPr>
                <w:rFonts w:ascii="Times New Roman" w:eastAsia="Calibri" w:hAnsi="Times New Roman" w:cs="Times New Roman"/>
                <w:bCs/>
                <w:sz w:val="20"/>
                <w:szCs w:val="20"/>
              </w:rPr>
              <w:t xml:space="preserve"> </w:t>
            </w:r>
            <w:r w:rsidRPr="00C06D99">
              <w:rPr>
                <w:rFonts w:ascii="Times New Roman" w:eastAsia="Calibri" w:hAnsi="Times New Roman" w:cs="Times New Roman"/>
                <w:bCs/>
                <w:sz w:val="20"/>
                <w:szCs w:val="20"/>
              </w:rPr>
              <w:t xml:space="preserve">în achiziția de noi competențe individuale ale angajaților. </w:t>
            </w:r>
            <w:r w:rsidRPr="00C06D99">
              <w:rPr>
                <w:rFonts w:ascii="Times New Roman" w:eastAsia="Calibri" w:hAnsi="Times New Roman" w:cs="Times New Roman"/>
                <w:sz w:val="20"/>
                <w:szCs w:val="20"/>
              </w:rPr>
              <w:t>Rom</w:t>
            </w:r>
            <w:r>
              <w:rPr>
                <w:rFonts w:ascii="Times New Roman" w:eastAsia="Calibri" w:hAnsi="Times New Roman" w:cs="Times New Roman"/>
                <w:sz w:val="20"/>
                <w:szCs w:val="20"/>
              </w:rPr>
              <w:t>â</w:t>
            </w:r>
            <w:r w:rsidRPr="00C06D99">
              <w:rPr>
                <w:rFonts w:ascii="Times New Roman" w:eastAsia="Calibri" w:hAnsi="Times New Roman" w:cs="Times New Roman"/>
                <w:sz w:val="20"/>
                <w:szCs w:val="20"/>
              </w:rPr>
              <w:t>nia  are a doua cea mai mic</w:t>
            </w:r>
            <w:r>
              <w:rPr>
                <w:rFonts w:ascii="Times New Roman" w:eastAsia="Calibri" w:hAnsi="Times New Roman" w:cs="Times New Roman"/>
                <w:sz w:val="20"/>
                <w:szCs w:val="20"/>
              </w:rPr>
              <w:t>ă</w:t>
            </w:r>
            <w:r w:rsidRPr="00C06D99">
              <w:rPr>
                <w:rFonts w:ascii="Times New Roman" w:eastAsia="Calibri" w:hAnsi="Times New Roman" w:cs="Times New Roman"/>
                <w:sz w:val="20"/>
                <w:szCs w:val="20"/>
              </w:rPr>
              <w:t xml:space="preserve"> rat</w:t>
            </w:r>
            <w:r>
              <w:rPr>
                <w:rFonts w:ascii="Times New Roman" w:eastAsia="Calibri" w:hAnsi="Times New Roman" w:cs="Times New Roman"/>
                <w:sz w:val="20"/>
                <w:szCs w:val="20"/>
              </w:rPr>
              <w:t>ă</w:t>
            </w:r>
            <w:r w:rsidRPr="00C06D99">
              <w:rPr>
                <w:rFonts w:ascii="Times New Roman" w:eastAsia="Calibri" w:hAnsi="Times New Roman" w:cs="Times New Roman"/>
                <w:sz w:val="20"/>
                <w:szCs w:val="20"/>
              </w:rPr>
              <w:t xml:space="preserve"> de participare a adulților la educația formal</w:t>
            </w:r>
            <w:r>
              <w:rPr>
                <w:rFonts w:ascii="Times New Roman" w:eastAsia="Calibri" w:hAnsi="Times New Roman" w:cs="Times New Roman"/>
                <w:sz w:val="20"/>
                <w:szCs w:val="20"/>
              </w:rPr>
              <w:t>ă</w:t>
            </w:r>
            <w:r w:rsidRPr="00C06D99">
              <w:rPr>
                <w:rFonts w:ascii="Times New Roman" w:eastAsia="Calibri" w:hAnsi="Times New Roman" w:cs="Times New Roman"/>
                <w:sz w:val="20"/>
                <w:szCs w:val="20"/>
              </w:rPr>
              <w:t xml:space="preserve"> (1</w:t>
            </w:r>
            <w:r>
              <w:rPr>
                <w:rFonts w:ascii="Times New Roman" w:eastAsia="Calibri" w:hAnsi="Times New Roman" w:cs="Times New Roman"/>
                <w:sz w:val="20"/>
                <w:szCs w:val="20"/>
              </w:rPr>
              <w:t>,</w:t>
            </w:r>
            <w:r w:rsidRPr="00C06D99">
              <w:rPr>
                <w:rFonts w:ascii="Times New Roman" w:eastAsia="Calibri" w:hAnsi="Times New Roman" w:cs="Times New Roman"/>
                <w:sz w:val="20"/>
                <w:szCs w:val="20"/>
              </w:rPr>
              <w:t>7%) fa</w:t>
            </w:r>
            <w:r>
              <w:rPr>
                <w:rFonts w:ascii="Times New Roman" w:eastAsia="Calibri" w:hAnsi="Times New Roman" w:cs="Times New Roman"/>
                <w:sz w:val="20"/>
                <w:szCs w:val="20"/>
              </w:rPr>
              <w:t>ță</w:t>
            </w:r>
            <w:r w:rsidRPr="00C06D99">
              <w:rPr>
                <w:rFonts w:ascii="Times New Roman" w:eastAsia="Calibri" w:hAnsi="Times New Roman" w:cs="Times New Roman"/>
                <w:sz w:val="20"/>
                <w:szCs w:val="20"/>
              </w:rPr>
              <w:t xml:space="preserve"> de o medie la nivel de UE de 5</w:t>
            </w:r>
            <w:r>
              <w:rPr>
                <w:rFonts w:ascii="Times New Roman" w:eastAsia="Calibri" w:hAnsi="Times New Roman" w:cs="Times New Roman"/>
                <w:sz w:val="20"/>
                <w:szCs w:val="20"/>
              </w:rPr>
              <w:t>,8%</w:t>
            </w:r>
            <w:r w:rsidRPr="00C06D99">
              <w:rPr>
                <w:rFonts w:ascii="Times New Roman" w:eastAsia="Calibri" w:hAnsi="Times New Roman" w:cs="Times New Roman"/>
                <w:sz w:val="20"/>
                <w:szCs w:val="20"/>
              </w:rPr>
              <w:t xml:space="preserve">. </w:t>
            </w:r>
            <w:r>
              <w:rPr>
                <w:rFonts w:ascii="Times New Roman" w:eastAsia="Calibri" w:hAnsi="Times New Roman" w:cs="Times New Roman"/>
                <w:sz w:val="20"/>
                <w:szCs w:val="20"/>
              </w:rPr>
              <w:t>Î</w:t>
            </w:r>
            <w:r w:rsidRPr="00C06D99">
              <w:rPr>
                <w:rFonts w:ascii="Times New Roman" w:eastAsia="Calibri" w:hAnsi="Times New Roman" w:cs="Times New Roman"/>
                <w:sz w:val="20"/>
                <w:szCs w:val="20"/>
              </w:rPr>
              <w:t xml:space="preserve">n </w:t>
            </w:r>
            <w:r>
              <w:rPr>
                <w:rFonts w:ascii="Times New Roman" w:eastAsia="Calibri" w:hAnsi="Times New Roman" w:cs="Times New Roman"/>
                <w:sz w:val="20"/>
                <w:szCs w:val="20"/>
              </w:rPr>
              <w:t>cazul</w:t>
            </w:r>
            <w:r w:rsidRPr="00C06D99">
              <w:rPr>
                <w:rFonts w:ascii="Times New Roman" w:eastAsia="Calibri" w:hAnsi="Times New Roman" w:cs="Times New Roman"/>
                <w:sz w:val="20"/>
                <w:szCs w:val="20"/>
              </w:rPr>
              <w:t xml:space="preserve"> educați</w:t>
            </w:r>
            <w:r>
              <w:rPr>
                <w:rFonts w:ascii="Times New Roman" w:eastAsia="Calibri" w:hAnsi="Times New Roman" w:cs="Times New Roman"/>
                <w:sz w:val="20"/>
                <w:szCs w:val="20"/>
              </w:rPr>
              <w:t>ei</w:t>
            </w:r>
            <w:r w:rsidRPr="00C06D99">
              <w:rPr>
                <w:rFonts w:ascii="Times New Roman" w:eastAsia="Calibri" w:hAnsi="Times New Roman" w:cs="Times New Roman"/>
                <w:sz w:val="20"/>
                <w:szCs w:val="20"/>
              </w:rPr>
              <w:t xml:space="preserve"> non</w:t>
            </w:r>
            <w:r>
              <w:rPr>
                <w:rFonts w:ascii="Times New Roman" w:eastAsia="Calibri" w:hAnsi="Times New Roman" w:cs="Times New Roman"/>
                <w:sz w:val="20"/>
                <w:szCs w:val="20"/>
              </w:rPr>
              <w:t>-</w:t>
            </w:r>
            <w:r w:rsidRPr="00C06D99">
              <w:rPr>
                <w:rFonts w:ascii="Times New Roman" w:eastAsia="Calibri" w:hAnsi="Times New Roman" w:cs="Times New Roman"/>
                <w:sz w:val="20"/>
                <w:szCs w:val="20"/>
              </w:rPr>
              <w:t>formal</w:t>
            </w:r>
            <w:r>
              <w:rPr>
                <w:rFonts w:ascii="Times New Roman" w:eastAsia="Calibri" w:hAnsi="Times New Roman" w:cs="Times New Roman"/>
                <w:sz w:val="20"/>
                <w:szCs w:val="20"/>
              </w:rPr>
              <w:t>e</w:t>
            </w:r>
            <w:r w:rsidRPr="00C06D99">
              <w:rPr>
                <w:rFonts w:ascii="Times New Roman" w:eastAsia="Calibri" w:hAnsi="Times New Roman" w:cs="Times New Roman"/>
                <w:sz w:val="20"/>
                <w:szCs w:val="20"/>
              </w:rPr>
              <w:t xml:space="preserve">, </w:t>
            </w:r>
            <w:r>
              <w:rPr>
                <w:rFonts w:ascii="Times New Roman" w:eastAsia="Calibri" w:hAnsi="Times New Roman" w:cs="Times New Roman"/>
                <w:sz w:val="20"/>
                <w:szCs w:val="20"/>
              </w:rPr>
              <w:t>î</w:t>
            </w:r>
            <w:r w:rsidRPr="00C06D99">
              <w:rPr>
                <w:rFonts w:ascii="Times New Roman" w:eastAsia="Calibri" w:hAnsi="Times New Roman" w:cs="Times New Roman"/>
                <w:sz w:val="20"/>
                <w:szCs w:val="20"/>
              </w:rPr>
              <w:t>n Rom</w:t>
            </w:r>
            <w:r>
              <w:rPr>
                <w:rFonts w:ascii="Times New Roman" w:eastAsia="Calibri" w:hAnsi="Times New Roman" w:cs="Times New Roman"/>
                <w:sz w:val="20"/>
                <w:szCs w:val="20"/>
              </w:rPr>
              <w:t>â</w:t>
            </w:r>
            <w:r w:rsidRPr="00C06D99">
              <w:rPr>
                <w:rFonts w:ascii="Times New Roman" w:eastAsia="Calibri" w:hAnsi="Times New Roman" w:cs="Times New Roman"/>
                <w:sz w:val="20"/>
                <w:szCs w:val="20"/>
              </w:rPr>
              <w:t xml:space="preserve">nia rata de participare a adulților este de 5,6%, </w:t>
            </w:r>
            <w:r>
              <w:rPr>
                <w:rFonts w:ascii="Times New Roman" w:eastAsia="Calibri" w:hAnsi="Times New Roman" w:cs="Times New Roman"/>
                <w:sz w:val="20"/>
                <w:szCs w:val="20"/>
              </w:rPr>
              <w:t xml:space="preserve">fiind cea mai mică valoare. </w:t>
            </w:r>
            <w:r w:rsidRPr="00C06D99">
              <w:rPr>
                <w:rFonts w:ascii="Times New Roman" w:eastAsia="Calibri" w:hAnsi="Times New Roman" w:cs="Times New Roman"/>
                <w:sz w:val="20"/>
                <w:szCs w:val="20"/>
              </w:rPr>
              <w:t xml:space="preserve">Cele mai mari rate de participare sunt </w:t>
            </w:r>
            <w:r>
              <w:rPr>
                <w:rFonts w:ascii="Times New Roman" w:eastAsia="Calibri" w:hAnsi="Times New Roman" w:cs="Times New Roman"/>
                <w:sz w:val="20"/>
                <w:szCs w:val="20"/>
              </w:rPr>
              <w:t>î</w:t>
            </w:r>
            <w:r w:rsidRPr="00C06D99">
              <w:rPr>
                <w:rFonts w:ascii="Times New Roman" w:eastAsia="Calibri" w:hAnsi="Times New Roman" w:cs="Times New Roman"/>
                <w:sz w:val="20"/>
                <w:szCs w:val="20"/>
              </w:rPr>
              <w:t>n Olanda (61</w:t>
            </w:r>
            <w:r>
              <w:rPr>
                <w:rFonts w:ascii="Times New Roman" w:eastAsia="Calibri" w:hAnsi="Times New Roman" w:cs="Times New Roman"/>
                <w:sz w:val="20"/>
                <w:szCs w:val="20"/>
              </w:rPr>
              <w:t>,</w:t>
            </w:r>
            <w:r w:rsidRPr="00C06D99">
              <w:rPr>
                <w:rFonts w:ascii="Times New Roman" w:eastAsia="Calibri" w:hAnsi="Times New Roman" w:cs="Times New Roman"/>
                <w:sz w:val="20"/>
                <w:szCs w:val="20"/>
              </w:rPr>
              <w:t xml:space="preserve">5%), Austria (58,4%) </w:t>
            </w:r>
            <w:r>
              <w:rPr>
                <w:rFonts w:ascii="Times New Roman" w:eastAsia="Calibri" w:hAnsi="Times New Roman" w:cs="Times New Roman"/>
                <w:sz w:val="20"/>
                <w:szCs w:val="20"/>
              </w:rPr>
              <w:t>ș</w:t>
            </w:r>
            <w:r w:rsidRPr="00C06D99">
              <w:rPr>
                <w:rFonts w:ascii="Times New Roman" w:eastAsia="Calibri" w:hAnsi="Times New Roman" w:cs="Times New Roman"/>
                <w:sz w:val="20"/>
                <w:szCs w:val="20"/>
              </w:rPr>
              <w:t xml:space="preserve">i Suedia (56,5%). </w:t>
            </w:r>
            <w:r>
              <w:rPr>
                <w:rFonts w:ascii="Times New Roman" w:eastAsia="Calibri" w:hAnsi="Times New Roman" w:cs="Times New Roman"/>
                <w:sz w:val="20"/>
                <w:szCs w:val="20"/>
              </w:rPr>
              <w:t>Î</w:t>
            </w:r>
            <w:r w:rsidRPr="00C06D99">
              <w:rPr>
                <w:rFonts w:ascii="Times New Roman" w:eastAsia="Calibri" w:hAnsi="Times New Roman" w:cs="Times New Roman"/>
                <w:sz w:val="20"/>
                <w:szCs w:val="20"/>
              </w:rPr>
              <w:t>n cazul României, tendința este acum de scădere puțin mai accelerat</w:t>
            </w:r>
            <w:r>
              <w:rPr>
                <w:rFonts w:ascii="Times New Roman" w:eastAsia="Calibri" w:hAnsi="Times New Roman" w:cs="Times New Roman"/>
                <w:sz w:val="20"/>
                <w:szCs w:val="20"/>
              </w:rPr>
              <w:t>ă</w:t>
            </w:r>
            <w:r w:rsidRPr="00C06D99">
              <w:rPr>
                <w:rFonts w:ascii="Times New Roman" w:eastAsia="Calibri" w:hAnsi="Times New Roman" w:cs="Times New Roman"/>
                <w:sz w:val="20"/>
                <w:szCs w:val="20"/>
              </w:rPr>
              <w:t xml:space="preserve"> (1 pp </w:t>
            </w:r>
            <w:r>
              <w:rPr>
                <w:rFonts w:ascii="Times New Roman" w:eastAsia="Calibri" w:hAnsi="Times New Roman" w:cs="Times New Roman"/>
                <w:sz w:val="20"/>
                <w:szCs w:val="20"/>
              </w:rPr>
              <w:t xml:space="preserve">în perioada 2011-2016),  divergentă faţă de media UE. </w:t>
            </w:r>
            <w:r w:rsidRPr="00C06D99">
              <w:rPr>
                <w:rFonts w:ascii="Times New Roman" w:eastAsia="Calibri" w:hAnsi="Times New Roman" w:cs="Times New Roman"/>
                <w:sz w:val="20"/>
                <w:szCs w:val="20"/>
              </w:rPr>
              <w:t>Cea mai dramatic</w:t>
            </w:r>
            <w:r>
              <w:rPr>
                <w:rFonts w:ascii="Times New Roman" w:eastAsia="Calibri" w:hAnsi="Times New Roman" w:cs="Times New Roman"/>
                <w:sz w:val="20"/>
                <w:szCs w:val="20"/>
              </w:rPr>
              <w:t>ă scădere</w:t>
            </w:r>
            <w:r w:rsidRPr="00C06D99">
              <w:rPr>
                <w:rFonts w:ascii="Times New Roman" w:eastAsia="Calibri" w:hAnsi="Times New Roman" w:cs="Times New Roman"/>
                <w:sz w:val="20"/>
                <w:szCs w:val="20"/>
              </w:rPr>
              <w:t xml:space="preserve"> este înregistrată de rata de participare a adulților la învățământul formal (de la 3,3% p</w:t>
            </w:r>
            <w:r>
              <w:rPr>
                <w:rFonts w:ascii="Times New Roman" w:eastAsia="Calibri" w:hAnsi="Times New Roman" w:cs="Times New Roman"/>
                <w:sz w:val="20"/>
                <w:szCs w:val="20"/>
              </w:rPr>
              <w:t>â</w:t>
            </w:r>
            <w:r w:rsidRPr="00C06D99">
              <w:rPr>
                <w:rFonts w:ascii="Times New Roman" w:eastAsia="Calibri" w:hAnsi="Times New Roman" w:cs="Times New Roman"/>
                <w:sz w:val="20"/>
                <w:szCs w:val="20"/>
              </w:rPr>
              <w:t>n</w:t>
            </w:r>
            <w:r>
              <w:rPr>
                <w:rFonts w:ascii="Times New Roman" w:eastAsia="Calibri" w:hAnsi="Times New Roman" w:cs="Times New Roman"/>
                <w:sz w:val="20"/>
                <w:szCs w:val="20"/>
              </w:rPr>
              <w:t>ă</w:t>
            </w:r>
            <w:r w:rsidRPr="00C06D99">
              <w:rPr>
                <w:rFonts w:ascii="Times New Roman" w:eastAsia="Calibri" w:hAnsi="Times New Roman" w:cs="Times New Roman"/>
                <w:sz w:val="20"/>
                <w:szCs w:val="20"/>
              </w:rPr>
              <w:t xml:space="preserve"> la 1,7%) </w:t>
            </w:r>
            <w:r>
              <w:rPr>
                <w:rFonts w:ascii="Times New Roman" w:eastAsia="Calibri" w:hAnsi="Times New Roman" w:cs="Times New Roman"/>
                <w:sz w:val="20"/>
                <w:szCs w:val="20"/>
              </w:rPr>
              <w:t>î</w:t>
            </w:r>
            <w:r w:rsidRPr="00C06D99">
              <w:rPr>
                <w:rFonts w:ascii="Times New Roman" w:eastAsia="Calibri" w:hAnsi="Times New Roman" w:cs="Times New Roman"/>
                <w:sz w:val="20"/>
                <w:szCs w:val="20"/>
              </w:rPr>
              <w:t xml:space="preserve">n timp ce rata de participarea la învățământul non-formal a crescut de la 4,7% </w:t>
            </w:r>
            <w:r>
              <w:rPr>
                <w:rFonts w:ascii="Times New Roman" w:eastAsia="Calibri" w:hAnsi="Times New Roman" w:cs="Times New Roman"/>
                <w:sz w:val="20"/>
                <w:szCs w:val="20"/>
              </w:rPr>
              <w:t>î</w:t>
            </w:r>
            <w:r w:rsidRPr="00C06D99">
              <w:rPr>
                <w:rFonts w:ascii="Times New Roman" w:eastAsia="Calibri" w:hAnsi="Times New Roman" w:cs="Times New Roman"/>
                <w:sz w:val="20"/>
                <w:szCs w:val="20"/>
              </w:rPr>
              <w:t xml:space="preserve">n 2007 la 5,6% </w:t>
            </w:r>
            <w:r>
              <w:rPr>
                <w:rFonts w:ascii="Times New Roman" w:eastAsia="Calibri" w:hAnsi="Times New Roman" w:cs="Times New Roman"/>
                <w:sz w:val="20"/>
                <w:szCs w:val="20"/>
              </w:rPr>
              <w:t>în 2016</w:t>
            </w:r>
            <w:r w:rsidRPr="00C06D99">
              <w:rPr>
                <w:rFonts w:ascii="Times New Roman" w:eastAsia="Calibri" w:hAnsi="Times New Roman" w:cs="Times New Roman"/>
                <w:sz w:val="20"/>
                <w:szCs w:val="20"/>
              </w:rPr>
              <w:t xml:space="preserve">. Aceste realități, care se exprimă egal și la nivel regional, demonstrează necesitatea susținerii IMM, organizații de CDI, alte organizații implicate, de a dubla achiziția de competențe prin recrutare cu achiziția de competențe prin învățare. </w:t>
            </w:r>
            <w:r w:rsidRPr="00C06D99">
              <w:rPr>
                <w:rFonts w:ascii="Times New Roman" w:eastAsia="Calibri" w:hAnsi="Times New Roman" w:cs="Times New Roman"/>
                <w:bCs/>
                <w:sz w:val="20"/>
                <w:szCs w:val="20"/>
              </w:rPr>
              <w:t>Se vizează astfel dezvoltarea unor competențe profesionale adecvate cerințelor mediului de afaceri în contextul unei economii bazate pe cunoaștere, cuplarea centrelor educaționale și vocaționale la ecosistemul național și regional de inovare și la sistemul de reskilling</w:t>
            </w:r>
            <w:r>
              <w:rPr>
                <w:rFonts w:ascii="Times New Roman" w:eastAsia="Calibri" w:hAnsi="Times New Roman" w:cs="Times New Roman"/>
                <w:bCs/>
                <w:sz w:val="20"/>
                <w:szCs w:val="20"/>
              </w:rPr>
              <w:t xml:space="preserve">, inclusiv </w:t>
            </w:r>
            <w:r w:rsidRPr="00C06D99">
              <w:rPr>
                <w:rFonts w:ascii="Times New Roman" w:eastAsia="Calibri" w:hAnsi="Times New Roman" w:cs="Times New Roman"/>
                <w:bCs/>
                <w:sz w:val="20"/>
                <w:szCs w:val="20"/>
              </w:rPr>
              <w:t>corela</w:t>
            </w:r>
            <w:r>
              <w:rPr>
                <w:rFonts w:ascii="Times New Roman" w:eastAsia="Calibri" w:hAnsi="Times New Roman" w:cs="Times New Roman"/>
                <w:bCs/>
                <w:sz w:val="20"/>
                <w:szCs w:val="20"/>
              </w:rPr>
              <w:t xml:space="preserve">rea cu </w:t>
            </w:r>
            <w:r w:rsidRPr="00C06D99">
              <w:rPr>
                <w:rFonts w:ascii="Times New Roman" w:eastAsia="Calibri" w:hAnsi="Times New Roman" w:cs="Times New Roman"/>
                <w:bCs/>
                <w:sz w:val="20"/>
                <w:szCs w:val="20"/>
              </w:rPr>
              <w:t>susținerea inovării și</w:t>
            </w:r>
            <w:r>
              <w:rPr>
                <w:rFonts w:ascii="Times New Roman" w:eastAsia="Calibri" w:hAnsi="Times New Roman" w:cs="Times New Roman"/>
                <w:bCs/>
                <w:sz w:val="20"/>
                <w:szCs w:val="20"/>
              </w:rPr>
              <w:t xml:space="preserve"> </w:t>
            </w:r>
            <w:r w:rsidRPr="00C06D99">
              <w:rPr>
                <w:rFonts w:ascii="Times New Roman" w:eastAsia="Calibri" w:hAnsi="Times New Roman" w:cs="Times New Roman"/>
                <w:bCs/>
                <w:sz w:val="20"/>
                <w:szCs w:val="20"/>
              </w:rPr>
              <w:t>adaptare</w:t>
            </w:r>
            <w:r>
              <w:rPr>
                <w:rFonts w:ascii="Times New Roman" w:eastAsia="Calibri" w:hAnsi="Times New Roman" w:cs="Times New Roman"/>
                <w:bCs/>
                <w:sz w:val="20"/>
                <w:szCs w:val="20"/>
              </w:rPr>
              <w:t>a</w:t>
            </w:r>
            <w:r w:rsidRPr="00C06D99">
              <w:rPr>
                <w:rFonts w:ascii="Times New Roman" w:eastAsia="Calibri" w:hAnsi="Times New Roman" w:cs="Times New Roman"/>
                <w:bCs/>
                <w:sz w:val="20"/>
                <w:szCs w:val="20"/>
              </w:rPr>
              <w:t xml:space="preserve"> la noile paradigme tehnologice.</w:t>
            </w:r>
            <w:r>
              <w:rPr>
                <w:rFonts w:ascii="Times New Roman" w:eastAsia="Calibri" w:hAnsi="Times New Roman" w:cs="Times New Roman"/>
                <w:bCs/>
                <w:sz w:val="20"/>
                <w:szCs w:val="20"/>
              </w:rPr>
              <w:t xml:space="preserve"> Acest tip de intervenții sunt prevăzute în RIS3 Centru complementar cu susținerea inovării, achiziției de tehnologie și digitalizării, pentru a valorifica la maxim oportunitățile de creștere intensivă și de transformare a economiei regionale.</w:t>
            </w:r>
          </w:p>
        </w:tc>
      </w:tr>
      <w:tr w:rsidR="00BC7338" w:rsidRPr="00F000AD" w:rsidTr="00A5682B">
        <w:tc>
          <w:tcPr>
            <w:tcW w:w="635" w:type="pct"/>
            <w:vMerge w:val="restart"/>
            <w:tcBorders>
              <w:top w:val="single" w:sz="4" w:space="0" w:color="auto"/>
              <w:left w:val="single" w:sz="4" w:space="0" w:color="auto"/>
              <w:right w:val="single" w:sz="4" w:space="0" w:color="auto"/>
            </w:tcBorders>
          </w:tcPr>
          <w:p w:rsidR="00BC7338" w:rsidRPr="00C06D99" w:rsidRDefault="00BC7338" w:rsidP="00BC7338">
            <w:pPr>
              <w:pStyle w:val="Listparagraf"/>
              <w:numPr>
                <w:ilvl w:val="0"/>
                <w:numId w:val="58"/>
              </w:numPr>
              <w:ind w:left="162" w:hanging="214"/>
              <w:rPr>
                <w:rFonts w:eastAsia="Times New Roman"/>
                <w:b/>
                <w:iCs/>
                <w:noProof/>
                <w:sz w:val="20"/>
                <w:szCs w:val="20"/>
                <w:lang w:val="en-US"/>
              </w:rPr>
            </w:pPr>
            <w:r w:rsidRPr="0000318B">
              <w:rPr>
                <w:rFonts w:eastAsia="Times New Roman"/>
                <w:b/>
                <w:iCs/>
                <w:noProof/>
                <w:sz w:val="20"/>
                <w:szCs w:val="20"/>
                <w:lang w:val="en-US"/>
              </w:rPr>
              <w:t>O Europa mai verde</w:t>
            </w:r>
          </w:p>
        </w:tc>
        <w:tc>
          <w:tcPr>
            <w:tcW w:w="841" w:type="pct"/>
            <w:tcBorders>
              <w:top w:val="single" w:sz="4" w:space="0" w:color="auto"/>
              <w:left w:val="single" w:sz="4" w:space="0" w:color="auto"/>
              <w:bottom w:val="single" w:sz="4" w:space="0" w:color="auto"/>
              <w:right w:val="single" w:sz="4" w:space="0" w:color="auto"/>
            </w:tcBorders>
          </w:tcPr>
          <w:p w:rsidR="00BC7338" w:rsidRPr="00C06D99" w:rsidRDefault="00BC7338" w:rsidP="00BC7338">
            <w:pPr>
              <w:spacing w:before="120" w:after="120"/>
              <w:rPr>
                <w:rFonts w:ascii="Times New Roman" w:hAnsi="Times New Roman" w:cs="Times New Roman"/>
                <w:i/>
                <w:color w:val="E36C0A" w:themeColor="accent6" w:themeShade="BF"/>
                <w:sz w:val="20"/>
                <w:szCs w:val="20"/>
              </w:rPr>
            </w:pPr>
            <w:r w:rsidRPr="0000318B">
              <w:rPr>
                <w:rFonts w:ascii="Times New Roman" w:hAnsi="Times New Roman" w:cs="Times New Roman"/>
                <w:sz w:val="20"/>
                <w:szCs w:val="20"/>
              </w:rPr>
              <w:t>b (i) Promovarea eficienței energetice și reducerea emisiilor de gaze cu efect de seră</w:t>
            </w:r>
          </w:p>
        </w:tc>
        <w:tc>
          <w:tcPr>
            <w:tcW w:w="3524" w:type="pct"/>
            <w:tcBorders>
              <w:top w:val="single" w:sz="4" w:space="0" w:color="auto"/>
              <w:left w:val="single" w:sz="4" w:space="0" w:color="auto"/>
              <w:bottom w:val="single" w:sz="4" w:space="0" w:color="auto"/>
              <w:right w:val="single" w:sz="4" w:space="0" w:color="auto"/>
            </w:tcBorders>
          </w:tcPr>
          <w:p w:rsidR="00BC7338" w:rsidRPr="000A0CC7" w:rsidRDefault="00BC7338">
            <w:pPr>
              <w:spacing w:after="0" w:line="240" w:lineRule="auto"/>
              <w:jc w:val="both"/>
              <w:rPr>
                <w:rFonts w:ascii="Times New Roman" w:eastAsia="Times New Roman" w:hAnsi="Times New Roman" w:cs="Times New Roman"/>
                <w:b/>
                <w:iCs/>
                <w:noProof/>
                <w:sz w:val="20"/>
                <w:szCs w:val="20"/>
              </w:rPr>
            </w:pPr>
            <w:r w:rsidRPr="000A0CC7">
              <w:rPr>
                <w:rFonts w:ascii="Times New Roman" w:hAnsi="Times New Roman" w:cs="Times New Roman"/>
                <w:noProof/>
                <w:sz w:val="20"/>
                <w:szCs w:val="20"/>
              </w:rPr>
              <w:t xml:space="preserve">Tabloul regional </w:t>
            </w:r>
            <w:r w:rsidRPr="000A0CC7">
              <w:rPr>
                <w:rFonts w:ascii="Times New Roman" w:hAnsi="Times New Roman" w:cs="Times New Roman"/>
                <w:sz w:val="20"/>
                <w:szCs w:val="20"/>
              </w:rPr>
              <w:t>arată că pentru a aborda în mod eficient performanța energetică a clădirilor, a sistemelor de iluminat public și încălzire, sunt necesare de investiții și sprijin suplimentar. Statisticile arată că, d</w:t>
            </w:r>
            <w:r w:rsidRPr="000A0CC7">
              <w:rPr>
                <w:rFonts w:ascii="Times New Roman" w:eastAsia="Times New Roman" w:hAnsi="Times New Roman" w:cs="Times New Roman"/>
                <w:iCs/>
                <w:noProof/>
                <w:sz w:val="20"/>
                <w:szCs w:val="20"/>
              </w:rPr>
              <w:t>eși în ultimii ani la nivel regional s-au înregistrat progrese pentru reabilitarea energetică a clădirilor, consumul final de energie a scăzut foarte puțin, în timp ce necesitățile și posibilitatea de economisire sunt foarte mari. Nevoia de a asigura măsuri pentru creșterea EE și reducerea emisiilor de GES este dată și de performanța scăzută a fondului construit</w:t>
            </w:r>
            <w:r w:rsidRPr="000A0CC7">
              <w:rPr>
                <w:rStyle w:val="Referinnotdesubsol"/>
                <w:rFonts w:ascii="Times New Roman" w:eastAsia="Times New Roman" w:hAnsi="Times New Roman" w:cs="Times New Roman"/>
                <w:iCs/>
                <w:noProof/>
                <w:sz w:val="20"/>
                <w:szCs w:val="20"/>
              </w:rPr>
              <w:footnoteReference w:id="13"/>
            </w:r>
            <w:r w:rsidRPr="000A0CC7">
              <w:rPr>
                <w:rFonts w:ascii="Times New Roman" w:eastAsia="Times New Roman" w:hAnsi="Times New Roman" w:cs="Times New Roman"/>
                <w:iCs/>
                <w:noProof/>
                <w:sz w:val="20"/>
                <w:szCs w:val="20"/>
              </w:rPr>
              <w:t xml:space="preserve">. </w:t>
            </w:r>
            <w:r w:rsidRPr="000A0CC7">
              <w:rPr>
                <w:rFonts w:ascii="Times New Roman" w:hAnsi="Times New Roman" w:cs="Times New Roman"/>
                <w:sz w:val="20"/>
                <w:szCs w:val="20"/>
              </w:rPr>
              <w:t>Totodată, g</w:t>
            </w:r>
            <w:r w:rsidRPr="000A0CC7">
              <w:rPr>
                <w:rFonts w:ascii="Times New Roman" w:hAnsi="Times New Roman" w:cs="Times New Roman"/>
                <w:bCs/>
                <w:sz w:val="20"/>
                <w:szCs w:val="20"/>
              </w:rPr>
              <w:t>radul de acoperire a municipalităților cu servicii eficiente de iluminat este relativ scăzut, iar extinderea, modernizarea și eficientizarea infrastructurii de iluminat rămâne o prioritate pentru multe comunități locale urbane ce are beneficii sociale, economice și de mediu</w:t>
            </w:r>
          </w:p>
        </w:tc>
      </w:tr>
      <w:tr w:rsidR="00BC7338" w:rsidRPr="00F000AD" w:rsidTr="00A5682B">
        <w:tc>
          <w:tcPr>
            <w:tcW w:w="635" w:type="pct"/>
            <w:vMerge/>
            <w:tcBorders>
              <w:left w:val="single" w:sz="4" w:space="0" w:color="auto"/>
              <w:right w:val="single" w:sz="4" w:space="0" w:color="auto"/>
            </w:tcBorders>
          </w:tcPr>
          <w:p w:rsidR="00BC7338" w:rsidRPr="00F000AD" w:rsidRDefault="00BC7338" w:rsidP="00BC7338">
            <w:pPr>
              <w:spacing w:before="120" w:after="120"/>
              <w:rPr>
                <w:rFonts w:ascii="Times New Roman" w:eastAsia="Times New Roman" w:hAnsi="Times New Roman" w:cs="Times New Roman"/>
                <w:b/>
                <w:iCs/>
                <w:noProof/>
                <w:sz w:val="20"/>
                <w:lang w:val="en-US"/>
              </w:rPr>
            </w:pPr>
          </w:p>
        </w:tc>
        <w:tc>
          <w:tcPr>
            <w:tcW w:w="841" w:type="pct"/>
            <w:tcBorders>
              <w:top w:val="single" w:sz="4" w:space="0" w:color="auto"/>
              <w:left w:val="single" w:sz="4" w:space="0" w:color="auto"/>
              <w:bottom w:val="single" w:sz="4" w:space="0" w:color="auto"/>
              <w:right w:val="single" w:sz="4" w:space="0" w:color="auto"/>
            </w:tcBorders>
          </w:tcPr>
          <w:p w:rsidR="00BC7338" w:rsidRPr="00C06D99" w:rsidRDefault="00BC7338" w:rsidP="00BC7338">
            <w:pPr>
              <w:spacing w:after="0" w:line="240" w:lineRule="auto"/>
              <w:rPr>
                <w:rFonts w:ascii="Times New Roman" w:hAnsi="Times New Roman" w:cs="Times New Roman"/>
                <w:i/>
                <w:color w:val="E36C0A" w:themeColor="accent6" w:themeShade="BF"/>
                <w:sz w:val="20"/>
                <w:szCs w:val="20"/>
              </w:rPr>
            </w:pPr>
            <w:r w:rsidRPr="0000318B">
              <w:rPr>
                <w:rFonts w:ascii="Times New Roman" w:hAnsi="Times New Roman" w:cs="Times New Roman"/>
                <w:sz w:val="20"/>
                <w:szCs w:val="20"/>
              </w:rPr>
              <w:t>b (vii) Îmbunătățirea protecției naturii și a biodiversității, a infrastructurii verzi în special în mediul urban și reducerea poluării</w:t>
            </w:r>
          </w:p>
        </w:tc>
        <w:tc>
          <w:tcPr>
            <w:tcW w:w="3524" w:type="pct"/>
            <w:tcBorders>
              <w:top w:val="single" w:sz="4" w:space="0" w:color="auto"/>
              <w:left w:val="single" w:sz="4" w:space="0" w:color="auto"/>
              <w:bottom w:val="single" w:sz="4" w:space="0" w:color="auto"/>
              <w:right w:val="single" w:sz="4" w:space="0" w:color="auto"/>
            </w:tcBorders>
          </w:tcPr>
          <w:p w:rsidR="00BB5594" w:rsidRDefault="00574E86" w:rsidP="00BB5594">
            <w:pPr>
              <w:spacing w:after="0" w:line="240" w:lineRule="auto"/>
              <w:jc w:val="both"/>
              <w:rPr>
                <w:rFonts w:ascii="Times New Roman" w:hAnsi="Times New Roman" w:cs="Times New Roman"/>
                <w:bCs/>
                <w:sz w:val="20"/>
                <w:szCs w:val="20"/>
              </w:rPr>
            </w:pPr>
            <w:r w:rsidRPr="0000318B">
              <w:rPr>
                <w:rFonts w:ascii="Times New Roman" w:hAnsi="Times New Roman" w:cs="Times New Roman"/>
                <w:sz w:val="20"/>
                <w:szCs w:val="20"/>
                <w:lang w:val="en-GB"/>
              </w:rPr>
              <w:t xml:space="preserve">Prioritățile regionale în materie de dezvoltare teritorială sustenabilă, îmbunătățirea protecției naturii și a biodiversității, dezvoltarea infrastructurii verzi și atenuarea efectelor schimbărilor climatice sunt identificate prin </w:t>
            </w:r>
            <w:r w:rsidR="004A09AF">
              <w:rPr>
                <w:rFonts w:ascii="Times New Roman" w:hAnsi="Times New Roman" w:cs="Times New Roman"/>
                <w:sz w:val="20"/>
                <w:szCs w:val="20"/>
                <w:lang w:val="en-GB"/>
              </w:rPr>
              <w:t>PDR</w:t>
            </w:r>
            <w:r w:rsidRPr="0000318B">
              <w:rPr>
                <w:rFonts w:ascii="Times New Roman" w:hAnsi="Times New Roman" w:cs="Times New Roman"/>
                <w:sz w:val="20"/>
                <w:szCs w:val="20"/>
                <w:lang w:val="en-GB"/>
              </w:rPr>
              <w:t xml:space="preserve"> Centru 2021-2027</w:t>
            </w:r>
            <w:r w:rsidRPr="0000318B">
              <w:rPr>
                <w:rFonts w:ascii="Times New Roman" w:hAnsi="Times New Roman" w:cs="Times New Roman"/>
                <w:sz w:val="20"/>
                <w:szCs w:val="20"/>
                <w:lang w:val="en-GB"/>
              </w:rPr>
              <w:footnoteReference w:id="14"/>
            </w:r>
            <w:r w:rsidRPr="0000318B">
              <w:rPr>
                <w:rFonts w:ascii="Times New Roman" w:hAnsi="Times New Roman" w:cs="Times New Roman"/>
                <w:sz w:val="20"/>
                <w:szCs w:val="20"/>
                <w:lang w:val="en-GB"/>
              </w:rPr>
              <w:t xml:space="preserve"> (DS1 și DS4), fiind în acord cu documentele de politică de la nivel european și național și contribuie la îndeplinirea obiectivului general asumat prin Pactul Ecologic European</w:t>
            </w:r>
            <w:r w:rsidRPr="0000318B">
              <w:rPr>
                <w:rFonts w:ascii="Times New Roman" w:hAnsi="Times New Roman" w:cs="Times New Roman"/>
                <w:b/>
                <w:sz w:val="20"/>
                <w:szCs w:val="20"/>
                <w:vertAlign w:val="superscript"/>
                <w:lang w:val="en-GB"/>
              </w:rPr>
              <w:footnoteReference w:id="15"/>
            </w:r>
            <w:r w:rsidRPr="0000318B">
              <w:rPr>
                <w:rFonts w:ascii="Times New Roman" w:hAnsi="Times New Roman" w:cs="Times New Roman"/>
                <w:sz w:val="20"/>
                <w:szCs w:val="20"/>
                <w:lang w:val="en-GB"/>
              </w:rPr>
              <w:t xml:space="preserve">. </w:t>
            </w:r>
            <w:r w:rsidR="004A09AF">
              <w:rPr>
                <w:rFonts w:ascii="Times New Roman" w:hAnsi="Times New Roman" w:cs="Times New Roman"/>
                <w:sz w:val="20"/>
                <w:szCs w:val="20"/>
                <w:lang w:val="en-GB"/>
              </w:rPr>
              <w:t>De asemenea, obiectivele</w:t>
            </w:r>
            <w:r w:rsidRPr="0000318B">
              <w:rPr>
                <w:rFonts w:ascii="Times New Roman" w:hAnsi="Times New Roman" w:cs="Times New Roman"/>
                <w:sz w:val="20"/>
                <w:szCs w:val="20"/>
                <w:lang w:val="en-GB"/>
              </w:rPr>
              <w:t xml:space="preserve"> sunt în concordanță și cu strategiile și documentele politice naționale: PNIESC</w:t>
            </w:r>
            <w:r w:rsidRPr="0000318B">
              <w:rPr>
                <w:rFonts w:ascii="Times New Roman" w:hAnsi="Times New Roman" w:cs="Times New Roman"/>
                <w:b/>
                <w:sz w:val="20"/>
                <w:szCs w:val="20"/>
                <w:vertAlign w:val="superscript"/>
                <w:lang w:val="en-GB"/>
              </w:rPr>
              <w:footnoteReference w:id="16"/>
            </w:r>
            <w:r w:rsidRPr="0000318B">
              <w:rPr>
                <w:rFonts w:ascii="Times New Roman" w:hAnsi="Times New Roman" w:cs="Times New Roman"/>
                <w:sz w:val="20"/>
                <w:szCs w:val="20"/>
                <w:lang w:val="en-GB"/>
              </w:rPr>
              <w:t>, precum și cu SDTR</w:t>
            </w:r>
            <w:r w:rsidRPr="0000318B">
              <w:rPr>
                <w:rFonts w:ascii="Times New Roman" w:hAnsi="Times New Roman" w:cs="Times New Roman"/>
                <w:b/>
                <w:sz w:val="20"/>
                <w:szCs w:val="20"/>
                <w:vertAlign w:val="superscript"/>
                <w:lang w:val="en-GB"/>
              </w:rPr>
              <w:footnoteReference w:id="17"/>
            </w:r>
            <w:r w:rsidRPr="0000318B">
              <w:rPr>
                <w:rFonts w:ascii="Times New Roman" w:hAnsi="Times New Roman" w:cs="Times New Roman"/>
                <w:sz w:val="20"/>
                <w:szCs w:val="20"/>
                <w:vertAlign w:val="superscript"/>
                <w:lang w:val="en-GB"/>
              </w:rPr>
              <w:t>,</w:t>
            </w:r>
            <w:r w:rsidRPr="0000318B">
              <w:rPr>
                <w:rFonts w:ascii="Times New Roman" w:hAnsi="Times New Roman" w:cs="Times New Roman"/>
                <w:sz w:val="20"/>
                <w:szCs w:val="20"/>
                <w:lang w:val="en-GB"/>
              </w:rPr>
              <w:t xml:space="preserve"> un document programatic prin care sunt stabilite liniile directoare de dezvoltare teritorială a României și direcțiile de implementare la scara regională, interregională, națională, cu integrarea aspectelor relevante la nivel transfrontalier și transnațional (art.14, alin. (3) din Legea nr. 350/2001 privind amenajarea teritoriului și urbanismul). </w:t>
            </w:r>
          </w:p>
          <w:p w:rsidR="00BC7338" w:rsidRPr="00C06D99" w:rsidRDefault="00BC7338" w:rsidP="005645F0">
            <w:pPr>
              <w:spacing w:after="0" w:line="240" w:lineRule="auto"/>
              <w:jc w:val="both"/>
              <w:rPr>
                <w:rFonts w:ascii="Times New Roman" w:eastAsia="Times New Roman" w:hAnsi="Times New Roman" w:cs="Times New Roman"/>
                <w:iCs/>
                <w:noProof/>
                <w:sz w:val="20"/>
                <w:szCs w:val="20"/>
                <w:lang w:val="en-US"/>
              </w:rPr>
            </w:pPr>
            <w:r w:rsidRPr="0000318B">
              <w:rPr>
                <w:rFonts w:ascii="Times New Roman" w:hAnsi="Times New Roman" w:cs="Times New Roman"/>
                <w:sz w:val="20"/>
                <w:szCs w:val="20"/>
              </w:rPr>
              <w:t xml:space="preserve">Calitatea vieții în mediul urban și sănătatea locuitorilor depind în mod considerabil </w:t>
            </w:r>
            <w:r>
              <w:rPr>
                <w:rFonts w:ascii="Times New Roman" w:hAnsi="Times New Roman" w:cs="Times New Roman"/>
                <w:sz w:val="20"/>
                <w:szCs w:val="20"/>
              </w:rPr>
              <w:t xml:space="preserve">de infrastructura și serviciile existente, inclusiv de suprafata zonelor verzi, cu toate </w:t>
            </w:r>
            <w:r>
              <w:rPr>
                <w:rFonts w:ascii="Times New Roman" w:hAnsi="Times New Roman" w:cs="Times New Roman"/>
                <w:sz w:val="20"/>
                <w:szCs w:val="20"/>
              </w:rPr>
              <w:lastRenderedPageBreak/>
              <w:t xml:space="preserve">acestea </w:t>
            </w:r>
            <w:r w:rsidRPr="0000318B">
              <w:rPr>
                <w:rFonts w:ascii="Times New Roman" w:hAnsi="Times New Roman" w:cs="Times New Roman"/>
                <w:sz w:val="20"/>
                <w:szCs w:val="20"/>
              </w:rPr>
              <w:t>dezvoltarea orașelor din Regiunea Centru a ținut cont într-o măsură redusă de exigența extinderii zonelor verzi</w:t>
            </w:r>
            <w:r>
              <w:rPr>
                <w:rStyle w:val="Referinnotdesubsol"/>
                <w:rFonts w:ascii="Times New Roman" w:hAnsi="Times New Roman" w:cs="Times New Roman"/>
                <w:sz w:val="20"/>
                <w:szCs w:val="20"/>
              </w:rPr>
              <w:footnoteReference w:id="18"/>
            </w:r>
            <w:r w:rsidRPr="0000318B">
              <w:rPr>
                <w:rFonts w:ascii="Times New Roman" w:hAnsi="Times New Roman" w:cs="Times New Roman"/>
                <w:sz w:val="20"/>
                <w:szCs w:val="20"/>
              </w:rPr>
              <w:t>.</w:t>
            </w:r>
            <w:r>
              <w:rPr>
                <w:rFonts w:ascii="Times New Roman" w:hAnsi="Times New Roman" w:cs="Times New Roman"/>
                <w:sz w:val="20"/>
                <w:szCs w:val="20"/>
              </w:rPr>
              <w:t xml:space="preserve"> </w:t>
            </w:r>
          </w:p>
        </w:tc>
      </w:tr>
      <w:tr w:rsidR="00BC7338" w:rsidRPr="00F000AD" w:rsidTr="00A5682B">
        <w:tc>
          <w:tcPr>
            <w:tcW w:w="635" w:type="pct"/>
            <w:vMerge/>
            <w:tcBorders>
              <w:left w:val="single" w:sz="4" w:space="0" w:color="auto"/>
              <w:bottom w:val="single" w:sz="4" w:space="0" w:color="auto"/>
              <w:right w:val="single" w:sz="4" w:space="0" w:color="auto"/>
            </w:tcBorders>
          </w:tcPr>
          <w:p w:rsidR="00BC7338" w:rsidRPr="00F000AD" w:rsidRDefault="00BC7338" w:rsidP="00BC7338">
            <w:pPr>
              <w:spacing w:before="120" w:after="120"/>
              <w:rPr>
                <w:rFonts w:ascii="Times New Roman" w:eastAsia="Times New Roman" w:hAnsi="Times New Roman" w:cs="Times New Roman"/>
                <w:b/>
                <w:iCs/>
                <w:noProof/>
                <w:sz w:val="20"/>
                <w:lang w:val="en-US"/>
              </w:rPr>
            </w:pPr>
          </w:p>
        </w:tc>
        <w:tc>
          <w:tcPr>
            <w:tcW w:w="841" w:type="pct"/>
            <w:tcBorders>
              <w:top w:val="single" w:sz="4" w:space="0" w:color="auto"/>
              <w:left w:val="single" w:sz="4" w:space="0" w:color="auto"/>
              <w:bottom w:val="single" w:sz="4" w:space="0" w:color="auto"/>
              <w:right w:val="single" w:sz="4" w:space="0" w:color="auto"/>
            </w:tcBorders>
          </w:tcPr>
          <w:p w:rsidR="00BC7338" w:rsidRPr="00C06D99" w:rsidRDefault="00BC7338" w:rsidP="00BC7338">
            <w:pPr>
              <w:spacing w:after="0" w:line="240" w:lineRule="auto"/>
              <w:rPr>
                <w:rFonts w:ascii="Times New Roman" w:hAnsi="Times New Roman" w:cs="Times New Roman"/>
                <w:i/>
                <w:color w:val="E36C0A" w:themeColor="accent6" w:themeShade="BF"/>
                <w:sz w:val="20"/>
                <w:szCs w:val="20"/>
              </w:rPr>
            </w:pPr>
            <w:r w:rsidRPr="0000318B">
              <w:rPr>
                <w:rFonts w:ascii="Times New Roman" w:hAnsi="Times New Roman" w:cs="Times New Roman"/>
                <w:sz w:val="20"/>
                <w:szCs w:val="20"/>
              </w:rPr>
              <w:t>b (viii) Promovarea mobilității urbane multimodale sustenabile</w:t>
            </w:r>
          </w:p>
        </w:tc>
        <w:tc>
          <w:tcPr>
            <w:tcW w:w="3524" w:type="pct"/>
            <w:tcBorders>
              <w:top w:val="single" w:sz="4" w:space="0" w:color="auto"/>
              <w:left w:val="single" w:sz="4" w:space="0" w:color="auto"/>
              <w:bottom w:val="single" w:sz="4" w:space="0" w:color="auto"/>
              <w:right w:val="single" w:sz="4" w:space="0" w:color="auto"/>
            </w:tcBorders>
          </w:tcPr>
          <w:p w:rsidR="00BC7338" w:rsidRPr="00C06D99" w:rsidRDefault="00BC7338" w:rsidP="00D54ECB">
            <w:pPr>
              <w:spacing w:after="0" w:line="240" w:lineRule="auto"/>
              <w:jc w:val="both"/>
              <w:rPr>
                <w:rFonts w:ascii="Times New Roman" w:eastAsia="Times New Roman" w:hAnsi="Times New Roman" w:cs="Times New Roman"/>
                <w:iCs/>
                <w:noProof/>
                <w:sz w:val="20"/>
                <w:szCs w:val="20"/>
                <w:highlight w:val="yellow"/>
                <w:lang w:val="en-US"/>
              </w:rPr>
            </w:pPr>
            <w:r w:rsidRPr="004C4F88">
              <w:rPr>
                <w:rFonts w:ascii="Times New Roman" w:hAnsi="Times New Roman" w:cs="Times New Roman"/>
                <w:bCs/>
                <w:sz w:val="20"/>
                <w:szCs w:val="20"/>
              </w:rPr>
              <w:t xml:space="preserve">Creșterea semnificativă a traficului în orașe (cu zonele metropolitane aferente) cauzează aglomerație/ întârzieri/ blocaje, acest lucru afectând toți participanții la trafic. Aglomerația are un impact negativ asupra mediului economic, social și asupra calității mediului înconjurător. De asemenea, ea influențează accesibilitatea, dar și atractivitatea unui teritoriu pentru turiști, investitori, etc. </w:t>
            </w:r>
            <w:r>
              <w:rPr>
                <w:rFonts w:ascii="Times New Roman" w:hAnsi="Times New Roman" w:cs="Times New Roman"/>
                <w:bCs/>
                <w:sz w:val="20"/>
                <w:szCs w:val="20"/>
              </w:rPr>
              <w:t xml:space="preserve"> </w:t>
            </w:r>
            <w:r w:rsidRPr="004C4F88">
              <w:rPr>
                <w:rFonts w:ascii="Times New Roman" w:eastAsia="SimSun" w:hAnsi="Times New Roman" w:cs="Times New Roman"/>
                <w:sz w:val="20"/>
                <w:szCs w:val="20"/>
              </w:rPr>
              <w:t>O caracteristică a Regiunii Centru este dezvoltarea transportului urban specific asigurării de servicii pentru transportul pasagerilor pe distanțe scurte și cu o capacitate medie de transport. La nivelul regional</w:t>
            </w:r>
            <w:r>
              <w:rPr>
                <w:rFonts w:ascii="Times New Roman" w:eastAsia="SimSun" w:hAnsi="Times New Roman" w:cs="Times New Roman"/>
                <w:sz w:val="20"/>
                <w:szCs w:val="20"/>
              </w:rPr>
              <w:t>,</w:t>
            </w:r>
            <w:r w:rsidRPr="004C4F88">
              <w:rPr>
                <w:rFonts w:ascii="Times New Roman" w:eastAsia="SimSun" w:hAnsi="Times New Roman" w:cs="Times New Roman"/>
                <w:sz w:val="20"/>
                <w:szCs w:val="20"/>
              </w:rPr>
              <w:t xml:space="preserve"> transportul urban este asigurat în principal de autobuze și microbuze la care se adaugă </w:t>
            </w:r>
            <w:r>
              <w:rPr>
                <w:rFonts w:ascii="Times New Roman" w:eastAsia="SimSun" w:hAnsi="Times New Roman" w:cs="Times New Roman"/>
                <w:sz w:val="20"/>
                <w:szCs w:val="20"/>
              </w:rPr>
              <w:t>troleibuze</w:t>
            </w:r>
            <w:r w:rsidRPr="004C4F88">
              <w:rPr>
                <w:rFonts w:ascii="Times New Roman" w:eastAsia="SimSun" w:hAnsi="Times New Roman" w:cs="Times New Roman"/>
                <w:sz w:val="20"/>
                <w:szCs w:val="20"/>
              </w:rPr>
              <w:t xml:space="preserve"> și taxi. Se pune din ce în ce mai mare accent și pe dezvoltarea rețelelor metropolitane de transport, în special în zonele metropolitane Brașov și Târgu Mureș, dar și în cazul zonelor urbane funcționale ale celorlate municipii reședință de județ. Extinderea transportului public catre localitățile din zona urbană funcțională poate rezolva o bună parte din problemele cauzate de utilizarea pe scară largă a autovehiculelor personale, în special pentru a veni la servici, sau pentru a avea acces la serviciile publ</w:t>
            </w:r>
            <w:r>
              <w:rPr>
                <w:rFonts w:ascii="Times New Roman" w:eastAsia="SimSun" w:hAnsi="Times New Roman" w:cs="Times New Roman"/>
                <w:sz w:val="20"/>
                <w:szCs w:val="20"/>
              </w:rPr>
              <w:t xml:space="preserve">ice (sanatate, educatie, etc.). </w:t>
            </w:r>
            <w:r w:rsidRPr="004C4F88">
              <w:rPr>
                <w:rFonts w:ascii="Times New Roman" w:hAnsi="Times New Roman" w:cs="Times New Roman"/>
                <w:bCs/>
                <w:sz w:val="20"/>
                <w:szCs w:val="20"/>
              </w:rPr>
              <w:t xml:space="preserve">În acest sens, prin măsurile/ activitățile propuse se va urmări îmbunătățirea eficienței, timpilor de parcurs, accesibilității, transferului către transportul public de călători și modurile nemotorizate de transport, atât la nivelul municipiilor reședință de județ, cât și la nivelul celorlalte municipii și orașe. </w:t>
            </w:r>
          </w:p>
        </w:tc>
      </w:tr>
      <w:tr w:rsidR="00BC7338" w:rsidRPr="00F000AD" w:rsidTr="00A5682B">
        <w:tc>
          <w:tcPr>
            <w:tcW w:w="635" w:type="pct"/>
            <w:tcBorders>
              <w:top w:val="single" w:sz="4" w:space="0" w:color="auto"/>
              <w:left w:val="single" w:sz="4" w:space="0" w:color="auto"/>
              <w:bottom w:val="single" w:sz="4" w:space="0" w:color="auto"/>
              <w:right w:val="single" w:sz="4" w:space="0" w:color="auto"/>
            </w:tcBorders>
          </w:tcPr>
          <w:p w:rsidR="00BC7338" w:rsidRPr="001D437C" w:rsidRDefault="00BC7338" w:rsidP="00BC7338">
            <w:pPr>
              <w:pStyle w:val="Listparagraf"/>
              <w:numPr>
                <w:ilvl w:val="0"/>
                <w:numId w:val="58"/>
              </w:numPr>
              <w:spacing w:before="0" w:after="0" w:line="240" w:lineRule="auto"/>
              <w:ind w:left="162" w:hanging="180"/>
              <w:rPr>
                <w:rFonts w:eastAsia="Times New Roman"/>
                <w:b/>
                <w:iCs/>
                <w:noProof/>
                <w:sz w:val="20"/>
                <w:szCs w:val="20"/>
                <w:lang w:val="en-US"/>
              </w:rPr>
            </w:pPr>
            <w:r w:rsidRPr="001D437C">
              <w:rPr>
                <w:rFonts w:eastAsia="Times New Roman"/>
                <w:b/>
                <w:iCs/>
                <w:noProof/>
                <w:sz w:val="20"/>
                <w:szCs w:val="20"/>
                <w:lang w:val="en-US"/>
              </w:rPr>
              <w:t>O Europă mai conectată</w:t>
            </w:r>
          </w:p>
        </w:tc>
        <w:tc>
          <w:tcPr>
            <w:tcW w:w="841" w:type="pct"/>
            <w:tcBorders>
              <w:top w:val="single" w:sz="4" w:space="0" w:color="auto"/>
              <w:left w:val="single" w:sz="4" w:space="0" w:color="auto"/>
              <w:bottom w:val="single" w:sz="4" w:space="0" w:color="auto"/>
              <w:right w:val="single" w:sz="4" w:space="0" w:color="auto"/>
            </w:tcBorders>
          </w:tcPr>
          <w:p w:rsidR="00BC7338" w:rsidRPr="001D437C" w:rsidRDefault="00BC7338" w:rsidP="00BC7338">
            <w:pPr>
              <w:spacing w:after="0" w:line="240" w:lineRule="auto"/>
              <w:rPr>
                <w:rFonts w:ascii="Times New Roman" w:hAnsi="Times New Roman" w:cs="Times New Roman"/>
                <w:i/>
                <w:sz w:val="20"/>
                <w:szCs w:val="20"/>
              </w:rPr>
            </w:pPr>
            <w:r w:rsidRPr="001D437C">
              <w:rPr>
                <w:rFonts w:ascii="Times New Roman" w:hAnsi="Times New Roman" w:cs="Times New Roman"/>
                <w:i/>
                <w:sz w:val="20"/>
                <w:szCs w:val="20"/>
              </w:rPr>
              <w:t>c (iii) Dezvoltarea unei mobilități naționale, regionale și locale durabile, reziliente în fața schimbărilor climatice, inteligente și intermodale, inclusiv îmbunătățirea accesului la TEN-T și a mobilității transfrontaliere</w:t>
            </w:r>
          </w:p>
        </w:tc>
        <w:tc>
          <w:tcPr>
            <w:tcW w:w="3524" w:type="pct"/>
            <w:tcBorders>
              <w:top w:val="single" w:sz="4" w:space="0" w:color="auto"/>
              <w:left w:val="single" w:sz="4" w:space="0" w:color="auto"/>
              <w:bottom w:val="single" w:sz="4" w:space="0" w:color="auto"/>
              <w:right w:val="single" w:sz="4" w:space="0" w:color="auto"/>
            </w:tcBorders>
          </w:tcPr>
          <w:p w:rsidR="00BC7338" w:rsidRPr="001D437C" w:rsidRDefault="00BC7338" w:rsidP="00BC7338">
            <w:pPr>
              <w:spacing w:after="0" w:line="240" w:lineRule="auto"/>
              <w:jc w:val="both"/>
              <w:rPr>
                <w:rFonts w:ascii="Times New Roman" w:eastAsia="Times New Roman" w:hAnsi="Times New Roman" w:cs="Times New Roman"/>
                <w:iCs/>
                <w:noProof/>
                <w:sz w:val="20"/>
                <w:szCs w:val="20"/>
              </w:rPr>
            </w:pPr>
            <w:r w:rsidRPr="001D437C">
              <w:rPr>
                <w:rFonts w:ascii="Times New Roman" w:eastAsia="Times New Roman" w:hAnsi="Times New Roman" w:cs="Times New Roman"/>
                <w:iCs/>
                <w:noProof/>
                <w:sz w:val="20"/>
                <w:szCs w:val="20"/>
              </w:rPr>
              <w:t xml:space="preserve">Cu excepția tronsoanelor de autostradă care traversează Regiunea, precum și </w:t>
            </w:r>
            <w:r>
              <w:rPr>
                <w:rFonts w:ascii="Times New Roman" w:eastAsia="Times New Roman" w:hAnsi="Times New Roman" w:cs="Times New Roman"/>
                <w:iCs/>
                <w:noProof/>
                <w:sz w:val="20"/>
                <w:szCs w:val="20"/>
              </w:rPr>
              <w:t xml:space="preserve">a </w:t>
            </w:r>
            <w:r w:rsidRPr="001D437C">
              <w:rPr>
                <w:rFonts w:ascii="Times New Roman" w:eastAsia="Times New Roman" w:hAnsi="Times New Roman" w:cs="Times New Roman"/>
                <w:iCs/>
                <w:noProof/>
                <w:sz w:val="20"/>
                <w:szCs w:val="20"/>
              </w:rPr>
              <w:t>porțiuni</w:t>
            </w:r>
            <w:r>
              <w:rPr>
                <w:rFonts w:ascii="Times New Roman" w:eastAsia="Times New Roman" w:hAnsi="Times New Roman" w:cs="Times New Roman"/>
                <w:iCs/>
                <w:noProof/>
                <w:sz w:val="20"/>
                <w:szCs w:val="20"/>
              </w:rPr>
              <w:t>lor</w:t>
            </w:r>
            <w:r w:rsidRPr="001D437C">
              <w:rPr>
                <w:rFonts w:ascii="Times New Roman" w:eastAsia="Times New Roman" w:hAnsi="Times New Roman" w:cs="Times New Roman"/>
                <w:iCs/>
                <w:noProof/>
                <w:sz w:val="20"/>
                <w:szCs w:val="20"/>
              </w:rPr>
              <w:t xml:space="preserve"> din drumurile europene</w:t>
            </w:r>
            <w:r>
              <w:rPr>
                <w:rFonts w:ascii="Times New Roman" w:eastAsia="Times New Roman" w:hAnsi="Times New Roman" w:cs="Times New Roman"/>
                <w:iCs/>
                <w:noProof/>
                <w:sz w:val="20"/>
                <w:szCs w:val="20"/>
              </w:rPr>
              <w:t>,</w:t>
            </w:r>
            <w:r w:rsidRPr="001D437C">
              <w:rPr>
                <w:rFonts w:ascii="Times New Roman" w:eastAsia="Times New Roman" w:hAnsi="Times New Roman" w:cs="Times New Roman"/>
                <w:iCs/>
                <w:noProof/>
                <w:sz w:val="20"/>
                <w:szCs w:val="20"/>
              </w:rPr>
              <w:t xml:space="preserve"> unde există 3 benzi de circulație, majoritatea drumurilor de la nivel regional sunt pe două benzi de circulație, acest fapt îngreunând foarte mult deplasarea și timpi de deplasare. De asemenea, mare parte din aceste drumuri traversează orașele și municipiile</w:t>
            </w:r>
            <w:r>
              <w:rPr>
                <w:rFonts w:ascii="Times New Roman" w:eastAsia="Times New Roman" w:hAnsi="Times New Roman" w:cs="Times New Roman"/>
                <w:iCs/>
                <w:noProof/>
                <w:sz w:val="20"/>
                <w:szCs w:val="20"/>
              </w:rPr>
              <w:t>,</w:t>
            </w:r>
            <w:r w:rsidRPr="001D437C">
              <w:rPr>
                <w:rFonts w:ascii="Times New Roman" w:eastAsia="Times New Roman" w:hAnsi="Times New Roman" w:cs="Times New Roman"/>
                <w:iCs/>
                <w:noProof/>
                <w:sz w:val="20"/>
                <w:szCs w:val="20"/>
              </w:rPr>
              <w:t xml:space="preserve"> </w:t>
            </w:r>
            <w:r>
              <w:rPr>
                <w:rFonts w:ascii="Times New Roman" w:eastAsia="Times New Roman" w:hAnsi="Times New Roman" w:cs="Times New Roman"/>
                <w:iCs/>
                <w:noProof/>
                <w:sz w:val="20"/>
                <w:szCs w:val="20"/>
              </w:rPr>
              <w:t>generând</w:t>
            </w:r>
            <w:r w:rsidRPr="001D437C">
              <w:rPr>
                <w:rFonts w:ascii="Times New Roman" w:eastAsia="Times New Roman" w:hAnsi="Times New Roman" w:cs="Times New Roman"/>
                <w:iCs/>
                <w:noProof/>
                <w:sz w:val="20"/>
                <w:szCs w:val="20"/>
              </w:rPr>
              <w:t xml:space="preserve"> congestionarea traficului în aceste localități și făcând dificilă implementarea măsurilor de mobilitate urbană durabilă. </w:t>
            </w:r>
          </w:p>
          <w:p w:rsidR="00BC7338" w:rsidRPr="001D437C" w:rsidRDefault="00BC7338" w:rsidP="00BC7338">
            <w:pPr>
              <w:spacing w:after="0" w:line="240" w:lineRule="auto"/>
              <w:jc w:val="both"/>
              <w:rPr>
                <w:rFonts w:ascii="Times New Roman" w:eastAsia="Times New Roman" w:hAnsi="Times New Roman" w:cs="Times New Roman"/>
                <w:iCs/>
                <w:noProof/>
                <w:sz w:val="20"/>
                <w:szCs w:val="20"/>
              </w:rPr>
            </w:pPr>
            <w:r w:rsidRPr="001D437C">
              <w:rPr>
                <w:rFonts w:ascii="Times New Roman" w:eastAsia="Times New Roman" w:hAnsi="Times New Roman" w:cs="Times New Roman"/>
                <w:iCs/>
                <w:noProof/>
                <w:sz w:val="20"/>
                <w:szCs w:val="20"/>
              </w:rPr>
              <w:t xml:space="preserve">Deși au exista investiții în construcția și modernizarea de drumuri, totuți 51% din rețeaua rutieră de la nivel regional este nemodernizată. </w:t>
            </w:r>
          </w:p>
          <w:p w:rsidR="00BC7338" w:rsidRDefault="00BC7338" w:rsidP="00A94F19">
            <w:pPr>
              <w:spacing w:after="0" w:line="240" w:lineRule="auto"/>
              <w:jc w:val="both"/>
              <w:rPr>
                <w:rFonts w:ascii="Times New Roman" w:eastAsia="Times New Roman" w:hAnsi="Times New Roman" w:cs="Times New Roman"/>
                <w:iCs/>
                <w:noProof/>
                <w:sz w:val="20"/>
                <w:szCs w:val="20"/>
              </w:rPr>
            </w:pPr>
            <w:r w:rsidRPr="001D437C">
              <w:rPr>
                <w:rFonts w:ascii="Times New Roman" w:eastAsia="Times New Roman" w:hAnsi="Times New Roman" w:cs="Times New Roman"/>
                <w:iCs/>
                <w:noProof/>
                <w:sz w:val="20"/>
                <w:szCs w:val="20"/>
              </w:rPr>
              <w:t xml:space="preserve">Din perspectiva priorităților de dezvoltare regionale și locale, dar și datorită faptului că o mare parte din aceste drumuri județene traversează localitățiile, în principal cele urbane, au fost identificate o serie de investiții prioritare la nivel regional care să asigure conexiunea localităților din extremitățile Regiunii, în special din zonele montane și turistice către centrele urbane principale și rețele principale de transport. </w:t>
            </w:r>
            <w:r w:rsidRPr="001D437C">
              <w:rPr>
                <w:rFonts w:ascii="Times New Roman" w:hAnsi="Times New Roman" w:cs="Times New Roman"/>
                <w:sz w:val="20"/>
                <w:szCs w:val="20"/>
              </w:rPr>
              <w:t xml:space="preserve">În plus, ținând cont de necesitatea de a decongestiona și fluidiza traficul din orașe și de exigența devierii, pe cât posibil, în afara localităților a traficului greu și a traficului de tranzit, </w:t>
            </w:r>
            <w:r w:rsidR="00A94F19">
              <w:rPr>
                <w:rFonts w:ascii="Times New Roman" w:hAnsi="Times New Roman" w:cs="Times New Roman"/>
                <w:sz w:val="20"/>
                <w:szCs w:val="20"/>
              </w:rPr>
              <w:t>este necesara</w:t>
            </w:r>
            <w:r w:rsidRPr="001D437C">
              <w:rPr>
                <w:rFonts w:ascii="Times New Roman" w:hAnsi="Times New Roman" w:cs="Times New Roman"/>
                <w:sz w:val="20"/>
                <w:szCs w:val="20"/>
              </w:rPr>
              <w:t xml:space="preserve"> sprijinirea </w:t>
            </w:r>
            <w:r w:rsidRPr="001D437C">
              <w:rPr>
                <w:rFonts w:ascii="Times New Roman" w:hAnsi="Times New Roman" w:cs="Times New Roman"/>
                <w:bCs/>
                <w:sz w:val="20"/>
                <w:szCs w:val="20"/>
              </w:rPr>
              <w:t>investițiil</w:t>
            </w:r>
            <w:r w:rsidR="00A94F19">
              <w:rPr>
                <w:rFonts w:ascii="Times New Roman" w:hAnsi="Times New Roman" w:cs="Times New Roman"/>
                <w:bCs/>
                <w:sz w:val="20"/>
                <w:szCs w:val="20"/>
              </w:rPr>
              <w:t>or</w:t>
            </w:r>
            <w:r w:rsidRPr="001D437C">
              <w:rPr>
                <w:rFonts w:ascii="Times New Roman" w:hAnsi="Times New Roman" w:cs="Times New Roman"/>
                <w:bCs/>
                <w:sz w:val="20"/>
                <w:szCs w:val="20"/>
              </w:rPr>
              <w:t xml:space="preserve"> în centuri ocolitoare și noi drumuri locale care să deservească zonele urbane, cele metropolitane și zonele urbane funcționale</w:t>
            </w:r>
            <w:r w:rsidRPr="001D437C">
              <w:rPr>
                <w:rFonts w:ascii="Times New Roman" w:hAnsi="Times New Roman" w:cs="Times New Roman"/>
                <w:sz w:val="20"/>
                <w:szCs w:val="20"/>
              </w:rPr>
              <w:t>.</w:t>
            </w:r>
            <w:r w:rsidRPr="001D437C">
              <w:rPr>
                <w:rFonts w:ascii="Times New Roman" w:eastAsia="Times New Roman" w:hAnsi="Times New Roman" w:cs="Times New Roman"/>
                <w:iCs/>
                <w:noProof/>
                <w:sz w:val="20"/>
                <w:szCs w:val="20"/>
              </w:rPr>
              <w:t xml:space="preserve">  </w:t>
            </w:r>
          </w:p>
          <w:p w:rsidR="005A3E54" w:rsidRPr="00E95FAC" w:rsidRDefault="005E193A" w:rsidP="00A94F19">
            <w:pPr>
              <w:spacing w:after="0" w:line="240" w:lineRule="auto"/>
              <w:jc w:val="both"/>
              <w:rPr>
                <w:rFonts w:ascii="Times New Roman" w:hAnsi="Times New Roman" w:cs="Times New Roman"/>
                <w:bCs/>
                <w:sz w:val="20"/>
                <w:szCs w:val="20"/>
              </w:rPr>
            </w:pPr>
            <w:r w:rsidRPr="005A3E54">
              <w:rPr>
                <w:rFonts w:ascii="Times New Roman" w:eastAsia="Times New Roman" w:hAnsi="Times New Roman" w:cs="Times New Roman"/>
                <w:iCs/>
                <w:noProof/>
                <w:sz w:val="20"/>
                <w:szCs w:val="20"/>
              </w:rPr>
              <w:t xml:space="preserve">In conformitate cu </w:t>
            </w:r>
            <w:r w:rsidR="00D54ECB">
              <w:rPr>
                <w:rFonts w:ascii="Times New Roman" w:eastAsia="Times New Roman" w:hAnsi="Times New Roman" w:cs="Times New Roman"/>
                <w:iCs/>
                <w:noProof/>
                <w:sz w:val="20"/>
                <w:szCs w:val="20"/>
              </w:rPr>
              <w:t>PDR</w:t>
            </w:r>
            <w:r w:rsidRPr="005A3E54">
              <w:rPr>
                <w:rFonts w:ascii="Times New Roman" w:eastAsia="Times New Roman" w:hAnsi="Times New Roman" w:cs="Times New Roman"/>
                <w:iCs/>
                <w:noProof/>
                <w:sz w:val="20"/>
                <w:szCs w:val="20"/>
              </w:rPr>
              <w:t xml:space="preserve"> Centru este necesara </w:t>
            </w:r>
            <w:r w:rsidR="005A3E54" w:rsidRPr="00E95FAC">
              <w:rPr>
                <w:rFonts w:ascii="Times New Roman" w:hAnsi="Times New Roman" w:cs="Times New Roman"/>
                <w:bCs/>
                <w:sz w:val="20"/>
                <w:szCs w:val="20"/>
              </w:rPr>
              <w:t>in continuare modernizarea și creșterea capacității de transport a drumurilor de importanță regională care asigură conexiunile la rețeaua TEN-T precum și  realizarea de noi conexiuni  rutiere acolo unde situația o impune.</w:t>
            </w:r>
          </w:p>
          <w:p w:rsidR="00A94F19" w:rsidRPr="00E95FAC" w:rsidRDefault="00A94F19" w:rsidP="00D54ECB">
            <w:pPr>
              <w:spacing w:after="0" w:line="240" w:lineRule="auto"/>
              <w:rPr>
                <w:rFonts w:ascii="Times New Roman" w:hAnsi="Times New Roman" w:cs="Times New Roman"/>
                <w:b/>
                <w:sz w:val="20"/>
                <w:szCs w:val="20"/>
              </w:rPr>
            </w:pPr>
            <w:r w:rsidRPr="000A0CC7">
              <w:rPr>
                <w:rFonts w:ascii="Times New Roman" w:hAnsi="Times New Roman" w:cs="Times New Roman"/>
                <w:sz w:val="20"/>
                <w:szCs w:val="20"/>
              </w:rPr>
              <w:t xml:space="preserve">Calitatea slabă și fiabilitatea infrastructurii de transport rutiere este subliniată și de Raportul de Țară 2019. De asemenea în cadrul Raportului de evaluare pentru </w:t>
            </w:r>
            <w:r w:rsidR="00D54ECB">
              <w:rPr>
                <w:rFonts w:ascii="Times New Roman" w:hAnsi="Times New Roman" w:cs="Times New Roman"/>
                <w:sz w:val="20"/>
                <w:szCs w:val="20"/>
              </w:rPr>
              <w:t>AP</w:t>
            </w:r>
            <w:r w:rsidRPr="000A0CC7">
              <w:rPr>
                <w:rFonts w:ascii="Times New Roman" w:hAnsi="Times New Roman" w:cs="Times New Roman"/>
                <w:sz w:val="20"/>
                <w:szCs w:val="20"/>
              </w:rPr>
              <w:t xml:space="preserve"> 6 a POR 2014-2020 se subliniază faptul că dezvoltarea și modernizarea drumurilor județene, cât și accesul la coridoarele TEN-T și, implicit la orașe și municipii, au în continuare o relevanță mare și foarte mare pentru comunități.</w:t>
            </w:r>
            <w:r w:rsidRPr="008976EA">
              <w:rPr>
                <w:rFonts w:ascii="Times New Roman" w:hAnsi="Times New Roman" w:cs="Times New Roman"/>
                <w:sz w:val="20"/>
                <w:szCs w:val="20"/>
              </w:rPr>
              <w:t xml:space="preserve"> </w:t>
            </w:r>
          </w:p>
        </w:tc>
      </w:tr>
      <w:tr w:rsidR="00BC7338" w:rsidRPr="00F000AD" w:rsidTr="00A5682B">
        <w:tc>
          <w:tcPr>
            <w:tcW w:w="635" w:type="pct"/>
            <w:tcBorders>
              <w:top w:val="single" w:sz="4" w:space="0" w:color="auto"/>
              <w:left w:val="single" w:sz="4" w:space="0" w:color="auto"/>
              <w:bottom w:val="single" w:sz="4" w:space="0" w:color="auto"/>
              <w:right w:val="single" w:sz="4" w:space="0" w:color="auto"/>
            </w:tcBorders>
          </w:tcPr>
          <w:p w:rsidR="00BC7338" w:rsidRPr="001D437C" w:rsidRDefault="00BC7338" w:rsidP="00BC7338">
            <w:pPr>
              <w:pStyle w:val="Listparagraf"/>
              <w:numPr>
                <w:ilvl w:val="0"/>
                <w:numId w:val="58"/>
              </w:numPr>
              <w:spacing w:before="0" w:after="0" w:line="240" w:lineRule="auto"/>
              <w:ind w:left="162" w:hanging="180"/>
              <w:rPr>
                <w:rFonts w:eastAsia="Times New Roman"/>
                <w:b/>
                <w:iCs/>
                <w:noProof/>
                <w:sz w:val="20"/>
                <w:lang w:val="en-US"/>
              </w:rPr>
            </w:pPr>
            <w:r w:rsidRPr="001D437C">
              <w:rPr>
                <w:rFonts w:eastAsia="Times New Roman"/>
                <w:b/>
                <w:iCs/>
                <w:noProof/>
                <w:sz w:val="20"/>
                <w:lang w:val="en-US"/>
              </w:rPr>
              <w:t>O Europă mai socială</w:t>
            </w:r>
          </w:p>
        </w:tc>
        <w:tc>
          <w:tcPr>
            <w:tcW w:w="841" w:type="pct"/>
            <w:tcBorders>
              <w:top w:val="single" w:sz="4" w:space="0" w:color="auto"/>
              <w:left w:val="single" w:sz="4" w:space="0" w:color="auto"/>
              <w:bottom w:val="single" w:sz="4" w:space="0" w:color="auto"/>
              <w:right w:val="single" w:sz="4" w:space="0" w:color="auto"/>
            </w:tcBorders>
          </w:tcPr>
          <w:p w:rsidR="00BC7338" w:rsidRPr="00350723" w:rsidRDefault="00BC7338" w:rsidP="00BC7338">
            <w:pPr>
              <w:spacing w:after="0" w:line="240" w:lineRule="auto"/>
              <w:rPr>
                <w:rFonts w:ascii="Times New Roman" w:hAnsi="Times New Roman" w:cs="Times New Roman"/>
                <w:i/>
                <w:sz w:val="20"/>
                <w:szCs w:val="20"/>
              </w:rPr>
            </w:pPr>
            <w:r w:rsidRPr="001D437C">
              <w:rPr>
                <w:rFonts w:ascii="Times New Roman" w:hAnsi="Times New Roman" w:cs="Times New Roman"/>
                <w:i/>
                <w:sz w:val="20"/>
                <w:szCs w:val="20"/>
              </w:rPr>
              <w:t xml:space="preserve">d (ii) </w:t>
            </w:r>
            <w:r w:rsidRPr="00350723">
              <w:rPr>
                <w:rFonts w:ascii="Times New Roman" w:hAnsi="Times New Roman" w:cs="Times New Roman"/>
                <w:i/>
                <w:sz w:val="20"/>
                <w:szCs w:val="20"/>
              </w:rPr>
              <w:t xml:space="preserve">îmbunătățirea accesului egal la servicii de calitate și favorabile incluziunii în educație, formare și învățarea pe tot </w:t>
            </w:r>
            <w:r w:rsidRPr="00350723">
              <w:rPr>
                <w:rFonts w:ascii="Times New Roman" w:hAnsi="Times New Roman" w:cs="Times New Roman"/>
                <w:i/>
                <w:sz w:val="20"/>
                <w:szCs w:val="20"/>
              </w:rPr>
              <w:lastRenderedPageBreak/>
              <w:t>parcursul vieții prin dezvoltarea infrastructurii</w:t>
            </w:r>
            <w:r w:rsidRPr="00350723">
              <w:rPr>
                <w:rFonts w:ascii="Times New Roman" w:hAnsi="Times New Roman" w:cs="Times New Roman"/>
                <w:i/>
                <w:noProof/>
                <w:sz w:val="20"/>
                <w:szCs w:val="20"/>
              </w:rPr>
              <w:t>, inclusiv prin îmbunătățirea adaptării la educație și formare la distanță și on-line”;</w:t>
            </w:r>
            <w:r w:rsidRPr="0059048E">
              <w:rPr>
                <w:noProof/>
              </w:rPr>
              <w:t xml:space="preserve"> </w:t>
            </w:r>
          </w:p>
          <w:p w:rsidR="00BC7338" w:rsidRPr="001D437C" w:rsidRDefault="00BC7338" w:rsidP="00BC7338">
            <w:pPr>
              <w:spacing w:after="0" w:line="240" w:lineRule="auto"/>
              <w:rPr>
                <w:rFonts w:ascii="Times New Roman" w:hAnsi="Times New Roman" w:cs="Times New Roman"/>
                <w:i/>
              </w:rPr>
            </w:pPr>
          </w:p>
        </w:tc>
        <w:tc>
          <w:tcPr>
            <w:tcW w:w="3524" w:type="pct"/>
            <w:tcBorders>
              <w:top w:val="single" w:sz="4" w:space="0" w:color="auto"/>
              <w:left w:val="single" w:sz="4" w:space="0" w:color="auto"/>
              <w:bottom w:val="single" w:sz="4" w:space="0" w:color="auto"/>
              <w:right w:val="single" w:sz="4" w:space="0" w:color="auto"/>
            </w:tcBorders>
          </w:tcPr>
          <w:p w:rsidR="00BC7338" w:rsidRPr="006A05D1" w:rsidRDefault="00BC7338" w:rsidP="00BC7338">
            <w:pPr>
              <w:spacing w:after="0" w:line="240" w:lineRule="auto"/>
              <w:rPr>
                <w:rFonts w:ascii="Times New Roman" w:hAnsi="Times New Roman" w:cs="Times New Roman"/>
                <w:sz w:val="20"/>
                <w:szCs w:val="20"/>
              </w:rPr>
            </w:pPr>
            <w:r w:rsidRPr="006A05D1">
              <w:rPr>
                <w:rFonts w:ascii="Times New Roman" w:hAnsi="Times New Roman" w:cs="Times New Roman"/>
                <w:sz w:val="20"/>
                <w:szCs w:val="20"/>
              </w:rPr>
              <w:lastRenderedPageBreak/>
              <w:t>Ameliorarea rezultatelor din sistemul de educație și creșterea relevanței educației și formării profesionale pentru piața muncii se va face în acest program prin intervenții care au ca scop:</w:t>
            </w:r>
          </w:p>
          <w:p w:rsidR="00BC7338" w:rsidRPr="006A05D1" w:rsidRDefault="00BC7338" w:rsidP="00BC7338">
            <w:pPr>
              <w:spacing w:after="0" w:line="240" w:lineRule="auto"/>
              <w:rPr>
                <w:rFonts w:ascii="Times New Roman" w:hAnsi="Times New Roman" w:cs="Times New Roman"/>
                <w:sz w:val="20"/>
                <w:szCs w:val="20"/>
              </w:rPr>
            </w:pPr>
            <w:r w:rsidRPr="006A05D1">
              <w:rPr>
                <w:rFonts w:ascii="Times New Roman" w:hAnsi="Times New Roman" w:cs="Times New Roman"/>
                <w:sz w:val="20"/>
                <w:szCs w:val="20"/>
              </w:rPr>
              <w:t>Creșterea Accesului la servicii de îngrijire, educație și formare profesională, favorabile incluziunii  prin dezvoltarea infrastructurii, în special în învățământul antepreșcolar și preșcolar,  accesibilizarea infrastructurii unităților școlare existente la toate nivelurile și crearea/ modernizarea spațiilor de cazare pentru a permite accesul la servicii de formare profesională (în ÎPT) și educație terțiară elevilor nerezidenți, inclusiv prin asigurarea  transportului de la reședința elevilor la unitățile școlare.</w:t>
            </w:r>
          </w:p>
          <w:p w:rsidR="00BC7338" w:rsidRPr="006A05D1" w:rsidRDefault="00BC7338" w:rsidP="00BC7338">
            <w:pPr>
              <w:spacing w:after="0" w:line="240" w:lineRule="auto"/>
              <w:rPr>
                <w:rFonts w:ascii="Times New Roman" w:hAnsi="Times New Roman" w:cs="Times New Roman"/>
                <w:sz w:val="20"/>
                <w:szCs w:val="20"/>
              </w:rPr>
            </w:pPr>
            <w:r w:rsidRPr="006A05D1">
              <w:rPr>
                <w:rFonts w:ascii="Times New Roman" w:hAnsi="Times New Roman" w:cs="Times New Roman"/>
                <w:sz w:val="20"/>
                <w:szCs w:val="20"/>
              </w:rPr>
              <w:lastRenderedPageBreak/>
              <w:t>Îmbunătățirea Condițiilor de siguranță și funcționare a unităților școlare</w:t>
            </w:r>
          </w:p>
          <w:p w:rsidR="00BC7338" w:rsidRPr="006A05D1" w:rsidRDefault="00BC7338" w:rsidP="00BC7338">
            <w:pPr>
              <w:spacing w:after="0" w:line="240" w:lineRule="auto"/>
              <w:jc w:val="both"/>
              <w:rPr>
                <w:rFonts w:ascii="Times New Roman" w:hAnsi="Times New Roman" w:cs="Times New Roman"/>
                <w:sz w:val="20"/>
                <w:szCs w:val="20"/>
              </w:rPr>
            </w:pPr>
            <w:r w:rsidRPr="006A05D1">
              <w:rPr>
                <w:rFonts w:ascii="Times New Roman" w:hAnsi="Times New Roman" w:cs="Times New Roman"/>
                <w:sz w:val="20"/>
                <w:szCs w:val="20"/>
              </w:rPr>
              <w:t xml:space="preserve">O problemă majoră a unităților de învățământ, la toate nivelurile este asigurarea condițiilor minime de funcționare conform standardelor de autorizare a funcționării, stabilite prin Hotărârea de Guvern nr. 21/2007. Sunt prioritare investițiile în asigurarea îndeplinirii standardelor necesare obținerii autorizațiilor de funcționare, îmbunătățirea standardelor sanitare și de siguranță pentru elevi și profesori. </w:t>
            </w:r>
          </w:p>
          <w:p w:rsidR="00BC7338" w:rsidRPr="006A05D1" w:rsidRDefault="00BC7338" w:rsidP="00BC7338">
            <w:pPr>
              <w:spacing w:after="0" w:line="240" w:lineRule="auto"/>
              <w:rPr>
                <w:rFonts w:ascii="Times New Roman" w:hAnsi="Times New Roman" w:cs="Times New Roman"/>
                <w:sz w:val="20"/>
                <w:szCs w:val="20"/>
              </w:rPr>
            </w:pPr>
            <w:r w:rsidRPr="006A05D1">
              <w:rPr>
                <w:rFonts w:ascii="Times New Roman" w:hAnsi="Times New Roman" w:cs="Times New Roman"/>
                <w:sz w:val="20"/>
                <w:szCs w:val="20"/>
                <w:lang w:val="en-US"/>
              </w:rPr>
              <w:t xml:space="preserve">Creșterea calitatății și relevanței mediilor de învățare pentru procesul de învățare și piața muncii, inclusiv învățământ la distanță și online </w:t>
            </w:r>
            <w:r w:rsidRPr="006A05D1">
              <w:rPr>
                <w:rFonts w:ascii="Times New Roman" w:eastAsia="Times New Roman" w:hAnsi="Times New Roman" w:cs="Times New Roman"/>
                <w:sz w:val="20"/>
                <w:szCs w:val="20"/>
              </w:rPr>
              <w:t xml:space="preserve">prin dotarea unităților de învățământ cu biblioteci, laboratoare, spații de recreere, la nivelul standardelor reglementate prin legislația în vigoare inclusiv </w:t>
            </w:r>
            <w:r w:rsidRPr="006A05D1">
              <w:rPr>
                <w:rFonts w:ascii="Times New Roman" w:hAnsi="Times New Roman" w:cs="Times New Roman"/>
                <w:sz w:val="20"/>
                <w:szCs w:val="20"/>
              </w:rPr>
              <w:t>crearea condițiilor pentru educația on-line în școlile din Regiunea Centr</w:t>
            </w:r>
            <w:r w:rsidR="006A05D1">
              <w:rPr>
                <w:rFonts w:ascii="Times New Roman" w:hAnsi="Times New Roman" w:cs="Times New Roman"/>
                <w:sz w:val="20"/>
                <w:szCs w:val="20"/>
              </w:rPr>
              <w:t xml:space="preserve">u. </w:t>
            </w:r>
            <w:r w:rsidRPr="006A05D1">
              <w:rPr>
                <w:rFonts w:ascii="Times New Roman" w:hAnsi="Times New Roman" w:cs="Times New Roman"/>
                <w:sz w:val="20"/>
                <w:szCs w:val="20"/>
              </w:rPr>
              <w:t>Formare profesională și învățământ terțiar adaptat nevoilor actuale le pieței muncii</w:t>
            </w:r>
          </w:p>
          <w:p w:rsidR="00BC7338" w:rsidRPr="002F688F" w:rsidRDefault="00BC7338" w:rsidP="00BC7338">
            <w:pPr>
              <w:tabs>
                <w:tab w:val="left" w:pos="1440"/>
              </w:tabs>
              <w:spacing w:after="0" w:line="240" w:lineRule="auto"/>
              <w:rPr>
                <w:rFonts w:ascii="Times New Roman" w:hAnsi="Times New Roman" w:cs="Times New Roman"/>
                <w:sz w:val="20"/>
                <w:szCs w:val="20"/>
              </w:rPr>
            </w:pPr>
            <w:r w:rsidRPr="006A05D1">
              <w:rPr>
                <w:rFonts w:ascii="Times New Roman" w:hAnsi="Times New Roman" w:cs="Times New Roman"/>
                <w:sz w:val="20"/>
                <w:szCs w:val="20"/>
              </w:rPr>
              <w:t xml:space="preserve">Creșterea relevanței educației și formării profesionale pentru piața muncii are în vedere cel puțin două aspecte în actualul program operațional: dotarea atelierelor școală, laboratoarelor altor facilități care au ca scop formarea și pregătirea practică a elevilor și studenților și echiparea unităților din învățământul profesional și tehnic și universități cu echipamente moderne; dezvoltarea competențelor cheie în acord cu cerințele pieței. </w:t>
            </w:r>
          </w:p>
        </w:tc>
      </w:tr>
      <w:tr w:rsidR="00BC7338" w:rsidRPr="00F000AD" w:rsidTr="00A5682B">
        <w:tc>
          <w:tcPr>
            <w:tcW w:w="635" w:type="pct"/>
            <w:tcBorders>
              <w:top w:val="single" w:sz="4" w:space="0" w:color="auto"/>
              <w:left w:val="single" w:sz="4" w:space="0" w:color="auto"/>
              <w:bottom w:val="single" w:sz="4" w:space="0" w:color="auto"/>
              <w:right w:val="single" w:sz="4" w:space="0" w:color="auto"/>
            </w:tcBorders>
          </w:tcPr>
          <w:p w:rsidR="00BC7338" w:rsidRPr="00CC0D42" w:rsidRDefault="00BC7338" w:rsidP="00BC7338">
            <w:pPr>
              <w:spacing w:after="0" w:line="240" w:lineRule="auto"/>
              <w:rPr>
                <w:rFonts w:eastAsia="Times New Roman"/>
                <w:b/>
                <w:iCs/>
                <w:noProof/>
                <w:sz w:val="20"/>
                <w:lang w:val="en-US"/>
              </w:rPr>
            </w:pPr>
          </w:p>
        </w:tc>
        <w:tc>
          <w:tcPr>
            <w:tcW w:w="841" w:type="pct"/>
            <w:tcBorders>
              <w:top w:val="single" w:sz="4" w:space="0" w:color="auto"/>
              <w:left w:val="single" w:sz="4" w:space="0" w:color="auto"/>
              <w:bottom w:val="single" w:sz="4" w:space="0" w:color="auto"/>
              <w:right w:val="single" w:sz="4" w:space="0" w:color="auto"/>
            </w:tcBorders>
          </w:tcPr>
          <w:p w:rsidR="00BC7338" w:rsidRPr="00054FC4" w:rsidRDefault="00BC7338" w:rsidP="00BC7338">
            <w:pPr>
              <w:spacing w:after="0" w:line="240" w:lineRule="auto"/>
              <w:rPr>
                <w:rFonts w:ascii="Times New Roman" w:hAnsi="Times New Roman" w:cs="Times New Roman"/>
                <w:i/>
                <w:sz w:val="20"/>
                <w:szCs w:val="20"/>
              </w:rPr>
            </w:pPr>
            <w:r>
              <w:rPr>
                <w:rFonts w:ascii="Times New Roman" w:hAnsi="Times New Roman" w:cs="Times New Roman"/>
                <w:i/>
                <w:noProof/>
              </w:rPr>
              <w:t>d</w:t>
            </w:r>
            <w:r w:rsidRPr="00054FC4">
              <w:rPr>
                <w:rFonts w:ascii="Times New Roman" w:hAnsi="Times New Roman" w:cs="Times New Roman"/>
                <w:i/>
                <w:noProof/>
              </w:rPr>
              <w:t xml:space="preserve">(v) </w:t>
            </w:r>
            <w:r>
              <w:rPr>
                <w:rFonts w:ascii="Times New Roman" w:hAnsi="Times New Roman" w:cs="Times New Roman"/>
                <w:i/>
                <w:noProof/>
              </w:rPr>
              <w:t>Creșterea rolului culturii și turismului în dezvoltarea economică, incluziunea socială și inovarea socială</w:t>
            </w:r>
            <w:r w:rsidRPr="00054FC4">
              <w:rPr>
                <w:rFonts w:ascii="Times New Roman" w:hAnsi="Times New Roman" w:cs="Times New Roman"/>
                <w:i/>
                <w:noProof/>
              </w:rPr>
              <w:t>;</w:t>
            </w:r>
          </w:p>
        </w:tc>
        <w:tc>
          <w:tcPr>
            <w:tcW w:w="3524" w:type="pct"/>
            <w:tcBorders>
              <w:top w:val="single" w:sz="4" w:space="0" w:color="auto"/>
              <w:left w:val="single" w:sz="4" w:space="0" w:color="auto"/>
              <w:bottom w:val="single" w:sz="4" w:space="0" w:color="auto"/>
              <w:right w:val="single" w:sz="4" w:space="0" w:color="auto"/>
            </w:tcBorders>
          </w:tcPr>
          <w:p w:rsidR="00BC7338" w:rsidRPr="000A0CC7" w:rsidRDefault="00BC7338" w:rsidP="000A0CC7">
            <w:pPr>
              <w:pStyle w:val="Frspaiere"/>
              <w:jc w:val="both"/>
              <w:rPr>
                <w:rFonts w:ascii="Times New Roman" w:hAnsi="Times New Roman" w:cs="Times New Roman"/>
                <w:sz w:val="20"/>
                <w:szCs w:val="20"/>
              </w:rPr>
            </w:pPr>
            <w:r w:rsidRPr="000A0CC7">
              <w:rPr>
                <w:rFonts w:ascii="Times New Roman" w:hAnsi="Times New Roman" w:cs="Times New Roman"/>
                <w:sz w:val="20"/>
                <w:szCs w:val="20"/>
              </w:rPr>
              <w:t>Prin acest obiectiv specific ne propunem să contribuim la creșterea incluziunii sociale a copiilor și tinerilor din grupuri și comunități defavorizate, acționând asupra creșterii calității infrastructurii și programelor de educație formală și non-formală derulate prin centrele de agreement din</w:t>
            </w:r>
            <w:r w:rsidRPr="000A0CC7">
              <w:rPr>
                <w:rFonts w:ascii="Times New Roman" w:hAnsi="Times New Roman" w:cs="Times New Roman"/>
                <w:sz w:val="20"/>
                <w:szCs w:val="20"/>
                <w:lang w:val="ro-RO"/>
              </w:rPr>
              <w:t xml:space="preserve"> Regiunea Centru.  </w:t>
            </w:r>
          </w:p>
          <w:p w:rsidR="00BC7338" w:rsidRPr="000A0CC7" w:rsidRDefault="00BC7338" w:rsidP="000A0CC7">
            <w:pPr>
              <w:autoSpaceDE w:val="0"/>
              <w:autoSpaceDN w:val="0"/>
              <w:adjustRightInd w:val="0"/>
              <w:spacing w:after="0" w:line="240" w:lineRule="auto"/>
              <w:jc w:val="both"/>
              <w:rPr>
                <w:rFonts w:ascii="Times New Roman" w:hAnsi="Times New Roman" w:cs="Times New Roman"/>
                <w:sz w:val="20"/>
                <w:szCs w:val="20"/>
                <w:lang w:val="en-US"/>
              </w:rPr>
            </w:pPr>
            <w:r w:rsidRPr="000A0CC7">
              <w:rPr>
                <w:rFonts w:ascii="Times New Roman" w:hAnsi="Times New Roman" w:cs="Times New Roman"/>
                <w:sz w:val="20"/>
                <w:szCs w:val="20"/>
                <w:lang w:val="en-US"/>
              </w:rPr>
              <w:t>Centrele de Agrement reprezintă principalul element de infrastructură pe care MTS și autoritățile locale/județene îl au la dispoziție pentru dezvoltarea și implementarea politicii naționale de tineret, inclusiv organizarea de proiecte de tineret (învățare nonformală pentru organizații de tineret și pentru tineri) și organizarea de tabere (ca formă de organizare a activităților complexe de învățare nonformală și agrement pentru tineri).</w:t>
            </w:r>
          </w:p>
          <w:p w:rsidR="00BC7338" w:rsidRPr="000A0CC7" w:rsidRDefault="00BC7338" w:rsidP="000A0CC7">
            <w:pPr>
              <w:pStyle w:val="Frspaiere"/>
              <w:jc w:val="both"/>
              <w:rPr>
                <w:rFonts w:ascii="Times New Roman" w:hAnsi="Times New Roman" w:cs="Times New Roman"/>
                <w:sz w:val="20"/>
                <w:szCs w:val="20"/>
              </w:rPr>
            </w:pPr>
            <w:r w:rsidRPr="000A0CC7">
              <w:rPr>
                <w:rFonts w:ascii="Times New Roman" w:hAnsi="Times New Roman" w:cs="Times New Roman"/>
                <w:sz w:val="20"/>
                <w:szCs w:val="20"/>
              </w:rPr>
              <w:t>Tinerii și copiii reprezintă categorii sociale vulnerabile, iar serviciile oferite în centrele MTS, atât cele de agrement/ tabără, cât și acelea care promovează educația nonformală au avantajul accesibilității financiare. Totodată, este esențial ca aceste servicii să se furnizeze în condiții de siguranță deplină, dar și să respecte standarde de calitate, în special având în vedere sutele de mii de copii și tineri care le sunt beneficiari în fiecare an. În acest context, reabilitarea și/ sau reamenajarea centrelor de agrement ale MTS / autorităților locale va crește considerabil impactul calitativ al serviciilor oferite și implicit numărul potențialilor beneficiari.</w:t>
            </w:r>
          </w:p>
          <w:p w:rsidR="00BC7338" w:rsidRPr="000A0CC7" w:rsidRDefault="00BC7338" w:rsidP="000A0CC7">
            <w:pPr>
              <w:pStyle w:val="Frspaiere"/>
              <w:jc w:val="both"/>
              <w:rPr>
                <w:rFonts w:ascii="Times New Roman" w:hAnsi="Times New Roman" w:cs="Times New Roman"/>
                <w:sz w:val="20"/>
                <w:szCs w:val="20"/>
                <w:lang w:val="ro-RO"/>
              </w:rPr>
            </w:pPr>
            <w:r w:rsidRPr="000A0CC7">
              <w:rPr>
                <w:rFonts w:ascii="Times New Roman" w:hAnsi="Times New Roman" w:cs="Times New Roman"/>
                <w:sz w:val="20"/>
                <w:szCs w:val="20"/>
                <w:lang w:val="ro-RO"/>
              </w:rPr>
              <w:t>Dintr-un număr total de 88</w:t>
            </w:r>
            <w:r w:rsidRPr="000A0CC7">
              <w:rPr>
                <w:rStyle w:val="Referinnotdesubsol"/>
                <w:rFonts w:ascii="Times New Roman" w:hAnsi="Times New Roman" w:cs="Times New Roman"/>
                <w:sz w:val="20"/>
                <w:szCs w:val="20"/>
                <w:lang w:val="ro-RO"/>
              </w:rPr>
              <w:footnoteReference w:id="19"/>
            </w:r>
            <w:r w:rsidRPr="000A0CC7">
              <w:rPr>
                <w:rFonts w:ascii="Times New Roman" w:hAnsi="Times New Roman" w:cs="Times New Roman"/>
                <w:sz w:val="20"/>
                <w:szCs w:val="20"/>
                <w:lang w:val="ro-RO"/>
              </w:rPr>
              <w:t xml:space="preserve"> de Centre de Agrement/ Baze turistice pentru tineret funcționale la nivel național (din 147 existente), la nivelul Regiunii Centru se regăsesc 14 centre, ceea ce reprezintă un procent de 16% din numărul total.</w:t>
            </w:r>
          </w:p>
          <w:p w:rsidR="00BC7338" w:rsidRPr="000A0CC7" w:rsidRDefault="00BC7338" w:rsidP="005C75DF">
            <w:pPr>
              <w:autoSpaceDE w:val="0"/>
              <w:autoSpaceDN w:val="0"/>
              <w:adjustRightInd w:val="0"/>
              <w:spacing w:after="0" w:line="240" w:lineRule="auto"/>
              <w:jc w:val="both"/>
              <w:rPr>
                <w:rFonts w:ascii="Times New Roman" w:hAnsi="Times New Roman" w:cs="Times New Roman"/>
                <w:sz w:val="20"/>
                <w:szCs w:val="20"/>
              </w:rPr>
            </w:pPr>
            <w:r w:rsidRPr="000A0CC7">
              <w:rPr>
                <w:rFonts w:ascii="Times New Roman" w:hAnsi="Times New Roman" w:cs="Times New Roman"/>
                <w:sz w:val="20"/>
                <w:szCs w:val="20"/>
                <w:lang w:val="en-US"/>
              </w:rPr>
              <w:t xml:space="preserve">Infrastructura centrelor de agrement necesită investiții pentru creșterea calității serviciilor de cazare și masă oferite copiilor și tinerilor, beneficiari ai taberelor școlare, dar și pentru creșterea calității serviciilor oferite prin diversificarea paletei de activități educaționale și recreative pe care le oferă copiilor și tinerilor.  </w:t>
            </w:r>
          </w:p>
        </w:tc>
      </w:tr>
      <w:tr w:rsidR="00BC7338" w:rsidRPr="00F000AD" w:rsidTr="00A5682B">
        <w:tc>
          <w:tcPr>
            <w:tcW w:w="635" w:type="pct"/>
            <w:vMerge w:val="restart"/>
            <w:tcBorders>
              <w:top w:val="single" w:sz="4" w:space="0" w:color="auto"/>
              <w:left w:val="single" w:sz="4" w:space="0" w:color="auto"/>
              <w:right w:val="single" w:sz="4" w:space="0" w:color="auto"/>
            </w:tcBorders>
          </w:tcPr>
          <w:p w:rsidR="00BC7338" w:rsidRPr="001D437C" w:rsidRDefault="00BC7338" w:rsidP="00BC7338">
            <w:pPr>
              <w:pStyle w:val="Listparagraf"/>
              <w:numPr>
                <w:ilvl w:val="0"/>
                <w:numId w:val="58"/>
              </w:numPr>
              <w:spacing w:before="0" w:after="0" w:line="240" w:lineRule="auto"/>
              <w:ind w:left="162" w:hanging="180"/>
              <w:rPr>
                <w:rFonts w:eastAsia="Times New Roman"/>
                <w:b/>
                <w:iCs/>
                <w:noProof/>
                <w:sz w:val="20"/>
                <w:szCs w:val="20"/>
                <w:lang w:val="en-US"/>
              </w:rPr>
            </w:pPr>
            <w:r w:rsidRPr="001D437C">
              <w:rPr>
                <w:rFonts w:eastAsia="Times New Roman"/>
                <w:b/>
                <w:iCs/>
                <w:noProof/>
                <w:sz w:val="20"/>
                <w:szCs w:val="20"/>
                <w:lang w:val="en-US"/>
              </w:rPr>
              <w:t>O Europă mai aproape de cetățeni</w:t>
            </w:r>
          </w:p>
        </w:tc>
        <w:tc>
          <w:tcPr>
            <w:tcW w:w="841" w:type="pct"/>
            <w:tcBorders>
              <w:top w:val="single" w:sz="4" w:space="0" w:color="auto"/>
              <w:left w:val="single" w:sz="4" w:space="0" w:color="auto"/>
              <w:bottom w:val="single" w:sz="4" w:space="0" w:color="auto"/>
              <w:right w:val="single" w:sz="4" w:space="0" w:color="auto"/>
            </w:tcBorders>
          </w:tcPr>
          <w:p w:rsidR="00BC7338" w:rsidRPr="001D437C" w:rsidRDefault="00BC7338" w:rsidP="00BC7338">
            <w:pPr>
              <w:spacing w:after="0" w:line="240" w:lineRule="auto"/>
              <w:rPr>
                <w:rFonts w:ascii="Times New Roman" w:hAnsi="Times New Roman" w:cs="Times New Roman"/>
                <w:i/>
                <w:sz w:val="20"/>
                <w:szCs w:val="20"/>
              </w:rPr>
            </w:pPr>
            <w:r w:rsidRPr="001D437C">
              <w:rPr>
                <w:rFonts w:ascii="Times New Roman" w:hAnsi="Times New Roman" w:cs="Times New Roman"/>
                <w:i/>
                <w:sz w:val="20"/>
                <w:szCs w:val="20"/>
              </w:rPr>
              <w:t xml:space="preserve">e (i) favorizarea dezvoltării integrate sociale, economice și de mediu la nivel local și a patrimoniului cultural, turismului și securității în </w:t>
            </w:r>
            <w:r w:rsidRPr="001D437C">
              <w:rPr>
                <w:rFonts w:ascii="Times New Roman" w:hAnsi="Times New Roman" w:cs="Times New Roman"/>
                <w:b/>
                <w:i/>
                <w:sz w:val="20"/>
                <w:szCs w:val="20"/>
                <w:u w:val="single"/>
              </w:rPr>
              <w:t>zonele urbane;</w:t>
            </w:r>
          </w:p>
        </w:tc>
        <w:tc>
          <w:tcPr>
            <w:tcW w:w="3524" w:type="pct"/>
            <w:tcBorders>
              <w:top w:val="single" w:sz="4" w:space="0" w:color="auto"/>
              <w:left w:val="single" w:sz="4" w:space="0" w:color="auto"/>
              <w:bottom w:val="single" w:sz="4" w:space="0" w:color="auto"/>
              <w:right w:val="single" w:sz="4" w:space="0" w:color="auto"/>
            </w:tcBorders>
          </w:tcPr>
          <w:p w:rsidR="00002D81" w:rsidRPr="000945A6" w:rsidRDefault="00002D81" w:rsidP="000A0CC7">
            <w:pPr>
              <w:spacing w:after="0" w:line="240" w:lineRule="auto"/>
              <w:jc w:val="both"/>
              <w:rPr>
                <w:rFonts w:ascii="Times New Roman" w:eastAsia="Times New Roman" w:hAnsi="Times New Roman" w:cs="Times New Roman"/>
                <w:iCs/>
                <w:noProof/>
                <w:sz w:val="20"/>
                <w:szCs w:val="20"/>
              </w:rPr>
            </w:pPr>
            <w:r>
              <w:rPr>
                <w:rFonts w:ascii="Times New Roman" w:eastAsia="Times New Roman" w:hAnsi="Times New Roman" w:cs="Times New Roman"/>
                <w:iCs/>
                <w:noProof/>
                <w:sz w:val="20"/>
                <w:szCs w:val="20"/>
              </w:rPr>
              <w:t>PDR</w:t>
            </w:r>
            <w:r w:rsidRPr="000945A6">
              <w:rPr>
                <w:rFonts w:ascii="Times New Roman" w:eastAsia="Times New Roman" w:hAnsi="Times New Roman" w:cs="Times New Roman"/>
                <w:iCs/>
                <w:noProof/>
                <w:sz w:val="20"/>
                <w:szCs w:val="20"/>
              </w:rPr>
              <w:t xml:space="preserve"> Centru 2021-2027 </w:t>
            </w:r>
            <w:r w:rsidR="006A05D1">
              <w:rPr>
                <w:rFonts w:ascii="Times New Roman" w:eastAsia="Times New Roman" w:hAnsi="Times New Roman" w:cs="Times New Roman"/>
                <w:iCs/>
                <w:noProof/>
                <w:sz w:val="20"/>
                <w:szCs w:val="20"/>
              </w:rPr>
              <w:t>DS</w:t>
            </w:r>
            <w:r w:rsidRPr="000945A6">
              <w:rPr>
                <w:rFonts w:ascii="Times New Roman" w:eastAsia="Times New Roman" w:hAnsi="Times New Roman" w:cs="Times New Roman"/>
                <w:iCs/>
                <w:noProof/>
                <w:sz w:val="20"/>
                <w:szCs w:val="20"/>
              </w:rPr>
              <w:t>5, vizează conservarea, restaurarea și punerea în valoare a patrimoniului cultural-istoric, valorificarea patrimoniului turistic natural și creșterea utilizării potențialului balnear, modernizarea și extinderea infrastructurii turistice pentru tineret și reabilitarea spațiilor cu destinație culturală, dezvoltarea infrastructurii culturale inovatoare, precum şi îmbunătățirea accesibilității zonelor turistice.</w:t>
            </w:r>
          </w:p>
          <w:p w:rsidR="00555C9D" w:rsidRPr="006175F5" w:rsidRDefault="00555C9D" w:rsidP="000A0CC7">
            <w:pPr>
              <w:spacing w:after="0" w:line="240" w:lineRule="auto"/>
              <w:jc w:val="both"/>
              <w:rPr>
                <w:rFonts w:ascii="Times New Roman" w:hAnsi="Times New Roman" w:cs="Times New Roman"/>
                <w:bCs/>
                <w:sz w:val="20"/>
                <w:szCs w:val="20"/>
              </w:rPr>
            </w:pPr>
            <w:r w:rsidRPr="006175F5">
              <w:rPr>
                <w:rFonts w:ascii="Times New Roman" w:hAnsi="Times New Roman" w:cs="Times New Roman"/>
                <w:bCs/>
                <w:sz w:val="20"/>
                <w:szCs w:val="20"/>
              </w:rPr>
              <w:t xml:space="preserve">Conform </w:t>
            </w:r>
            <w:r w:rsidR="006A05D1">
              <w:rPr>
                <w:rFonts w:ascii="Times New Roman" w:hAnsi="Times New Roman" w:cs="Times New Roman"/>
                <w:bCs/>
                <w:sz w:val="20"/>
                <w:szCs w:val="20"/>
              </w:rPr>
              <w:t>PATN</w:t>
            </w:r>
            <w:r w:rsidRPr="006175F5">
              <w:rPr>
                <w:rFonts w:ascii="Times New Roman" w:hAnsi="Times New Roman" w:cs="Times New Roman"/>
                <w:bCs/>
                <w:sz w:val="20"/>
                <w:szCs w:val="20"/>
              </w:rPr>
              <w:t xml:space="preserve"> Secțiunea a VIII-a Zone cu resurse turistice, în Regiunea Centru există 288 de </w:t>
            </w:r>
            <w:r w:rsidR="006A05D1">
              <w:rPr>
                <w:rFonts w:ascii="Times New Roman" w:hAnsi="Times New Roman" w:cs="Times New Roman"/>
                <w:bCs/>
                <w:sz w:val="20"/>
                <w:szCs w:val="20"/>
              </w:rPr>
              <w:t>UAT</w:t>
            </w:r>
            <w:r w:rsidRPr="006175F5">
              <w:rPr>
                <w:rFonts w:ascii="Times New Roman" w:hAnsi="Times New Roman" w:cs="Times New Roman"/>
                <w:bCs/>
                <w:sz w:val="20"/>
                <w:szCs w:val="20"/>
              </w:rPr>
              <w:t xml:space="preserve"> care beneficiază de resurse naturale și antropice mari și foarte mari, dar 199 dintre acestea se confruntă cu probleme ale infrastructurii turistice și 120 cu probleme ale infrastructurii tehnice.</w:t>
            </w:r>
          </w:p>
          <w:p w:rsidR="00555C9D" w:rsidRPr="006175F5" w:rsidRDefault="00555C9D" w:rsidP="000A0CC7">
            <w:pPr>
              <w:spacing w:after="0" w:line="240" w:lineRule="auto"/>
              <w:jc w:val="both"/>
              <w:rPr>
                <w:rFonts w:ascii="Times New Roman" w:hAnsi="Times New Roman" w:cs="Times New Roman"/>
                <w:bCs/>
                <w:sz w:val="20"/>
                <w:szCs w:val="20"/>
              </w:rPr>
            </w:pPr>
            <w:r w:rsidRPr="006175F5">
              <w:rPr>
                <w:rFonts w:ascii="Times New Roman" w:hAnsi="Times New Roman" w:cs="Times New Roman"/>
                <w:bCs/>
                <w:sz w:val="20"/>
                <w:szCs w:val="20"/>
              </w:rPr>
              <w:t xml:space="preserve">Potrivit </w:t>
            </w:r>
            <w:r w:rsidR="006A05D1">
              <w:rPr>
                <w:rFonts w:ascii="Times New Roman" w:hAnsi="Times New Roman" w:cs="Times New Roman"/>
                <w:bCs/>
                <w:sz w:val="20"/>
                <w:szCs w:val="20"/>
              </w:rPr>
              <w:t xml:space="preserve">SNCP </w:t>
            </w:r>
            <w:r w:rsidRPr="006175F5">
              <w:rPr>
                <w:rFonts w:ascii="Times New Roman" w:hAnsi="Times New Roman" w:cs="Times New Roman"/>
                <w:bCs/>
                <w:sz w:val="20"/>
                <w:szCs w:val="20"/>
              </w:rPr>
              <w:t xml:space="preserve">2016-2022, doar 16% din totalul monumentelor se află în condiţie medie, bună sau foarte bună, în timp ce 38% se află în stare proastă, 3% s-au prăbuşit (sau sunt aproape deteriorate), iar </w:t>
            </w:r>
            <w:r w:rsidR="006A05D1" w:rsidRPr="006175F5">
              <w:rPr>
                <w:rFonts w:ascii="Times New Roman" w:hAnsi="Times New Roman" w:cs="Times New Roman"/>
                <w:bCs/>
                <w:sz w:val="20"/>
                <w:szCs w:val="20"/>
              </w:rPr>
              <w:t>43%</w:t>
            </w:r>
            <w:r w:rsidRPr="006175F5">
              <w:rPr>
                <w:rFonts w:ascii="Times New Roman" w:hAnsi="Times New Roman" w:cs="Times New Roman"/>
                <w:bCs/>
                <w:sz w:val="20"/>
                <w:szCs w:val="20"/>
              </w:rPr>
              <w:t xml:space="preserve"> rămâne în continuare neinventariat, din punctul de vedere al stării de conservare</w:t>
            </w:r>
            <w:r w:rsidR="00175451">
              <w:rPr>
                <w:rFonts w:ascii="Times New Roman" w:hAnsi="Times New Roman" w:cs="Times New Roman"/>
                <w:bCs/>
                <w:sz w:val="20"/>
                <w:szCs w:val="20"/>
              </w:rPr>
              <w:t>.</w:t>
            </w:r>
            <w:r w:rsidRPr="006175F5">
              <w:rPr>
                <w:rFonts w:ascii="Times New Roman" w:hAnsi="Times New Roman" w:cs="Times New Roman"/>
                <w:bCs/>
                <w:sz w:val="20"/>
                <w:szCs w:val="20"/>
              </w:rPr>
              <w:t xml:space="preserve"> </w:t>
            </w:r>
          </w:p>
          <w:p w:rsidR="00555C9D" w:rsidRPr="006175F5" w:rsidRDefault="00555C9D" w:rsidP="000A0CC7">
            <w:pPr>
              <w:spacing w:after="0" w:line="240" w:lineRule="auto"/>
              <w:jc w:val="both"/>
              <w:rPr>
                <w:rFonts w:ascii="Times New Roman" w:hAnsi="Times New Roman" w:cs="Times New Roman"/>
                <w:bCs/>
                <w:sz w:val="20"/>
                <w:szCs w:val="20"/>
              </w:rPr>
            </w:pPr>
            <w:r w:rsidRPr="006175F5">
              <w:rPr>
                <w:rFonts w:ascii="Times New Roman" w:hAnsi="Times New Roman" w:cs="Times New Roman"/>
                <w:bCs/>
                <w:sz w:val="20"/>
                <w:szCs w:val="20"/>
              </w:rPr>
              <w:t xml:space="preserve">Dezvoltarea inegală a turismului în interiorul regiunii, în condițiile în care avem un potențial turistic ridicat în toate cele șase județe ale regiunii, este edificatoare </w:t>
            </w:r>
            <w:r w:rsidRPr="006175F5">
              <w:rPr>
                <w:rFonts w:ascii="Times New Roman" w:hAnsi="Times New Roman" w:cs="Times New Roman"/>
                <w:bCs/>
                <w:sz w:val="20"/>
                <w:szCs w:val="20"/>
              </w:rPr>
              <w:lastRenderedPageBreak/>
              <w:t>pentru a arăta importanța aplicării unor strategii de stimulare a turismului care includ toate aspectele ce concură la dezvoltarea acestui domeniu.</w:t>
            </w:r>
          </w:p>
          <w:p w:rsidR="00555C9D" w:rsidRPr="006175F5" w:rsidRDefault="00555C9D" w:rsidP="000A0CC7">
            <w:pPr>
              <w:spacing w:after="0" w:line="240" w:lineRule="auto"/>
              <w:jc w:val="both"/>
              <w:rPr>
                <w:rFonts w:ascii="Times New Roman" w:hAnsi="Times New Roman" w:cs="Times New Roman"/>
                <w:bCs/>
                <w:sz w:val="20"/>
                <w:szCs w:val="20"/>
              </w:rPr>
            </w:pPr>
            <w:r w:rsidRPr="006175F5">
              <w:rPr>
                <w:rFonts w:ascii="Times New Roman" w:hAnsi="Times New Roman" w:cs="Times New Roman"/>
                <w:bCs/>
                <w:sz w:val="20"/>
                <w:szCs w:val="20"/>
              </w:rPr>
              <w:t xml:space="preserve">În Regiunea Centru doar 6 stațiuni balneoclimatice au fost acreditate, un număr mic în comparație cu cele 40 localități în care există resurse balneare atestate. </w:t>
            </w:r>
          </w:p>
          <w:p w:rsidR="00555C9D" w:rsidRPr="006175F5" w:rsidRDefault="00555C9D" w:rsidP="000A0CC7">
            <w:pPr>
              <w:spacing w:after="0" w:line="240" w:lineRule="auto"/>
              <w:jc w:val="both"/>
              <w:rPr>
                <w:rFonts w:ascii="Times New Roman" w:hAnsi="Times New Roman" w:cs="Times New Roman"/>
                <w:sz w:val="20"/>
                <w:szCs w:val="20"/>
                <w:lang w:val="en-US"/>
              </w:rPr>
            </w:pPr>
            <w:r w:rsidRPr="006175F5">
              <w:rPr>
                <w:rFonts w:ascii="Times New Roman" w:hAnsi="Times New Roman" w:cs="Times New Roman"/>
                <w:sz w:val="20"/>
                <w:szCs w:val="20"/>
                <w:lang w:val="en-US"/>
              </w:rPr>
              <w:t>Unul din domeniile care sprijină dezvoltarea locală este cultura, aceasta fiind un instrument de revitalizare socială și economică</w:t>
            </w:r>
            <w:r w:rsidR="00175451">
              <w:rPr>
                <w:rFonts w:ascii="Times New Roman" w:hAnsi="Times New Roman" w:cs="Times New Roman"/>
                <w:sz w:val="20"/>
                <w:szCs w:val="20"/>
                <w:lang w:val="en-US"/>
              </w:rPr>
              <w:t>, jucând</w:t>
            </w:r>
            <w:r w:rsidRPr="006175F5">
              <w:rPr>
                <w:rFonts w:ascii="Times New Roman" w:hAnsi="Times New Roman" w:cs="Times New Roman"/>
                <w:sz w:val="20"/>
                <w:szCs w:val="20"/>
                <w:lang w:val="en-US"/>
              </w:rPr>
              <w:t xml:space="preserve"> un rol important în protejarea și promovarea identităților culturale și în susținerea creativității. </w:t>
            </w:r>
          </w:p>
          <w:p w:rsidR="00555C9D" w:rsidRPr="006175F5" w:rsidRDefault="00555C9D" w:rsidP="000A0CC7">
            <w:pPr>
              <w:spacing w:after="0" w:line="240" w:lineRule="auto"/>
              <w:jc w:val="both"/>
              <w:rPr>
                <w:rFonts w:ascii="Times New Roman" w:hAnsi="Times New Roman" w:cs="Times New Roman"/>
                <w:sz w:val="20"/>
                <w:szCs w:val="20"/>
                <w:lang w:val="en-US"/>
              </w:rPr>
            </w:pPr>
            <w:r w:rsidRPr="006175F5">
              <w:rPr>
                <w:rFonts w:ascii="Times New Roman" w:hAnsi="Times New Roman" w:cs="Times New Roman"/>
                <w:sz w:val="20"/>
                <w:szCs w:val="20"/>
                <w:lang w:val="en-US"/>
              </w:rPr>
              <w:t xml:space="preserve">Majoritatea clădirilor și spațiilor destinate activităților culturale din Regiune, fie că este vorba de muzee, galerii de artă, săli de spectacol sau cinematografe, au o vechime considerabilă, </w:t>
            </w:r>
            <w:r w:rsidR="00175451">
              <w:rPr>
                <w:rFonts w:ascii="Times New Roman" w:hAnsi="Times New Roman" w:cs="Times New Roman"/>
                <w:sz w:val="20"/>
                <w:szCs w:val="20"/>
                <w:lang w:val="en-US"/>
              </w:rPr>
              <w:t>și</w:t>
            </w:r>
            <w:r w:rsidR="00175451" w:rsidRPr="006175F5">
              <w:rPr>
                <w:rFonts w:ascii="Times New Roman" w:hAnsi="Times New Roman" w:cs="Times New Roman"/>
                <w:sz w:val="20"/>
                <w:szCs w:val="20"/>
                <w:lang w:val="en-US"/>
              </w:rPr>
              <w:t xml:space="preserve"> </w:t>
            </w:r>
            <w:r w:rsidRPr="006175F5">
              <w:rPr>
                <w:rFonts w:ascii="Times New Roman" w:hAnsi="Times New Roman" w:cs="Times New Roman"/>
                <w:sz w:val="20"/>
                <w:szCs w:val="20"/>
                <w:lang w:val="en-US"/>
              </w:rPr>
              <w:t>puține au reușit să fie reabilitate, modernizate și dotate corespunzător.</w:t>
            </w:r>
          </w:p>
          <w:p w:rsidR="00BC7338" w:rsidRPr="000A0CC7" w:rsidRDefault="00555C9D" w:rsidP="00175451">
            <w:pPr>
              <w:spacing w:after="0" w:line="240" w:lineRule="auto"/>
              <w:jc w:val="both"/>
              <w:rPr>
                <w:rFonts w:ascii="Times New Roman" w:hAnsi="Times New Roman" w:cs="Times New Roman"/>
                <w:sz w:val="20"/>
                <w:szCs w:val="20"/>
                <w:lang w:val="en-US"/>
              </w:rPr>
            </w:pPr>
            <w:r w:rsidRPr="006175F5">
              <w:rPr>
                <w:rFonts w:ascii="Times New Roman" w:hAnsi="Times New Roman" w:cs="Times New Roman"/>
                <w:sz w:val="20"/>
                <w:szCs w:val="20"/>
                <w:lang w:val="en-US"/>
              </w:rPr>
              <w:t>Având în vedere tendința de creștere rapidă și de diversificare a activităților culturale, pe lângă reabilitarea spațiilor actuale cu destinație culturală, va fi nevoie în unele centre urbane mari și mijlocii de crearea de noi spații/ clădiri multifuncționale care să servească mai bine noile nevoi de de</w:t>
            </w:r>
            <w:r w:rsidR="000A0CC7">
              <w:rPr>
                <w:rFonts w:ascii="Times New Roman" w:hAnsi="Times New Roman" w:cs="Times New Roman"/>
                <w:sz w:val="20"/>
                <w:szCs w:val="20"/>
                <w:lang w:val="en-US"/>
              </w:rPr>
              <w:t>zvoltare a sectorului cultural.</w:t>
            </w:r>
          </w:p>
        </w:tc>
      </w:tr>
      <w:tr w:rsidR="00BC7338" w:rsidRPr="00F000AD" w:rsidTr="00A5682B">
        <w:tc>
          <w:tcPr>
            <w:tcW w:w="635" w:type="pct"/>
            <w:vMerge/>
            <w:tcBorders>
              <w:left w:val="single" w:sz="4" w:space="0" w:color="auto"/>
              <w:bottom w:val="single" w:sz="4" w:space="0" w:color="auto"/>
              <w:right w:val="single" w:sz="4" w:space="0" w:color="auto"/>
            </w:tcBorders>
          </w:tcPr>
          <w:p w:rsidR="00BC7338" w:rsidRPr="001D437C" w:rsidRDefault="00BC7338" w:rsidP="00BC7338">
            <w:pPr>
              <w:pStyle w:val="Listparagraf"/>
              <w:numPr>
                <w:ilvl w:val="0"/>
                <w:numId w:val="58"/>
              </w:numPr>
              <w:spacing w:before="0" w:after="0" w:line="240" w:lineRule="auto"/>
              <w:ind w:left="162" w:hanging="180"/>
              <w:rPr>
                <w:rFonts w:eastAsia="Times New Roman"/>
                <w:b/>
                <w:iCs/>
                <w:noProof/>
                <w:sz w:val="20"/>
                <w:szCs w:val="20"/>
                <w:lang w:val="en-US"/>
              </w:rPr>
            </w:pPr>
          </w:p>
        </w:tc>
        <w:tc>
          <w:tcPr>
            <w:tcW w:w="841" w:type="pct"/>
            <w:tcBorders>
              <w:top w:val="single" w:sz="4" w:space="0" w:color="auto"/>
              <w:left w:val="single" w:sz="4" w:space="0" w:color="auto"/>
              <w:bottom w:val="single" w:sz="4" w:space="0" w:color="auto"/>
              <w:right w:val="single" w:sz="4" w:space="0" w:color="auto"/>
            </w:tcBorders>
          </w:tcPr>
          <w:p w:rsidR="00BC7338" w:rsidRPr="001D437C" w:rsidRDefault="00BC7338" w:rsidP="00BC7338">
            <w:pPr>
              <w:spacing w:after="0" w:line="240" w:lineRule="auto"/>
              <w:rPr>
                <w:rFonts w:ascii="Times New Roman" w:hAnsi="Times New Roman" w:cs="Times New Roman"/>
                <w:i/>
                <w:sz w:val="20"/>
                <w:szCs w:val="20"/>
              </w:rPr>
            </w:pPr>
            <w:r w:rsidRPr="001D437C">
              <w:rPr>
                <w:rFonts w:ascii="Times New Roman" w:hAnsi="Times New Roman" w:cs="Times New Roman"/>
                <w:i/>
                <w:sz w:val="20"/>
                <w:szCs w:val="20"/>
              </w:rPr>
              <w:t xml:space="preserve">e (i) favorizarea dezvoltării integrate sociale, economice și de mediu la nivel local și a patrimoniului cultural, turismului și securității </w:t>
            </w:r>
            <w:r w:rsidRPr="00D71D0A">
              <w:rPr>
                <w:rFonts w:cstheme="minorHAnsi"/>
              </w:rPr>
              <w:t>înafara  zonelor urbane</w:t>
            </w:r>
          </w:p>
        </w:tc>
        <w:tc>
          <w:tcPr>
            <w:tcW w:w="3524" w:type="pct"/>
            <w:tcBorders>
              <w:top w:val="single" w:sz="4" w:space="0" w:color="auto"/>
              <w:left w:val="single" w:sz="4" w:space="0" w:color="auto"/>
              <w:bottom w:val="single" w:sz="4" w:space="0" w:color="auto"/>
              <w:right w:val="single" w:sz="4" w:space="0" w:color="auto"/>
            </w:tcBorders>
          </w:tcPr>
          <w:p w:rsidR="00BC7338" w:rsidRPr="000A0CC7" w:rsidRDefault="00BC7338" w:rsidP="00BC7338">
            <w:pPr>
              <w:spacing w:after="0" w:line="240" w:lineRule="auto"/>
              <w:jc w:val="both"/>
              <w:rPr>
                <w:rFonts w:ascii="Times New Roman" w:eastAsia="Times New Roman" w:hAnsi="Times New Roman" w:cs="Times New Roman"/>
                <w:iCs/>
                <w:noProof/>
                <w:sz w:val="20"/>
                <w:szCs w:val="20"/>
              </w:rPr>
            </w:pPr>
            <w:r w:rsidRPr="000A0CC7">
              <w:rPr>
                <w:rFonts w:ascii="Times New Roman" w:eastAsia="Times New Roman" w:hAnsi="Times New Roman" w:cs="Times New Roman"/>
                <w:iCs/>
                <w:noProof/>
                <w:sz w:val="20"/>
                <w:szCs w:val="20"/>
              </w:rPr>
              <w:t>Majoritatea obiectivelor de patrimoniu de importanță UNESCO sau națională sunt situate în mediul rural.</w:t>
            </w:r>
          </w:p>
          <w:p w:rsidR="00BC7338" w:rsidRPr="000A0CC7" w:rsidRDefault="00BC7338" w:rsidP="00BC7338">
            <w:pPr>
              <w:spacing w:after="0" w:line="240" w:lineRule="auto"/>
              <w:jc w:val="both"/>
              <w:rPr>
                <w:rFonts w:ascii="Times New Roman" w:eastAsia="Times New Roman" w:hAnsi="Times New Roman" w:cs="Times New Roman"/>
                <w:iCs/>
                <w:noProof/>
                <w:sz w:val="20"/>
                <w:szCs w:val="20"/>
              </w:rPr>
            </w:pPr>
            <w:r w:rsidRPr="000A0CC7">
              <w:rPr>
                <w:rFonts w:ascii="Times New Roman" w:eastAsia="Times New Roman" w:hAnsi="Times New Roman" w:cs="Times New Roman"/>
                <w:iCs/>
                <w:noProof/>
                <w:sz w:val="20"/>
                <w:szCs w:val="20"/>
              </w:rPr>
              <w:t>De asemenea, în mediul rural se găsesc importante resurse balneare, iar zona montană de la nivel regional este situață în mare parte în mediul rural.</w:t>
            </w:r>
          </w:p>
          <w:p w:rsidR="00BC7338" w:rsidRPr="000A0CC7" w:rsidRDefault="00E26C49" w:rsidP="00BC7338">
            <w:pPr>
              <w:spacing w:after="0" w:line="240" w:lineRule="auto"/>
              <w:jc w:val="both"/>
              <w:rPr>
                <w:rFonts w:ascii="Times New Roman" w:eastAsia="Times New Roman" w:hAnsi="Times New Roman" w:cs="Times New Roman"/>
                <w:iCs/>
                <w:noProof/>
                <w:sz w:val="20"/>
                <w:szCs w:val="20"/>
              </w:rPr>
            </w:pPr>
            <w:r w:rsidRPr="000A0CC7">
              <w:rPr>
                <w:rFonts w:ascii="Times New Roman" w:hAnsi="Times New Roman" w:cs="Times New Roman"/>
                <w:sz w:val="20"/>
                <w:szCs w:val="20"/>
              </w:rPr>
              <w:t>Regiunea Centru are un potențial semnificativ în câteva subdomenii de turism alternativ precum turismul gastronomic, turismul viticol, turismul de aventură etc. Susținerea formelor de turism tematic și a celor de turism alternativ (turism gastronomic, viticol, cicloturism, turism de aventură etc) este una din m</w:t>
            </w:r>
            <w:r w:rsidR="00175451">
              <w:rPr>
                <w:rFonts w:ascii="Times New Roman" w:hAnsi="Times New Roman" w:cs="Times New Roman"/>
                <w:sz w:val="20"/>
                <w:szCs w:val="20"/>
              </w:rPr>
              <w:t>ă</w:t>
            </w:r>
            <w:r w:rsidRPr="000A0CC7">
              <w:rPr>
                <w:rFonts w:ascii="Times New Roman" w:hAnsi="Times New Roman" w:cs="Times New Roman"/>
                <w:sz w:val="20"/>
                <w:szCs w:val="20"/>
              </w:rPr>
              <w:t>surile propuse in cadrul PDR Centru 2021-2027.</w:t>
            </w:r>
          </w:p>
          <w:p w:rsidR="00BC7338" w:rsidRPr="009118EE" w:rsidRDefault="000B47F2" w:rsidP="00BC7338">
            <w:pPr>
              <w:spacing w:after="0" w:line="240" w:lineRule="auto"/>
              <w:jc w:val="both"/>
              <w:rPr>
                <w:rFonts w:ascii="Times New Roman" w:eastAsia="Times New Roman" w:hAnsi="Times New Roman" w:cs="Times New Roman"/>
                <w:b/>
                <w:iCs/>
                <w:noProof/>
                <w:sz w:val="20"/>
                <w:szCs w:val="20"/>
                <w:highlight w:val="yellow"/>
              </w:rPr>
            </w:pPr>
            <w:r w:rsidRPr="000A0CC7">
              <w:rPr>
                <w:rFonts w:ascii="Times New Roman" w:eastAsia="Times New Roman" w:hAnsi="Times New Roman" w:cs="Times New Roman"/>
                <w:iCs/>
                <w:noProof/>
                <w:sz w:val="20"/>
                <w:szCs w:val="20"/>
              </w:rPr>
              <w:t xml:space="preserve">Strategia Nationala pentru Dezvoltarea Durabila a Romaniei 2030, dar si  Master Planul pentru Dezvoltarea Turismului National 2007-2026 includ ca si prioritati dezvoltarea patrimoniului natural si ecoturismul. De asemenea se sustine dezvoltarea durabila a turismului intr-o maniera in care resursele de mediu, culturale si de patrimoniu sa fie apreciate in prezent si pastrate pentru generatiile viitoare </w:t>
            </w:r>
            <w:r w:rsidR="00E26C49" w:rsidRPr="000A0CC7">
              <w:rPr>
                <w:rFonts w:ascii="Times New Roman" w:eastAsia="Times New Roman" w:hAnsi="Times New Roman" w:cs="Times New Roman"/>
                <w:iCs/>
                <w:noProof/>
                <w:sz w:val="20"/>
                <w:szCs w:val="20"/>
              </w:rPr>
              <w:t>si recunoasterea turismului cafactor cheie in cadrul economiei</w:t>
            </w:r>
          </w:p>
        </w:tc>
      </w:tr>
    </w:tbl>
    <w:p w:rsidR="00F000AD" w:rsidRPr="00F000AD" w:rsidRDefault="00F000AD" w:rsidP="00F000AD">
      <w:pPr>
        <w:spacing w:before="120" w:after="120" w:line="360" w:lineRule="auto"/>
        <w:rPr>
          <w:rFonts w:ascii="Times New Roman" w:hAnsi="Times New Roman" w:cs="Times New Roman"/>
          <w:b/>
          <w:bCs/>
          <w:noProof/>
          <w:sz w:val="24"/>
          <w:lang w:val="en-GB"/>
        </w:rPr>
      </w:pPr>
      <w:r w:rsidRPr="00F000AD">
        <w:rPr>
          <w:rFonts w:ascii="Times New Roman" w:hAnsi="Times New Roman" w:cs="Times New Roman"/>
          <w:b/>
          <w:bCs/>
          <w:noProof/>
          <w:sz w:val="24"/>
          <w:lang w:val="en-GB"/>
        </w:rPr>
        <w:t>2.</w:t>
      </w:r>
      <w:r w:rsidRPr="00F000AD">
        <w:rPr>
          <w:rFonts w:ascii="Times New Roman" w:hAnsi="Times New Roman" w:cs="Times New Roman"/>
          <w:b/>
          <w:bCs/>
          <w:noProof/>
          <w:sz w:val="24"/>
          <w:lang w:val="en-GB"/>
        </w:rPr>
        <w:tab/>
        <w:t xml:space="preserve">Priorities </w:t>
      </w:r>
    </w:p>
    <w:p w:rsidR="00F000AD" w:rsidRPr="00F000AD" w:rsidRDefault="00F000AD" w:rsidP="00F000AD">
      <w:pPr>
        <w:spacing w:before="240" w:after="240" w:line="360" w:lineRule="auto"/>
        <w:rPr>
          <w:rFonts w:ascii="Times New Roman" w:eastAsia="Times New Roman" w:hAnsi="Times New Roman" w:cs="Times New Roman"/>
          <w:i/>
          <w:noProof/>
          <w:sz w:val="24"/>
          <w:szCs w:val="24"/>
          <w:lang w:val="en-GB"/>
        </w:rPr>
      </w:pPr>
      <w:r w:rsidRPr="00F000AD">
        <w:rPr>
          <w:rFonts w:ascii="Times New Roman" w:eastAsia="Times New Roman" w:hAnsi="Times New Roman" w:cs="Times New Roman"/>
          <w:i/>
          <w:noProof/>
          <w:sz w:val="24"/>
          <w:szCs w:val="24"/>
          <w:lang w:val="en-GB"/>
        </w:rPr>
        <w:t>Reference: Article 17(2) and 17(3)(c) CPR</w:t>
      </w:r>
    </w:p>
    <w:tbl>
      <w:tblPr>
        <w:tblW w:w="1000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
        <w:gridCol w:w="2017"/>
        <w:gridCol w:w="528"/>
        <w:gridCol w:w="1094"/>
        <w:gridCol w:w="743"/>
        <w:gridCol w:w="1055"/>
        <w:gridCol w:w="4140"/>
      </w:tblGrid>
      <w:tr w:rsidR="00F000AD" w:rsidRPr="009720FF" w:rsidTr="00E95FAC">
        <w:trPr>
          <w:trHeight w:val="600"/>
        </w:trPr>
        <w:tc>
          <w:tcPr>
            <w:tcW w:w="428" w:type="dxa"/>
            <w:shd w:val="clear" w:color="auto" w:fill="auto"/>
            <w:hideMark/>
          </w:tcPr>
          <w:p w:rsidR="00F000AD" w:rsidRPr="009720FF" w:rsidRDefault="00F000AD" w:rsidP="00F000AD">
            <w:pPr>
              <w:spacing w:after="0"/>
              <w:jc w:val="center"/>
              <w:rPr>
                <w:rFonts w:ascii="Times New Roman" w:hAnsi="Times New Roman" w:cs="Times New Roman"/>
                <w:noProof/>
                <w:sz w:val="20"/>
                <w:szCs w:val="20"/>
                <w:lang w:val="en-GB"/>
              </w:rPr>
            </w:pPr>
            <w:r w:rsidRPr="009720FF">
              <w:rPr>
                <w:rFonts w:ascii="Times New Roman" w:hAnsi="Times New Roman" w:cs="Times New Roman"/>
                <w:noProof/>
                <w:sz w:val="20"/>
                <w:szCs w:val="20"/>
                <w:lang w:val="en-GB"/>
              </w:rPr>
              <w:t>ID</w:t>
            </w:r>
          </w:p>
        </w:tc>
        <w:tc>
          <w:tcPr>
            <w:tcW w:w="2017" w:type="dxa"/>
            <w:shd w:val="clear" w:color="auto" w:fill="auto"/>
            <w:hideMark/>
          </w:tcPr>
          <w:p w:rsidR="00F000AD" w:rsidRPr="009720FF" w:rsidRDefault="00F000AD" w:rsidP="00F000AD">
            <w:pPr>
              <w:spacing w:after="0"/>
              <w:jc w:val="center"/>
              <w:rPr>
                <w:rFonts w:ascii="Times New Roman" w:hAnsi="Times New Roman" w:cs="Times New Roman"/>
                <w:noProof/>
                <w:sz w:val="20"/>
                <w:szCs w:val="20"/>
                <w:lang w:val="en-GB"/>
              </w:rPr>
            </w:pPr>
            <w:r w:rsidRPr="009720FF">
              <w:rPr>
                <w:rFonts w:ascii="Times New Roman" w:hAnsi="Times New Roman" w:cs="Times New Roman"/>
                <w:noProof/>
                <w:sz w:val="20"/>
                <w:szCs w:val="20"/>
                <w:lang w:val="en-GB"/>
              </w:rPr>
              <w:t>Title [300]</w:t>
            </w:r>
          </w:p>
        </w:tc>
        <w:tc>
          <w:tcPr>
            <w:tcW w:w="528" w:type="dxa"/>
            <w:shd w:val="clear" w:color="auto" w:fill="auto"/>
            <w:hideMark/>
          </w:tcPr>
          <w:p w:rsidR="00F000AD" w:rsidRPr="009720FF" w:rsidRDefault="00F000AD" w:rsidP="00F000AD">
            <w:pPr>
              <w:spacing w:after="0"/>
              <w:jc w:val="center"/>
              <w:rPr>
                <w:rFonts w:ascii="Times New Roman" w:hAnsi="Times New Roman" w:cs="Times New Roman"/>
                <w:noProof/>
                <w:sz w:val="20"/>
                <w:szCs w:val="20"/>
                <w:lang w:val="en-GB"/>
              </w:rPr>
            </w:pPr>
            <w:r w:rsidRPr="009720FF">
              <w:rPr>
                <w:rFonts w:ascii="Times New Roman" w:hAnsi="Times New Roman" w:cs="Times New Roman"/>
                <w:noProof/>
                <w:sz w:val="20"/>
                <w:szCs w:val="20"/>
                <w:lang w:val="en-GB"/>
              </w:rPr>
              <w:t>TA</w:t>
            </w:r>
          </w:p>
        </w:tc>
        <w:tc>
          <w:tcPr>
            <w:tcW w:w="1094" w:type="dxa"/>
            <w:shd w:val="clear" w:color="auto" w:fill="auto"/>
          </w:tcPr>
          <w:p w:rsidR="00F000AD" w:rsidRPr="009720FF" w:rsidRDefault="00F000AD" w:rsidP="00F000AD">
            <w:pPr>
              <w:spacing w:after="0"/>
              <w:jc w:val="center"/>
              <w:rPr>
                <w:rFonts w:ascii="Times New Roman" w:hAnsi="Times New Roman" w:cs="Times New Roman"/>
                <w:noProof/>
                <w:sz w:val="20"/>
                <w:szCs w:val="20"/>
                <w:lang w:val="en-GB"/>
              </w:rPr>
            </w:pPr>
            <w:r w:rsidRPr="009720FF">
              <w:rPr>
                <w:rFonts w:ascii="Times New Roman" w:hAnsi="Times New Roman" w:cs="Times New Roman"/>
                <w:noProof/>
                <w:sz w:val="20"/>
                <w:szCs w:val="20"/>
                <w:lang w:val="en-GB"/>
              </w:rPr>
              <w:t>Basis for calculation</w:t>
            </w:r>
          </w:p>
        </w:tc>
        <w:tc>
          <w:tcPr>
            <w:tcW w:w="743" w:type="dxa"/>
            <w:shd w:val="clear" w:color="auto" w:fill="auto"/>
            <w:hideMark/>
          </w:tcPr>
          <w:p w:rsidR="00F000AD" w:rsidRPr="009720FF" w:rsidRDefault="00F000AD" w:rsidP="00F000AD">
            <w:pPr>
              <w:spacing w:after="0"/>
              <w:jc w:val="center"/>
              <w:rPr>
                <w:rFonts w:ascii="Times New Roman" w:hAnsi="Times New Roman" w:cs="Times New Roman"/>
                <w:noProof/>
                <w:sz w:val="20"/>
                <w:szCs w:val="20"/>
                <w:lang w:val="en-GB"/>
              </w:rPr>
            </w:pPr>
            <w:r w:rsidRPr="009720FF">
              <w:rPr>
                <w:rFonts w:ascii="Times New Roman" w:hAnsi="Times New Roman" w:cs="Times New Roman"/>
                <w:noProof/>
                <w:sz w:val="20"/>
                <w:szCs w:val="20"/>
                <w:lang w:val="en-GB"/>
              </w:rPr>
              <w:t>Fund</w:t>
            </w:r>
          </w:p>
        </w:tc>
        <w:tc>
          <w:tcPr>
            <w:tcW w:w="1055" w:type="dxa"/>
            <w:shd w:val="clear" w:color="auto" w:fill="auto"/>
            <w:hideMark/>
          </w:tcPr>
          <w:p w:rsidR="00F000AD" w:rsidRPr="009720FF" w:rsidRDefault="00F000AD" w:rsidP="00F000AD">
            <w:pPr>
              <w:spacing w:after="0"/>
              <w:jc w:val="center"/>
              <w:rPr>
                <w:rFonts w:ascii="Times New Roman" w:hAnsi="Times New Roman" w:cs="Times New Roman"/>
                <w:noProof/>
                <w:sz w:val="20"/>
                <w:szCs w:val="20"/>
                <w:lang w:val="en-GB"/>
              </w:rPr>
            </w:pPr>
            <w:r w:rsidRPr="009720FF">
              <w:rPr>
                <w:rFonts w:ascii="Times New Roman" w:hAnsi="Times New Roman" w:cs="Times New Roman"/>
                <w:noProof/>
                <w:sz w:val="20"/>
                <w:szCs w:val="20"/>
                <w:lang w:val="en-GB"/>
              </w:rPr>
              <w:t>Category of region supported</w:t>
            </w:r>
          </w:p>
        </w:tc>
        <w:tc>
          <w:tcPr>
            <w:tcW w:w="4140" w:type="dxa"/>
          </w:tcPr>
          <w:p w:rsidR="00F000AD" w:rsidRPr="009720FF" w:rsidRDefault="00F000AD" w:rsidP="00F000AD">
            <w:pPr>
              <w:spacing w:after="0"/>
              <w:jc w:val="center"/>
              <w:rPr>
                <w:rFonts w:ascii="Times New Roman" w:hAnsi="Times New Roman" w:cs="Times New Roman"/>
                <w:noProof/>
                <w:sz w:val="20"/>
                <w:szCs w:val="20"/>
                <w:lang w:val="en-GB"/>
              </w:rPr>
            </w:pPr>
            <w:r w:rsidRPr="009720FF">
              <w:rPr>
                <w:rFonts w:ascii="Times New Roman" w:hAnsi="Times New Roman" w:cs="Times New Roman"/>
                <w:noProof/>
                <w:sz w:val="20"/>
                <w:szCs w:val="20"/>
                <w:lang w:val="en-GB"/>
              </w:rPr>
              <w:t>Specific Objective selected</w:t>
            </w:r>
          </w:p>
        </w:tc>
      </w:tr>
      <w:tr w:rsidR="00B105D0" w:rsidRPr="009720FF" w:rsidTr="00E95FAC">
        <w:trPr>
          <w:trHeight w:val="610"/>
        </w:trPr>
        <w:tc>
          <w:tcPr>
            <w:tcW w:w="428" w:type="dxa"/>
            <w:vMerge w:val="restart"/>
            <w:shd w:val="clear" w:color="auto" w:fill="auto"/>
            <w:noWrap/>
            <w:hideMark/>
          </w:tcPr>
          <w:p w:rsidR="00B105D0" w:rsidRPr="009720FF" w:rsidRDefault="00B105D0" w:rsidP="00F000AD">
            <w:pPr>
              <w:spacing w:after="0"/>
              <w:jc w:val="center"/>
              <w:rPr>
                <w:rFonts w:ascii="Times New Roman" w:hAnsi="Times New Roman" w:cs="Times New Roman"/>
                <w:noProof/>
                <w:sz w:val="20"/>
                <w:szCs w:val="20"/>
                <w:lang w:val="en-GB"/>
              </w:rPr>
            </w:pPr>
            <w:r w:rsidRPr="009720FF">
              <w:rPr>
                <w:rFonts w:ascii="Times New Roman" w:hAnsi="Times New Roman" w:cs="Times New Roman"/>
                <w:noProof/>
                <w:sz w:val="20"/>
                <w:szCs w:val="20"/>
                <w:lang w:val="en-GB"/>
              </w:rPr>
              <w:t>1</w:t>
            </w:r>
          </w:p>
        </w:tc>
        <w:tc>
          <w:tcPr>
            <w:tcW w:w="2017" w:type="dxa"/>
            <w:vMerge w:val="restart"/>
            <w:shd w:val="clear" w:color="auto" w:fill="auto"/>
            <w:noWrap/>
            <w:hideMark/>
          </w:tcPr>
          <w:p w:rsidR="00B105D0" w:rsidRDefault="00B105D0" w:rsidP="00E95FAC">
            <w:pPr>
              <w:spacing w:after="0"/>
              <w:rPr>
                <w:rFonts w:ascii="Times New Roman" w:hAnsi="Times New Roman" w:cs="Times New Roman"/>
                <w:noProof/>
                <w:sz w:val="20"/>
                <w:szCs w:val="20"/>
                <w:lang w:val="en-GB"/>
              </w:rPr>
            </w:pPr>
            <w:r w:rsidRPr="009720FF">
              <w:rPr>
                <w:rFonts w:ascii="Times New Roman" w:hAnsi="Times New Roman" w:cs="Times New Roman"/>
                <w:noProof/>
                <w:sz w:val="20"/>
                <w:szCs w:val="20"/>
                <w:lang w:val="en-GB"/>
              </w:rPr>
              <w:t>Priority 1</w:t>
            </w:r>
          </w:p>
          <w:p w:rsidR="00B105D0" w:rsidRPr="009720FF" w:rsidRDefault="00B105D0" w:rsidP="00E95FAC">
            <w:pPr>
              <w:spacing w:after="0"/>
              <w:rPr>
                <w:rFonts w:ascii="Times New Roman" w:hAnsi="Times New Roman" w:cs="Times New Roman"/>
                <w:noProof/>
                <w:sz w:val="20"/>
                <w:szCs w:val="20"/>
                <w:lang w:val="en-GB"/>
              </w:rPr>
            </w:pPr>
            <w:r w:rsidRPr="00F945FD">
              <w:rPr>
                <w:rFonts w:ascii="Times New Roman" w:hAnsi="Times New Roman" w:cs="Times New Roman"/>
                <w:b/>
                <w:noProof/>
                <w:sz w:val="20"/>
                <w:szCs w:val="20"/>
              </w:rPr>
              <w:t>O regiune competitivă prin inovare, digitalizare și întreprinderi dinamice</w:t>
            </w:r>
          </w:p>
        </w:tc>
        <w:tc>
          <w:tcPr>
            <w:tcW w:w="528" w:type="dxa"/>
            <w:vMerge w:val="restart"/>
            <w:shd w:val="clear" w:color="auto" w:fill="auto"/>
            <w:noWrap/>
            <w:hideMark/>
          </w:tcPr>
          <w:p w:rsidR="00B105D0" w:rsidRPr="009720FF" w:rsidRDefault="00B105D0" w:rsidP="00F000AD">
            <w:pPr>
              <w:spacing w:after="0"/>
              <w:jc w:val="center"/>
              <w:rPr>
                <w:rFonts w:ascii="Times New Roman" w:hAnsi="Times New Roman" w:cs="Times New Roman"/>
                <w:noProof/>
                <w:sz w:val="20"/>
                <w:szCs w:val="20"/>
                <w:lang w:val="en-GB"/>
              </w:rPr>
            </w:pPr>
            <w:r w:rsidRPr="009720FF">
              <w:rPr>
                <w:rFonts w:ascii="Times New Roman" w:hAnsi="Times New Roman" w:cs="Times New Roman"/>
                <w:noProof/>
                <w:sz w:val="20"/>
                <w:szCs w:val="20"/>
                <w:lang w:val="en-GB"/>
              </w:rPr>
              <w:t>No</w:t>
            </w:r>
          </w:p>
        </w:tc>
        <w:tc>
          <w:tcPr>
            <w:tcW w:w="1094" w:type="dxa"/>
            <w:vMerge w:val="restart"/>
            <w:shd w:val="clear" w:color="auto" w:fill="auto"/>
            <w:noWrap/>
          </w:tcPr>
          <w:p w:rsidR="00B105D0" w:rsidRPr="009720FF" w:rsidRDefault="00B105D0" w:rsidP="00F000AD">
            <w:pPr>
              <w:spacing w:after="0"/>
              <w:jc w:val="center"/>
              <w:rPr>
                <w:rFonts w:ascii="Times New Roman" w:hAnsi="Times New Roman" w:cs="Times New Roman"/>
                <w:noProof/>
                <w:sz w:val="20"/>
                <w:szCs w:val="20"/>
                <w:lang w:val="en-GB"/>
              </w:rPr>
            </w:pPr>
          </w:p>
        </w:tc>
        <w:tc>
          <w:tcPr>
            <w:tcW w:w="743" w:type="dxa"/>
            <w:vMerge w:val="restart"/>
            <w:shd w:val="clear" w:color="auto" w:fill="auto"/>
            <w:noWrap/>
            <w:hideMark/>
          </w:tcPr>
          <w:p w:rsidR="00B105D0" w:rsidRPr="009720FF" w:rsidRDefault="00B105D0" w:rsidP="00F000AD">
            <w:pPr>
              <w:spacing w:after="0"/>
              <w:jc w:val="center"/>
              <w:rPr>
                <w:rFonts w:ascii="Times New Roman" w:hAnsi="Times New Roman" w:cs="Times New Roman"/>
                <w:noProof/>
                <w:sz w:val="20"/>
                <w:szCs w:val="20"/>
                <w:lang w:val="en-GB"/>
              </w:rPr>
            </w:pPr>
            <w:r w:rsidRPr="009720FF">
              <w:rPr>
                <w:rFonts w:ascii="Times New Roman" w:hAnsi="Times New Roman" w:cs="Times New Roman"/>
                <w:noProof/>
                <w:sz w:val="20"/>
                <w:szCs w:val="20"/>
                <w:lang w:val="en-GB"/>
              </w:rPr>
              <w:t>ERDF</w:t>
            </w:r>
          </w:p>
        </w:tc>
        <w:tc>
          <w:tcPr>
            <w:tcW w:w="1055" w:type="dxa"/>
            <w:vMerge w:val="restart"/>
            <w:shd w:val="clear" w:color="auto" w:fill="auto"/>
            <w:noWrap/>
          </w:tcPr>
          <w:p w:rsidR="00B105D0" w:rsidRPr="009720FF" w:rsidRDefault="00B105D0" w:rsidP="00F000AD">
            <w:pPr>
              <w:spacing w:after="0"/>
              <w:jc w:val="center"/>
              <w:rPr>
                <w:rFonts w:ascii="Times New Roman" w:hAnsi="Times New Roman" w:cs="Times New Roman"/>
                <w:noProof/>
                <w:sz w:val="20"/>
                <w:szCs w:val="20"/>
                <w:lang w:val="en-GB"/>
              </w:rPr>
            </w:pPr>
            <w:r w:rsidRPr="009720FF">
              <w:rPr>
                <w:rFonts w:ascii="Times New Roman" w:hAnsi="Times New Roman" w:cs="Times New Roman"/>
                <w:noProof/>
                <w:sz w:val="20"/>
                <w:szCs w:val="20"/>
                <w:lang w:val="en-GB"/>
              </w:rPr>
              <w:t>Less developed</w:t>
            </w:r>
          </w:p>
        </w:tc>
        <w:tc>
          <w:tcPr>
            <w:tcW w:w="4140" w:type="dxa"/>
            <w:tcBorders>
              <w:bottom w:val="single" w:sz="4" w:space="0" w:color="auto"/>
            </w:tcBorders>
          </w:tcPr>
          <w:p w:rsidR="00950575" w:rsidRPr="00E95FAC" w:rsidRDefault="00950575" w:rsidP="00E95FAC">
            <w:pPr>
              <w:pStyle w:val="Default"/>
              <w:rPr>
                <w:rFonts w:ascii="Times New Roman" w:hAnsi="Times New Roman" w:cs="Times New Roman"/>
                <w:sz w:val="20"/>
                <w:szCs w:val="20"/>
              </w:rPr>
            </w:pPr>
            <w:r w:rsidRPr="00E95FAC">
              <w:rPr>
                <w:rFonts w:ascii="Times New Roman" w:hAnsi="Times New Roman" w:cs="Times New Roman"/>
                <w:sz w:val="20"/>
                <w:szCs w:val="20"/>
              </w:rPr>
              <w:t xml:space="preserve">a (i) Dezvoltarea capacităților de cercetare și inovare și adoptarea tehnologiilor avansate </w:t>
            </w:r>
          </w:p>
          <w:p w:rsidR="00B105D0" w:rsidRPr="00B308F7" w:rsidRDefault="00B105D0" w:rsidP="00E95FAC">
            <w:pPr>
              <w:spacing w:after="0"/>
              <w:rPr>
                <w:rFonts w:ascii="Times New Roman" w:hAnsi="Times New Roman" w:cs="Times New Roman"/>
                <w:noProof/>
                <w:sz w:val="20"/>
                <w:szCs w:val="20"/>
                <w:lang w:val="en-GB"/>
              </w:rPr>
            </w:pPr>
          </w:p>
        </w:tc>
      </w:tr>
      <w:tr w:rsidR="00B105D0" w:rsidRPr="009720FF" w:rsidTr="00E95FAC">
        <w:trPr>
          <w:trHeight w:val="300"/>
        </w:trPr>
        <w:tc>
          <w:tcPr>
            <w:tcW w:w="428" w:type="dxa"/>
            <w:vMerge/>
            <w:hideMark/>
          </w:tcPr>
          <w:p w:rsidR="00B105D0" w:rsidRPr="009720FF" w:rsidRDefault="00B105D0" w:rsidP="00F000AD">
            <w:pPr>
              <w:spacing w:after="0"/>
              <w:jc w:val="center"/>
              <w:rPr>
                <w:rFonts w:ascii="Times New Roman" w:hAnsi="Times New Roman" w:cs="Times New Roman"/>
                <w:noProof/>
                <w:sz w:val="20"/>
                <w:szCs w:val="20"/>
                <w:lang w:val="en-GB"/>
              </w:rPr>
            </w:pPr>
          </w:p>
        </w:tc>
        <w:tc>
          <w:tcPr>
            <w:tcW w:w="2017" w:type="dxa"/>
            <w:vMerge/>
            <w:hideMark/>
          </w:tcPr>
          <w:p w:rsidR="00B105D0" w:rsidRPr="009720FF" w:rsidRDefault="00B105D0" w:rsidP="00E95FAC">
            <w:pPr>
              <w:spacing w:after="0"/>
              <w:rPr>
                <w:rFonts w:ascii="Times New Roman" w:hAnsi="Times New Roman" w:cs="Times New Roman"/>
                <w:noProof/>
                <w:sz w:val="20"/>
                <w:szCs w:val="20"/>
                <w:lang w:val="en-GB"/>
              </w:rPr>
            </w:pPr>
          </w:p>
        </w:tc>
        <w:tc>
          <w:tcPr>
            <w:tcW w:w="528" w:type="dxa"/>
            <w:vMerge/>
            <w:hideMark/>
          </w:tcPr>
          <w:p w:rsidR="00B105D0" w:rsidRPr="009720FF" w:rsidRDefault="00B105D0" w:rsidP="00F000AD">
            <w:pPr>
              <w:spacing w:after="0"/>
              <w:jc w:val="center"/>
              <w:rPr>
                <w:rFonts w:ascii="Times New Roman" w:hAnsi="Times New Roman" w:cs="Times New Roman"/>
                <w:noProof/>
                <w:sz w:val="20"/>
                <w:szCs w:val="20"/>
                <w:lang w:val="en-GB"/>
              </w:rPr>
            </w:pPr>
          </w:p>
        </w:tc>
        <w:tc>
          <w:tcPr>
            <w:tcW w:w="1094" w:type="dxa"/>
            <w:vMerge/>
            <w:shd w:val="clear" w:color="auto" w:fill="auto"/>
            <w:noWrap/>
          </w:tcPr>
          <w:p w:rsidR="00B105D0" w:rsidRPr="009720FF" w:rsidRDefault="00B105D0" w:rsidP="00F000AD">
            <w:pPr>
              <w:spacing w:after="0"/>
              <w:jc w:val="center"/>
              <w:rPr>
                <w:rFonts w:ascii="Times New Roman" w:hAnsi="Times New Roman" w:cs="Times New Roman"/>
                <w:noProof/>
                <w:sz w:val="20"/>
                <w:szCs w:val="20"/>
                <w:lang w:val="en-GB"/>
              </w:rPr>
            </w:pPr>
          </w:p>
        </w:tc>
        <w:tc>
          <w:tcPr>
            <w:tcW w:w="743" w:type="dxa"/>
            <w:vMerge/>
            <w:shd w:val="clear" w:color="auto" w:fill="auto"/>
            <w:noWrap/>
            <w:hideMark/>
          </w:tcPr>
          <w:p w:rsidR="00B105D0" w:rsidRPr="009720FF" w:rsidRDefault="00B105D0" w:rsidP="00F000AD">
            <w:pPr>
              <w:spacing w:after="0"/>
              <w:jc w:val="center"/>
              <w:rPr>
                <w:rFonts w:ascii="Times New Roman" w:hAnsi="Times New Roman" w:cs="Times New Roman"/>
                <w:noProof/>
                <w:sz w:val="20"/>
                <w:szCs w:val="20"/>
                <w:lang w:val="en-GB"/>
              </w:rPr>
            </w:pPr>
          </w:p>
        </w:tc>
        <w:tc>
          <w:tcPr>
            <w:tcW w:w="1055" w:type="dxa"/>
            <w:vMerge/>
            <w:shd w:val="clear" w:color="auto" w:fill="auto"/>
            <w:noWrap/>
          </w:tcPr>
          <w:p w:rsidR="00B105D0" w:rsidRPr="009720FF" w:rsidRDefault="00B105D0" w:rsidP="00F000AD">
            <w:pPr>
              <w:spacing w:after="0"/>
              <w:jc w:val="center"/>
              <w:rPr>
                <w:rFonts w:ascii="Times New Roman" w:hAnsi="Times New Roman" w:cs="Times New Roman"/>
                <w:noProof/>
                <w:sz w:val="20"/>
                <w:szCs w:val="20"/>
                <w:lang w:val="en-GB"/>
              </w:rPr>
            </w:pPr>
          </w:p>
        </w:tc>
        <w:tc>
          <w:tcPr>
            <w:tcW w:w="4140" w:type="dxa"/>
          </w:tcPr>
          <w:p w:rsidR="00950575" w:rsidRPr="00E95FAC" w:rsidRDefault="00950575" w:rsidP="00E95FAC">
            <w:pPr>
              <w:pStyle w:val="Default"/>
              <w:rPr>
                <w:rFonts w:ascii="Times New Roman" w:hAnsi="Times New Roman" w:cs="Times New Roman"/>
                <w:sz w:val="20"/>
                <w:szCs w:val="20"/>
              </w:rPr>
            </w:pPr>
            <w:r w:rsidRPr="00E95FAC">
              <w:rPr>
                <w:rFonts w:ascii="Times New Roman" w:hAnsi="Times New Roman" w:cs="Times New Roman"/>
                <w:sz w:val="20"/>
                <w:szCs w:val="20"/>
              </w:rPr>
              <w:t xml:space="preserve">a (iii) Impulsionarea creșterii și competitivității IMM-urilor </w:t>
            </w:r>
          </w:p>
          <w:p w:rsidR="00B105D0" w:rsidRPr="005A19FA" w:rsidRDefault="00B105D0" w:rsidP="00E95FAC">
            <w:pPr>
              <w:spacing w:after="0"/>
              <w:rPr>
                <w:rFonts w:ascii="Times New Roman" w:hAnsi="Times New Roman" w:cs="Times New Roman"/>
                <w:noProof/>
                <w:sz w:val="20"/>
                <w:szCs w:val="20"/>
                <w:lang w:val="en-GB"/>
              </w:rPr>
            </w:pPr>
          </w:p>
        </w:tc>
      </w:tr>
      <w:tr w:rsidR="00B105D0" w:rsidRPr="009720FF" w:rsidTr="00E95FAC">
        <w:trPr>
          <w:trHeight w:val="300"/>
        </w:trPr>
        <w:tc>
          <w:tcPr>
            <w:tcW w:w="428" w:type="dxa"/>
            <w:vMerge/>
          </w:tcPr>
          <w:p w:rsidR="00B105D0" w:rsidRPr="009720FF" w:rsidRDefault="00B105D0" w:rsidP="00F000AD">
            <w:pPr>
              <w:spacing w:after="0"/>
              <w:jc w:val="center"/>
              <w:rPr>
                <w:rFonts w:ascii="Times New Roman" w:hAnsi="Times New Roman" w:cs="Times New Roman"/>
                <w:noProof/>
                <w:sz w:val="20"/>
                <w:szCs w:val="20"/>
                <w:lang w:val="en-GB"/>
              </w:rPr>
            </w:pPr>
          </w:p>
        </w:tc>
        <w:tc>
          <w:tcPr>
            <w:tcW w:w="2017" w:type="dxa"/>
            <w:vMerge/>
          </w:tcPr>
          <w:p w:rsidR="00B105D0" w:rsidRPr="009720FF" w:rsidRDefault="00B105D0" w:rsidP="00E95FAC">
            <w:pPr>
              <w:spacing w:after="0"/>
              <w:rPr>
                <w:rFonts w:ascii="Times New Roman" w:hAnsi="Times New Roman" w:cs="Times New Roman"/>
                <w:noProof/>
                <w:sz w:val="20"/>
                <w:szCs w:val="20"/>
                <w:lang w:val="en-GB"/>
              </w:rPr>
            </w:pPr>
          </w:p>
        </w:tc>
        <w:tc>
          <w:tcPr>
            <w:tcW w:w="528" w:type="dxa"/>
            <w:vMerge/>
          </w:tcPr>
          <w:p w:rsidR="00B105D0" w:rsidRPr="009720FF" w:rsidRDefault="00B105D0" w:rsidP="00F000AD">
            <w:pPr>
              <w:spacing w:after="0"/>
              <w:jc w:val="center"/>
              <w:rPr>
                <w:rFonts w:ascii="Times New Roman" w:hAnsi="Times New Roman" w:cs="Times New Roman"/>
                <w:noProof/>
                <w:sz w:val="20"/>
                <w:szCs w:val="20"/>
                <w:lang w:val="en-GB"/>
              </w:rPr>
            </w:pPr>
          </w:p>
        </w:tc>
        <w:tc>
          <w:tcPr>
            <w:tcW w:w="1094" w:type="dxa"/>
            <w:vMerge/>
            <w:shd w:val="clear" w:color="auto" w:fill="auto"/>
            <w:noWrap/>
          </w:tcPr>
          <w:p w:rsidR="00B105D0" w:rsidRPr="009720FF" w:rsidRDefault="00B105D0" w:rsidP="00F000AD">
            <w:pPr>
              <w:spacing w:after="0"/>
              <w:jc w:val="center"/>
              <w:rPr>
                <w:rFonts w:ascii="Times New Roman" w:hAnsi="Times New Roman" w:cs="Times New Roman"/>
                <w:noProof/>
                <w:sz w:val="20"/>
                <w:szCs w:val="20"/>
                <w:lang w:val="en-GB"/>
              </w:rPr>
            </w:pPr>
          </w:p>
        </w:tc>
        <w:tc>
          <w:tcPr>
            <w:tcW w:w="743" w:type="dxa"/>
            <w:vMerge/>
            <w:shd w:val="clear" w:color="auto" w:fill="auto"/>
            <w:noWrap/>
          </w:tcPr>
          <w:p w:rsidR="00B105D0" w:rsidRPr="009720FF" w:rsidRDefault="00B105D0" w:rsidP="00F000AD">
            <w:pPr>
              <w:spacing w:after="0"/>
              <w:jc w:val="center"/>
              <w:rPr>
                <w:rFonts w:ascii="Times New Roman" w:hAnsi="Times New Roman" w:cs="Times New Roman"/>
                <w:noProof/>
                <w:sz w:val="20"/>
                <w:szCs w:val="20"/>
                <w:lang w:val="en-GB"/>
              </w:rPr>
            </w:pPr>
          </w:p>
        </w:tc>
        <w:tc>
          <w:tcPr>
            <w:tcW w:w="1055" w:type="dxa"/>
            <w:vMerge/>
            <w:shd w:val="clear" w:color="auto" w:fill="auto"/>
            <w:noWrap/>
          </w:tcPr>
          <w:p w:rsidR="00B105D0" w:rsidRPr="009720FF" w:rsidRDefault="00B105D0" w:rsidP="00F000AD">
            <w:pPr>
              <w:spacing w:after="0"/>
              <w:jc w:val="center"/>
              <w:rPr>
                <w:rFonts w:ascii="Times New Roman" w:hAnsi="Times New Roman" w:cs="Times New Roman"/>
                <w:noProof/>
                <w:sz w:val="20"/>
                <w:szCs w:val="20"/>
                <w:lang w:val="en-GB"/>
              </w:rPr>
            </w:pPr>
          </w:p>
        </w:tc>
        <w:tc>
          <w:tcPr>
            <w:tcW w:w="4140" w:type="dxa"/>
          </w:tcPr>
          <w:p w:rsidR="00B105D0" w:rsidRPr="00574E86" w:rsidRDefault="00950575" w:rsidP="00E95FAC">
            <w:pPr>
              <w:spacing w:after="0"/>
              <w:rPr>
                <w:rFonts w:ascii="Times New Roman" w:hAnsi="Times New Roman" w:cs="Times New Roman"/>
                <w:noProof/>
                <w:sz w:val="20"/>
                <w:szCs w:val="20"/>
                <w:lang w:val="en-GB"/>
              </w:rPr>
            </w:pPr>
            <w:r w:rsidRPr="005A19FA">
              <w:rPr>
                <w:rFonts w:ascii="Times New Roman" w:hAnsi="Times New Roman" w:cs="Times New Roman"/>
                <w:sz w:val="20"/>
                <w:szCs w:val="20"/>
              </w:rPr>
              <w:t>a (iv) Dezvoltarea competențelor pentru specializare inteligentă, tranziție industrială și antreprenoriat</w:t>
            </w:r>
          </w:p>
        </w:tc>
      </w:tr>
      <w:tr w:rsidR="00BC7338" w:rsidRPr="009720FF" w:rsidTr="00E95FAC">
        <w:trPr>
          <w:trHeight w:val="300"/>
        </w:trPr>
        <w:tc>
          <w:tcPr>
            <w:tcW w:w="428" w:type="dxa"/>
            <w:vMerge w:val="restart"/>
          </w:tcPr>
          <w:p w:rsidR="00BC7338" w:rsidRPr="009720FF" w:rsidRDefault="00BC7338" w:rsidP="00F000AD">
            <w:pPr>
              <w:spacing w:after="0"/>
              <w:jc w:val="center"/>
              <w:rPr>
                <w:rFonts w:ascii="Times New Roman" w:hAnsi="Times New Roman" w:cs="Times New Roman"/>
                <w:noProof/>
                <w:sz w:val="20"/>
                <w:szCs w:val="20"/>
                <w:lang w:val="en-GB"/>
              </w:rPr>
            </w:pPr>
            <w:r>
              <w:rPr>
                <w:rFonts w:ascii="Times New Roman" w:hAnsi="Times New Roman" w:cs="Times New Roman"/>
                <w:noProof/>
                <w:sz w:val="20"/>
                <w:szCs w:val="20"/>
                <w:lang w:val="en-GB"/>
              </w:rPr>
              <w:t>2</w:t>
            </w:r>
          </w:p>
        </w:tc>
        <w:tc>
          <w:tcPr>
            <w:tcW w:w="2017" w:type="dxa"/>
            <w:vMerge w:val="restart"/>
          </w:tcPr>
          <w:p w:rsidR="00BC7338" w:rsidRDefault="00BC7338" w:rsidP="00E95FAC">
            <w:pPr>
              <w:spacing w:after="0"/>
              <w:rPr>
                <w:rFonts w:ascii="Times New Roman" w:hAnsi="Times New Roman" w:cs="Times New Roman"/>
                <w:noProof/>
                <w:sz w:val="20"/>
                <w:szCs w:val="20"/>
                <w:lang w:val="en-GB"/>
              </w:rPr>
            </w:pPr>
            <w:r>
              <w:rPr>
                <w:rFonts w:ascii="Times New Roman" w:hAnsi="Times New Roman" w:cs="Times New Roman"/>
                <w:noProof/>
                <w:sz w:val="20"/>
                <w:szCs w:val="20"/>
                <w:lang w:val="en-GB"/>
              </w:rPr>
              <w:t xml:space="preserve">Priority 2 </w:t>
            </w:r>
          </w:p>
          <w:p w:rsidR="00BC7338" w:rsidRPr="009720FF" w:rsidRDefault="00BC7338" w:rsidP="00E95FAC">
            <w:pPr>
              <w:spacing w:after="0"/>
              <w:rPr>
                <w:rFonts w:ascii="Times New Roman" w:hAnsi="Times New Roman" w:cs="Times New Roman"/>
                <w:noProof/>
                <w:sz w:val="20"/>
                <w:szCs w:val="20"/>
                <w:lang w:val="en-GB"/>
              </w:rPr>
            </w:pPr>
            <w:bookmarkStart w:id="1" w:name="_Toc39131447"/>
            <w:r w:rsidRPr="00F945FD">
              <w:rPr>
                <w:rFonts w:ascii="Times New Roman" w:hAnsi="Times New Roman" w:cs="Times New Roman"/>
                <w:b/>
                <w:noProof/>
                <w:sz w:val="20"/>
                <w:szCs w:val="20"/>
              </w:rPr>
              <w:t>O regiune</w:t>
            </w:r>
            <w:r>
              <w:rPr>
                <w:rFonts w:ascii="Times New Roman" w:hAnsi="Times New Roman" w:cs="Times New Roman"/>
                <w:b/>
                <w:noProof/>
                <w:sz w:val="20"/>
                <w:szCs w:val="20"/>
              </w:rPr>
              <w:t xml:space="preserve"> digitală </w:t>
            </w:r>
            <w:bookmarkEnd w:id="1"/>
          </w:p>
        </w:tc>
        <w:tc>
          <w:tcPr>
            <w:tcW w:w="528" w:type="dxa"/>
            <w:vMerge w:val="restart"/>
          </w:tcPr>
          <w:p w:rsidR="00BC7338" w:rsidRPr="009720FF" w:rsidRDefault="00BC7338" w:rsidP="00F000AD">
            <w:pPr>
              <w:spacing w:after="0"/>
              <w:jc w:val="center"/>
              <w:rPr>
                <w:rFonts w:ascii="Times New Roman" w:hAnsi="Times New Roman" w:cs="Times New Roman"/>
                <w:noProof/>
                <w:sz w:val="20"/>
                <w:szCs w:val="20"/>
                <w:lang w:val="en-GB"/>
              </w:rPr>
            </w:pPr>
            <w:r>
              <w:rPr>
                <w:rFonts w:ascii="Times New Roman" w:hAnsi="Times New Roman" w:cs="Times New Roman"/>
                <w:noProof/>
                <w:sz w:val="20"/>
                <w:szCs w:val="20"/>
                <w:lang w:val="en-GB"/>
              </w:rPr>
              <w:t>No</w:t>
            </w:r>
          </w:p>
        </w:tc>
        <w:tc>
          <w:tcPr>
            <w:tcW w:w="1094" w:type="dxa"/>
            <w:vMerge w:val="restart"/>
            <w:shd w:val="clear" w:color="auto" w:fill="auto"/>
            <w:noWrap/>
          </w:tcPr>
          <w:p w:rsidR="00BC7338" w:rsidRPr="009720FF" w:rsidRDefault="00BC7338" w:rsidP="00F000AD">
            <w:pPr>
              <w:spacing w:after="0"/>
              <w:jc w:val="center"/>
              <w:rPr>
                <w:rFonts w:ascii="Times New Roman" w:hAnsi="Times New Roman" w:cs="Times New Roman"/>
                <w:noProof/>
                <w:sz w:val="20"/>
                <w:szCs w:val="20"/>
                <w:lang w:val="en-GB"/>
              </w:rPr>
            </w:pPr>
          </w:p>
        </w:tc>
        <w:tc>
          <w:tcPr>
            <w:tcW w:w="743" w:type="dxa"/>
            <w:vMerge w:val="restart"/>
            <w:shd w:val="clear" w:color="auto" w:fill="auto"/>
            <w:noWrap/>
          </w:tcPr>
          <w:p w:rsidR="00BC7338" w:rsidRPr="009720FF" w:rsidRDefault="00BC7338" w:rsidP="00F000AD">
            <w:pPr>
              <w:spacing w:after="0"/>
              <w:jc w:val="center"/>
              <w:rPr>
                <w:rFonts w:ascii="Times New Roman" w:hAnsi="Times New Roman" w:cs="Times New Roman"/>
                <w:noProof/>
                <w:sz w:val="20"/>
                <w:szCs w:val="20"/>
                <w:lang w:val="en-GB"/>
              </w:rPr>
            </w:pPr>
            <w:r>
              <w:rPr>
                <w:rFonts w:ascii="Times New Roman" w:hAnsi="Times New Roman" w:cs="Times New Roman"/>
                <w:noProof/>
                <w:sz w:val="20"/>
                <w:szCs w:val="20"/>
                <w:lang w:val="en-GB"/>
              </w:rPr>
              <w:t>ERDF</w:t>
            </w:r>
          </w:p>
        </w:tc>
        <w:tc>
          <w:tcPr>
            <w:tcW w:w="1055" w:type="dxa"/>
            <w:vMerge w:val="restart"/>
            <w:shd w:val="clear" w:color="auto" w:fill="auto"/>
            <w:noWrap/>
          </w:tcPr>
          <w:p w:rsidR="00BC7338" w:rsidRPr="009720FF" w:rsidRDefault="00BC7338" w:rsidP="00F000AD">
            <w:pPr>
              <w:spacing w:after="0"/>
              <w:jc w:val="center"/>
              <w:rPr>
                <w:rFonts w:ascii="Times New Roman" w:hAnsi="Times New Roman" w:cs="Times New Roman"/>
                <w:noProof/>
                <w:sz w:val="20"/>
                <w:szCs w:val="20"/>
                <w:lang w:val="en-GB"/>
              </w:rPr>
            </w:pPr>
            <w:r w:rsidRPr="009720FF">
              <w:rPr>
                <w:rFonts w:ascii="Times New Roman" w:hAnsi="Times New Roman" w:cs="Times New Roman"/>
                <w:noProof/>
                <w:sz w:val="20"/>
                <w:szCs w:val="20"/>
                <w:lang w:val="en-GB"/>
              </w:rPr>
              <w:t>Less developed</w:t>
            </w:r>
          </w:p>
        </w:tc>
        <w:tc>
          <w:tcPr>
            <w:tcW w:w="4140" w:type="dxa"/>
          </w:tcPr>
          <w:p w:rsidR="00950575" w:rsidRPr="00E95FAC" w:rsidRDefault="00950575" w:rsidP="00950575">
            <w:pPr>
              <w:pStyle w:val="Default"/>
              <w:rPr>
                <w:rFonts w:ascii="Times New Roman" w:hAnsi="Times New Roman" w:cs="Times New Roman"/>
                <w:sz w:val="20"/>
                <w:szCs w:val="20"/>
              </w:rPr>
            </w:pPr>
            <w:r w:rsidRPr="00E95FAC">
              <w:rPr>
                <w:rFonts w:ascii="Times New Roman" w:hAnsi="Times New Roman" w:cs="Times New Roman"/>
                <w:sz w:val="20"/>
                <w:szCs w:val="20"/>
              </w:rPr>
              <w:t xml:space="preserve">a (ii) Fructificarea avantajelor digitalizării, în beneficiul cetățenilor, al companiilor și al guvernelor </w:t>
            </w:r>
          </w:p>
          <w:p w:rsidR="00BC7338" w:rsidRPr="00D97358" w:rsidRDefault="00BC7338" w:rsidP="00E95FAC">
            <w:pPr>
              <w:spacing w:after="0"/>
              <w:rPr>
                <w:rFonts w:ascii="Times New Roman" w:hAnsi="Times New Roman" w:cs="Times New Roman"/>
                <w:noProof/>
                <w:sz w:val="20"/>
                <w:szCs w:val="20"/>
                <w:lang w:val="en-GB"/>
              </w:rPr>
            </w:pPr>
          </w:p>
        </w:tc>
      </w:tr>
      <w:tr w:rsidR="00BC7338" w:rsidRPr="009720FF" w:rsidTr="00E95FAC">
        <w:trPr>
          <w:trHeight w:val="300"/>
        </w:trPr>
        <w:tc>
          <w:tcPr>
            <w:tcW w:w="428" w:type="dxa"/>
            <w:vMerge/>
          </w:tcPr>
          <w:p w:rsidR="00BC7338" w:rsidRDefault="00BC7338" w:rsidP="00F000AD">
            <w:pPr>
              <w:spacing w:after="0"/>
              <w:jc w:val="center"/>
              <w:rPr>
                <w:rFonts w:ascii="Times New Roman" w:hAnsi="Times New Roman" w:cs="Times New Roman"/>
                <w:noProof/>
                <w:sz w:val="20"/>
                <w:szCs w:val="20"/>
                <w:lang w:val="en-GB"/>
              </w:rPr>
            </w:pPr>
          </w:p>
        </w:tc>
        <w:tc>
          <w:tcPr>
            <w:tcW w:w="2017" w:type="dxa"/>
            <w:vMerge/>
          </w:tcPr>
          <w:p w:rsidR="00BC7338" w:rsidRDefault="00BC7338" w:rsidP="00E95FAC">
            <w:pPr>
              <w:spacing w:after="0"/>
              <w:rPr>
                <w:rFonts w:ascii="Times New Roman" w:hAnsi="Times New Roman" w:cs="Times New Roman"/>
                <w:noProof/>
                <w:sz w:val="20"/>
                <w:szCs w:val="20"/>
                <w:lang w:val="en-GB"/>
              </w:rPr>
            </w:pPr>
          </w:p>
        </w:tc>
        <w:tc>
          <w:tcPr>
            <w:tcW w:w="528" w:type="dxa"/>
            <w:vMerge/>
          </w:tcPr>
          <w:p w:rsidR="00BC7338" w:rsidRDefault="00BC7338" w:rsidP="00F000AD">
            <w:pPr>
              <w:spacing w:after="0"/>
              <w:jc w:val="center"/>
              <w:rPr>
                <w:rFonts w:ascii="Times New Roman" w:hAnsi="Times New Roman" w:cs="Times New Roman"/>
                <w:noProof/>
                <w:sz w:val="20"/>
                <w:szCs w:val="20"/>
                <w:lang w:val="en-GB"/>
              </w:rPr>
            </w:pPr>
          </w:p>
        </w:tc>
        <w:tc>
          <w:tcPr>
            <w:tcW w:w="1094" w:type="dxa"/>
            <w:vMerge/>
            <w:shd w:val="clear" w:color="auto" w:fill="auto"/>
            <w:noWrap/>
          </w:tcPr>
          <w:p w:rsidR="00BC7338" w:rsidRPr="009720FF" w:rsidRDefault="00BC7338" w:rsidP="00F000AD">
            <w:pPr>
              <w:spacing w:after="0"/>
              <w:jc w:val="center"/>
              <w:rPr>
                <w:rFonts w:ascii="Times New Roman" w:hAnsi="Times New Roman" w:cs="Times New Roman"/>
                <w:noProof/>
                <w:sz w:val="20"/>
                <w:szCs w:val="20"/>
                <w:lang w:val="en-GB"/>
              </w:rPr>
            </w:pPr>
          </w:p>
        </w:tc>
        <w:tc>
          <w:tcPr>
            <w:tcW w:w="743" w:type="dxa"/>
            <w:vMerge/>
            <w:shd w:val="clear" w:color="auto" w:fill="auto"/>
            <w:noWrap/>
          </w:tcPr>
          <w:p w:rsidR="00BC7338" w:rsidRDefault="00BC7338" w:rsidP="00F000AD">
            <w:pPr>
              <w:spacing w:after="0"/>
              <w:jc w:val="center"/>
              <w:rPr>
                <w:rFonts w:ascii="Times New Roman" w:hAnsi="Times New Roman" w:cs="Times New Roman"/>
                <w:noProof/>
                <w:sz w:val="20"/>
                <w:szCs w:val="20"/>
                <w:lang w:val="en-GB"/>
              </w:rPr>
            </w:pPr>
          </w:p>
        </w:tc>
        <w:tc>
          <w:tcPr>
            <w:tcW w:w="1055" w:type="dxa"/>
            <w:vMerge/>
            <w:shd w:val="clear" w:color="auto" w:fill="auto"/>
            <w:noWrap/>
          </w:tcPr>
          <w:p w:rsidR="00BC7338" w:rsidRPr="009720FF" w:rsidRDefault="00BC7338" w:rsidP="00F000AD">
            <w:pPr>
              <w:spacing w:after="0"/>
              <w:jc w:val="center"/>
              <w:rPr>
                <w:rFonts w:ascii="Times New Roman" w:hAnsi="Times New Roman" w:cs="Times New Roman"/>
                <w:noProof/>
                <w:sz w:val="20"/>
                <w:szCs w:val="20"/>
                <w:lang w:val="en-GB"/>
              </w:rPr>
            </w:pPr>
          </w:p>
        </w:tc>
        <w:tc>
          <w:tcPr>
            <w:tcW w:w="4140" w:type="dxa"/>
          </w:tcPr>
          <w:p w:rsidR="00BC7338" w:rsidRPr="00B308F7" w:rsidRDefault="00950575" w:rsidP="00E95FAC">
            <w:pPr>
              <w:spacing w:after="0"/>
              <w:rPr>
                <w:rFonts w:ascii="Times New Roman" w:hAnsi="Times New Roman" w:cs="Times New Roman"/>
                <w:noProof/>
                <w:sz w:val="20"/>
                <w:szCs w:val="20"/>
                <w:lang w:val="en-GB"/>
              </w:rPr>
            </w:pPr>
            <w:r w:rsidRPr="005A19FA">
              <w:rPr>
                <w:rFonts w:ascii="Times New Roman" w:hAnsi="Times New Roman" w:cs="Times New Roman"/>
                <w:sz w:val="20"/>
                <w:szCs w:val="20"/>
              </w:rPr>
              <w:t>a (iv) Dezvoltarea competențelor pentru specializare inteligentă, tranziție industrială și antreprenoriat</w:t>
            </w:r>
          </w:p>
        </w:tc>
      </w:tr>
      <w:tr w:rsidR="000A0CC7" w:rsidRPr="009720FF" w:rsidTr="005C75DF">
        <w:trPr>
          <w:trHeight w:val="501"/>
        </w:trPr>
        <w:tc>
          <w:tcPr>
            <w:tcW w:w="428" w:type="dxa"/>
            <w:vMerge w:val="restart"/>
          </w:tcPr>
          <w:p w:rsidR="000A0CC7" w:rsidRPr="009720FF" w:rsidRDefault="000A0CC7" w:rsidP="00F945FD">
            <w:pPr>
              <w:spacing w:after="0"/>
              <w:jc w:val="center"/>
              <w:rPr>
                <w:rFonts w:ascii="Times New Roman" w:hAnsi="Times New Roman" w:cs="Times New Roman"/>
                <w:noProof/>
                <w:sz w:val="20"/>
                <w:szCs w:val="20"/>
                <w:lang w:val="en-GB"/>
              </w:rPr>
            </w:pPr>
            <w:r>
              <w:rPr>
                <w:rFonts w:ascii="Times New Roman" w:hAnsi="Times New Roman" w:cs="Times New Roman"/>
                <w:noProof/>
                <w:sz w:val="20"/>
                <w:szCs w:val="20"/>
                <w:lang w:val="en-GB"/>
              </w:rPr>
              <w:t>3</w:t>
            </w:r>
          </w:p>
        </w:tc>
        <w:tc>
          <w:tcPr>
            <w:tcW w:w="2017" w:type="dxa"/>
            <w:vMerge w:val="restart"/>
          </w:tcPr>
          <w:p w:rsidR="000A0CC7" w:rsidRDefault="000A0CC7" w:rsidP="00E95FAC">
            <w:pPr>
              <w:spacing w:after="0"/>
              <w:rPr>
                <w:rFonts w:ascii="Times New Roman" w:hAnsi="Times New Roman" w:cs="Times New Roman"/>
                <w:noProof/>
                <w:sz w:val="20"/>
                <w:szCs w:val="20"/>
                <w:lang w:val="en-GB"/>
              </w:rPr>
            </w:pPr>
            <w:r>
              <w:rPr>
                <w:rFonts w:ascii="Times New Roman" w:hAnsi="Times New Roman" w:cs="Times New Roman"/>
                <w:noProof/>
                <w:sz w:val="20"/>
                <w:szCs w:val="20"/>
                <w:lang w:val="en-GB"/>
              </w:rPr>
              <w:t xml:space="preserve">Priority 3 </w:t>
            </w:r>
          </w:p>
          <w:p w:rsidR="000A0CC7" w:rsidRPr="009720FF" w:rsidRDefault="000A0CC7" w:rsidP="00E95FAC">
            <w:pPr>
              <w:spacing w:after="0"/>
              <w:rPr>
                <w:rFonts w:ascii="Times New Roman" w:hAnsi="Times New Roman" w:cs="Times New Roman"/>
                <w:noProof/>
                <w:sz w:val="20"/>
                <w:szCs w:val="20"/>
                <w:lang w:val="en-GB"/>
              </w:rPr>
            </w:pPr>
            <w:bookmarkStart w:id="2" w:name="_Toc39131448"/>
            <w:r w:rsidRPr="00F945FD">
              <w:rPr>
                <w:rFonts w:ascii="Times New Roman" w:hAnsi="Times New Roman" w:cs="Times New Roman"/>
                <w:b/>
                <w:noProof/>
                <w:sz w:val="20"/>
                <w:szCs w:val="20"/>
              </w:rPr>
              <w:lastRenderedPageBreak/>
              <w:t xml:space="preserve">O regiune cu </w:t>
            </w:r>
            <w:r>
              <w:rPr>
                <w:rFonts w:ascii="Times New Roman" w:hAnsi="Times New Roman" w:cs="Times New Roman"/>
                <w:b/>
                <w:noProof/>
                <w:sz w:val="20"/>
                <w:szCs w:val="20"/>
              </w:rPr>
              <w:t>comunități</w:t>
            </w:r>
            <w:r w:rsidRPr="00F945FD">
              <w:rPr>
                <w:rFonts w:ascii="Times New Roman" w:hAnsi="Times New Roman" w:cs="Times New Roman"/>
                <w:b/>
                <w:noProof/>
                <w:sz w:val="20"/>
                <w:szCs w:val="20"/>
              </w:rPr>
              <w:t xml:space="preserve"> prietenoase cu mediul</w:t>
            </w:r>
            <w:bookmarkEnd w:id="2"/>
          </w:p>
        </w:tc>
        <w:tc>
          <w:tcPr>
            <w:tcW w:w="528" w:type="dxa"/>
            <w:vMerge w:val="restart"/>
          </w:tcPr>
          <w:p w:rsidR="000A0CC7" w:rsidRPr="009720FF" w:rsidRDefault="000A0CC7" w:rsidP="00F945FD">
            <w:pPr>
              <w:spacing w:after="0"/>
              <w:jc w:val="center"/>
              <w:rPr>
                <w:rFonts w:ascii="Times New Roman" w:hAnsi="Times New Roman" w:cs="Times New Roman"/>
                <w:noProof/>
                <w:sz w:val="20"/>
                <w:szCs w:val="20"/>
                <w:lang w:val="en-GB"/>
              </w:rPr>
            </w:pPr>
            <w:r>
              <w:rPr>
                <w:rFonts w:ascii="Times New Roman" w:hAnsi="Times New Roman" w:cs="Times New Roman"/>
                <w:noProof/>
                <w:sz w:val="20"/>
                <w:szCs w:val="20"/>
                <w:lang w:val="en-GB"/>
              </w:rPr>
              <w:lastRenderedPageBreak/>
              <w:t>No</w:t>
            </w:r>
          </w:p>
        </w:tc>
        <w:tc>
          <w:tcPr>
            <w:tcW w:w="1094" w:type="dxa"/>
            <w:vMerge w:val="restart"/>
            <w:shd w:val="clear" w:color="auto" w:fill="auto"/>
            <w:noWrap/>
          </w:tcPr>
          <w:p w:rsidR="000A0CC7" w:rsidRPr="009720FF" w:rsidRDefault="000A0CC7" w:rsidP="00F945FD">
            <w:pPr>
              <w:spacing w:after="0"/>
              <w:jc w:val="center"/>
              <w:rPr>
                <w:rFonts w:ascii="Times New Roman" w:hAnsi="Times New Roman" w:cs="Times New Roman"/>
                <w:noProof/>
                <w:sz w:val="20"/>
                <w:szCs w:val="20"/>
                <w:lang w:val="en-GB"/>
              </w:rPr>
            </w:pPr>
          </w:p>
        </w:tc>
        <w:tc>
          <w:tcPr>
            <w:tcW w:w="743" w:type="dxa"/>
            <w:vMerge w:val="restart"/>
            <w:shd w:val="clear" w:color="auto" w:fill="auto"/>
            <w:noWrap/>
          </w:tcPr>
          <w:p w:rsidR="000A0CC7" w:rsidRPr="009720FF" w:rsidRDefault="000A0CC7" w:rsidP="00F945FD">
            <w:pPr>
              <w:spacing w:after="0"/>
              <w:jc w:val="center"/>
              <w:rPr>
                <w:rFonts w:ascii="Times New Roman" w:hAnsi="Times New Roman" w:cs="Times New Roman"/>
                <w:noProof/>
                <w:sz w:val="20"/>
                <w:szCs w:val="20"/>
                <w:lang w:val="en-GB"/>
              </w:rPr>
            </w:pPr>
            <w:r>
              <w:rPr>
                <w:rFonts w:ascii="Times New Roman" w:hAnsi="Times New Roman" w:cs="Times New Roman"/>
                <w:noProof/>
                <w:sz w:val="20"/>
                <w:szCs w:val="20"/>
                <w:lang w:val="en-GB"/>
              </w:rPr>
              <w:t>ERDF</w:t>
            </w:r>
          </w:p>
        </w:tc>
        <w:tc>
          <w:tcPr>
            <w:tcW w:w="1055" w:type="dxa"/>
            <w:vMerge w:val="restart"/>
            <w:shd w:val="clear" w:color="auto" w:fill="auto"/>
            <w:noWrap/>
          </w:tcPr>
          <w:p w:rsidR="000A0CC7" w:rsidRPr="009720FF" w:rsidRDefault="000A0CC7" w:rsidP="00F945FD">
            <w:pPr>
              <w:spacing w:after="0"/>
              <w:jc w:val="center"/>
              <w:rPr>
                <w:rFonts w:ascii="Times New Roman" w:hAnsi="Times New Roman" w:cs="Times New Roman"/>
                <w:noProof/>
                <w:sz w:val="20"/>
                <w:szCs w:val="20"/>
                <w:lang w:val="en-GB"/>
              </w:rPr>
            </w:pPr>
            <w:r w:rsidRPr="009720FF">
              <w:rPr>
                <w:rFonts w:ascii="Times New Roman" w:hAnsi="Times New Roman" w:cs="Times New Roman"/>
                <w:noProof/>
                <w:sz w:val="20"/>
                <w:szCs w:val="20"/>
                <w:lang w:val="en-GB"/>
              </w:rPr>
              <w:t>Less developed</w:t>
            </w:r>
          </w:p>
        </w:tc>
        <w:tc>
          <w:tcPr>
            <w:tcW w:w="4140" w:type="dxa"/>
          </w:tcPr>
          <w:p w:rsidR="000A0CC7" w:rsidRPr="00E95FAC" w:rsidRDefault="000A0CC7" w:rsidP="00950575">
            <w:pPr>
              <w:pStyle w:val="Default"/>
              <w:rPr>
                <w:rFonts w:ascii="Times New Roman" w:hAnsi="Times New Roman" w:cs="Times New Roman"/>
                <w:sz w:val="20"/>
                <w:szCs w:val="20"/>
              </w:rPr>
            </w:pPr>
            <w:r w:rsidRPr="00E95FAC">
              <w:rPr>
                <w:rFonts w:ascii="Times New Roman" w:hAnsi="Times New Roman" w:cs="Times New Roman"/>
                <w:sz w:val="20"/>
                <w:szCs w:val="20"/>
              </w:rPr>
              <w:t xml:space="preserve">b (i) Promovarea eficienței energetice și reducerea emisiilor de gaze cu efect de seră </w:t>
            </w:r>
          </w:p>
          <w:p w:rsidR="000A0CC7" w:rsidRPr="00574E86" w:rsidRDefault="000A0CC7" w:rsidP="00E95FAC">
            <w:pPr>
              <w:spacing w:after="0" w:line="240" w:lineRule="auto"/>
              <w:rPr>
                <w:rFonts w:ascii="Times New Roman" w:hAnsi="Times New Roman" w:cs="Times New Roman"/>
                <w:noProof/>
                <w:sz w:val="20"/>
                <w:szCs w:val="20"/>
                <w:lang w:val="en-GB"/>
              </w:rPr>
            </w:pPr>
          </w:p>
        </w:tc>
      </w:tr>
      <w:tr w:rsidR="000A0CC7" w:rsidRPr="009720FF" w:rsidTr="00950575">
        <w:trPr>
          <w:trHeight w:val="148"/>
        </w:trPr>
        <w:tc>
          <w:tcPr>
            <w:tcW w:w="428" w:type="dxa"/>
            <w:vMerge/>
          </w:tcPr>
          <w:p w:rsidR="000A0CC7" w:rsidRDefault="000A0CC7" w:rsidP="00F945FD">
            <w:pPr>
              <w:spacing w:after="0"/>
              <w:jc w:val="center"/>
              <w:rPr>
                <w:rFonts w:ascii="Times New Roman" w:hAnsi="Times New Roman" w:cs="Times New Roman"/>
                <w:noProof/>
                <w:sz w:val="20"/>
                <w:szCs w:val="20"/>
                <w:lang w:val="en-GB"/>
              </w:rPr>
            </w:pPr>
          </w:p>
        </w:tc>
        <w:tc>
          <w:tcPr>
            <w:tcW w:w="2017" w:type="dxa"/>
            <w:vMerge/>
          </w:tcPr>
          <w:p w:rsidR="000A0CC7" w:rsidRDefault="000A0CC7" w:rsidP="00E95FAC">
            <w:pPr>
              <w:spacing w:after="0"/>
              <w:rPr>
                <w:rFonts w:ascii="Times New Roman" w:hAnsi="Times New Roman" w:cs="Times New Roman"/>
                <w:noProof/>
                <w:sz w:val="20"/>
                <w:szCs w:val="20"/>
                <w:lang w:val="en-GB"/>
              </w:rPr>
            </w:pPr>
          </w:p>
        </w:tc>
        <w:tc>
          <w:tcPr>
            <w:tcW w:w="528" w:type="dxa"/>
            <w:vMerge/>
          </w:tcPr>
          <w:p w:rsidR="000A0CC7" w:rsidRDefault="000A0CC7" w:rsidP="00F945FD">
            <w:pPr>
              <w:spacing w:after="0"/>
              <w:jc w:val="center"/>
              <w:rPr>
                <w:rFonts w:ascii="Times New Roman" w:hAnsi="Times New Roman" w:cs="Times New Roman"/>
                <w:noProof/>
                <w:sz w:val="20"/>
                <w:szCs w:val="20"/>
                <w:lang w:val="en-GB"/>
              </w:rPr>
            </w:pPr>
          </w:p>
        </w:tc>
        <w:tc>
          <w:tcPr>
            <w:tcW w:w="1094" w:type="dxa"/>
            <w:vMerge/>
            <w:shd w:val="clear" w:color="auto" w:fill="auto"/>
            <w:noWrap/>
          </w:tcPr>
          <w:p w:rsidR="000A0CC7" w:rsidRPr="009720FF" w:rsidRDefault="000A0CC7" w:rsidP="00F945FD">
            <w:pPr>
              <w:spacing w:after="0"/>
              <w:jc w:val="center"/>
              <w:rPr>
                <w:rFonts w:ascii="Times New Roman" w:hAnsi="Times New Roman" w:cs="Times New Roman"/>
                <w:noProof/>
                <w:sz w:val="20"/>
                <w:szCs w:val="20"/>
                <w:lang w:val="en-GB"/>
              </w:rPr>
            </w:pPr>
          </w:p>
        </w:tc>
        <w:tc>
          <w:tcPr>
            <w:tcW w:w="743" w:type="dxa"/>
            <w:vMerge/>
            <w:shd w:val="clear" w:color="auto" w:fill="auto"/>
            <w:noWrap/>
          </w:tcPr>
          <w:p w:rsidR="000A0CC7" w:rsidRDefault="000A0CC7" w:rsidP="00F945FD">
            <w:pPr>
              <w:spacing w:after="0"/>
              <w:jc w:val="center"/>
              <w:rPr>
                <w:rFonts w:ascii="Times New Roman" w:hAnsi="Times New Roman" w:cs="Times New Roman"/>
                <w:noProof/>
                <w:sz w:val="20"/>
                <w:szCs w:val="20"/>
                <w:lang w:val="en-GB"/>
              </w:rPr>
            </w:pPr>
          </w:p>
        </w:tc>
        <w:tc>
          <w:tcPr>
            <w:tcW w:w="1055" w:type="dxa"/>
            <w:vMerge/>
            <w:shd w:val="clear" w:color="auto" w:fill="auto"/>
            <w:noWrap/>
          </w:tcPr>
          <w:p w:rsidR="000A0CC7" w:rsidRPr="009720FF" w:rsidRDefault="000A0CC7" w:rsidP="00F945FD">
            <w:pPr>
              <w:spacing w:after="0"/>
              <w:jc w:val="center"/>
              <w:rPr>
                <w:rFonts w:ascii="Times New Roman" w:hAnsi="Times New Roman" w:cs="Times New Roman"/>
                <w:noProof/>
                <w:sz w:val="20"/>
                <w:szCs w:val="20"/>
                <w:lang w:val="en-GB"/>
              </w:rPr>
            </w:pPr>
          </w:p>
        </w:tc>
        <w:tc>
          <w:tcPr>
            <w:tcW w:w="4140" w:type="dxa"/>
          </w:tcPr>
          <w:p w:rsidR="000A0CC7" w:rsidRPr="00E95FAC" w:rsidRDefault="000A0CC7" w:rsidP="00950575">
            <w:pPr>
              <w:pStyle w:val="Default"/>
              <w:rPr>
                <w:rFonts w:ascii="Times New Roman" w:hAnsi="Times New Roman" w:cs="Times New Roman"/>
                <w:sz w:val="20"/>
                <w:szCs w:val="20"/>
              </w:rPr>
            </w:pPr>
            <w:r w:rsidRPr="00E95FAC">
              <w:rPr>
                <w:rFonts w:ascii="Times New Roman" w:hAnsi="Times New Roman" w:cs="Times New Roman"/>
                <w:sz w:val="20"/>
                <w:szCs w:val="20"/>
              </w:rPr>
              <w:t xml:space="preserve">b (vii) Îmbunătățirea protecției naturii și a biodiversității, a infrastructurii verzi în special în mediul urban și reducerea poluării </w:t>
            </w:r>
          </w:p>
          <w:p w:rsidR="000A0CC7" w:rsidRPr="00B308F7" w:rsidRDefault="000A0CC7" w:rsidP="00E95FAC">
            <w:pPr>
              <w:spacing w:after="0" w:line="240" w:lineRule="auto"/>
              <w:rPr>
                <w:rFonts w:ascii="Times New Roman" w:hAnsi="Times New Roman" w:cs="Times New Roman"/>
                <w:sz w:val="20"/>
                <w:szCs w:val="20"/>
                <w:lang w:val="en-US"/>
              </w:rPr>
            </w:pPr>
          </w:p>
        </w:tc>
      </w:tr>
      <w:tr w:rsidR="000A0CC7" w:rsidRPr="009720FF" w:rsidTr="00950575">
        <w:trPr>
          <w:trHeight w:val="148"/>
        </w:trPr>
        <w:tc>
          <w:tcPr>
            <w:tcW w:w="428" w:type="dxa"/>
            <w:vMerge/>
          </w:tcPr>
          <w:p w:rsidR="000A0CC7" w:rsidRDefault="000A0CC7" w:rsidP="00F945FD">
            <w:pPr>
              <w:spacing w:after="0"/>
              <w:jc w:val="center"/>
              <w:rPr>
                <w:rFonts w:ascii="Times New Roman" w:hAnsi="Times New Roman" w:cs="Times New Roman"/>
                <w:noProof/>
                <w:sz w:val="20"/>
                <w:szCs w:val="20"/>
                <w:lang w:val="en-GB"/>
              </w:rPr>
            </w:pPr>
          </w:p>
        </w:tc>
        <w:tc>
          <w:tcPr>
            <w:tcW w:w="2017" w:type="dxa"/>
            <w:vMerge/>
          </w:tcPr>
          <w:p w:rsidR="000A0CC7" w:rsidRDefault="000A0CC7" w:rsidP="00E95FAC">
            <w:pPr>
              <w:spacing w:after="0"/>
              <w:rPr>
                <w:rFonts w:ascii="Times New Roman" w:hAnsi="Times New Roman" w:cs="Times New Roman"/>
                <w:noProof/>
                <w:sz w:val="20"/>
                <w:szCs w:val="20"/>
                <w:lang w:val="en-GB"/>
              </w:rPr>
            </w:pPr>
          </w:p>
        </w:tc>
        <w:tc>
          <w:tcPr>
            <w:tcW w:w="528" w:type="dxa"/>
            <w:vMerge/>
          </w:tcPr>
          <w:p w:rsidR="000A0CC7" w:rsidRDefault="000A0CC7" w:rsidP="00F945FD">
            <w:pPr>
              <w:spacing w:after="0"/>
              <w:jc w:val="center"/>
              <w:rPr>
                <w:rFonts w:ascii="Times New Roman" w:hAnsi="Times New Roman" w:cs="Times New Roman"/>
                <w:noProof/>
                <w:sz w:val="20"/>
                <w:szCs w:val="20"/>
                <w:lang w:val="en-GB"/>
              </w:rPr>
            </w:pPr>
          </w:p>
        </w:tc>
        <w:tc>
          <w:tcPr>
            <w:tcW w:w="1094" w:type="dxa"/>
            <w:vMerge/>
            <w:shd w:val="clear" w:color="auto" w:fill="auto"/>
            <w:noWrap/>
          </w:tcPr>
          <w:p w:rsidR="000A0CC7" w:rsidRPr="009720FF" w:rsidRDefault="000A0CC7" w:rsidP="00F945FD">
            <w:pPr>
              <w:spacing w:after="0"/>
              <w:jc w:val="center"/>
              <w:rPr>
                <w:rFonts w:ascii="Times New Roman" w:hAnsi="Times New Roman" w:cs="Times New Roman"/>
                <w:noProof/>
                <w:sz w:val="20"/>
                <w:szCs w:val="20"/>
                <w:lang w:val="en-GB"/>
              </w:rPr>
            </w:pPr>
          </w:p>
        </w:tc>
        <w:tc>
          <w:tcPr>
            <w:tcW w:w="743" w:type="dxa"/>
            <w:vMerge/>
            <w:shd w:val="clear" w:color="auto" w:fill="auto"/>
            <w:noWrap/>
          </w:tcPr>
          <w:p w:rsidR="000A0CC7" w:rsidRDefault="000A0CC7" w:rsidP="00F945FD">
            <w:pPr>
              <w:spacing w:after="0"/>
              <w:jc w:val="center"/>
              <w:rPr>
                <w:rFonts w:ascii="Times New Roman" w:hAnsi="Times New Roman" w:cs="Times New Roman"/>
                <w:noProof/>
                <w:sz w:val="20"/>
                <w:szCs w:val="20"/>
                <w:lang w:val="en-GB"/>
              </w:rPr>
            </w:pPr>
          </w:p>
        </w:tc>
        <w:tc>
          <w:tcPr>
            <w:tcW w:w="1055" w:type="dxa"/>
            <w:vMerge/>
            <w:shd w:val="clear" w:color="auto" w:fill="auto"/>
            <w:noWrap/>
          </w:tcPr>
          <w:p w:rsidR="000A0CC7" w:rsidRPr="009720FF" w:rsidRDefault="000A0CC7" w:rsidP="00F945FD">
            <w:pPr>
              <w:spacing w:after="0"/>
              <w:jc w:val="center"/>
              <w:rPr>
                <w:rFonts w:ascii="Times New Roman" w:hAnsi="Times New Roman" w:cs="Times New Roman"/>
                <w:noProof/>
                <w:sz w:val="20"/>
                <w:szCs w:val="20"/>
                <w:lang w:val="en-GB"/>
              </w:rPr>
            </w:pPr>
          </w:p>
        </w:tc>
        <w:tc>
          <w:tcPr>
            <w:tcW w:w="4140" w:type="dxa"/>
          </w:tcPr>
          <w:p w:rsidR="000A0CC7" w:rsidRPr="00E95FAC" w:rsidRDefault="000A0CC7" w:rsidP="00950575">
            <w:pPr>
              <w:pStyle w:val="Default"/>
              <w:rPr>
                <w:rFonts w:ascii="Times New Roman" w:hAnsi="Times New Roman" w:cs="Times New Roman"/>
                <w:sz w:val="20"/>
                <w:szCs w:val="20"/>
              </w:rPr>
            </w:pPr>
            <w:r w:rsidRPr="00E95FAC">
              <w:rPr>
                <w:rFonts w:ascii="Times New Roman" w:hAnsi="Times New Roman" w:cs="Times New Roman"/>
                <w:sz w:val="20"/>
                <w:szCs w:val="20"/>
              </w:rPr>
              <w:t xml:space="preserve">b (viii) Promovarea mobilității urbane multimodale sustenabile </w:t>
            </w:r>
          </w:p>
          <w:p w:rsidR="000A0CC7" w:rsidRPr="00B308F7" w:rsidRDefault="000A0CC7" w:rsidP="00E95FAC">
            <w:pPr>
              <w:spacing w:after="0" w:line="240" w:lineRule="auto"/>
              <w:contextualSpacing/>
              <w:rPr>
                <w:rFonts w:ascii="Times New Roman" w:hAnsi="Times New Roman" w:cs="Times New Roman"/>
                <w:sz w:val="20"/>
                <w:szCs w:val="20"/>
                <w:lang w:val="en-US"/>
              </w:rPr>
            </w:pPr>
          </w:p>
        </w:tc>
      </w:tr>
      <w:tr w:rsidR="006C5DC7" w:rsidRPr="009720FF" w:rsidTr="00E95FAC">
        <w:trPr>
          <w:trHeight w:val="301"/>
        </w:trPr>
        <w:tc>
          <w:tcPr>
            <w:tcW w:w="428" w:type="dxa"/>
          </w:tcPr>
          <w:p w:rsidR="006C5DC7" w:rsidRPr="009720FF" w:rsidRDefault="006C5DC7" w:rsidP="00F945FD">
            <w:pPr>
              <w:spacing w:after="0"/>
              <w:jc w:val="center"/>
              <w:rPr>
                <w:rFonts w:ascii="Times New Roman" w:hAnsi="Times New Roman" w:cs="Times New Roman"/>
                <w:noProof/>
                <w:sz w:val="20"/>
                <w:szCs w:val="20"/>
                <w:lang w:val="en-GB"/>
              </w:rPr>
            </w:pPr>
            <w:r>
              <w:rPr>
                <w:rFonts w:ascii="Times New Roman" w:hAnsi="Times New Roman" w:cs="Times New Roman"/>
                <w:noProof/>
                <w:sz w:val="20"/>
                <w:szCs w:val="20"/>
                <w:lang w:val="en-GB"/>
              </w:rPr>
              <w:t>4</w:t>
            </w:r>
          </w:p>
        </w:tc>
        <w:tc>
          <w:tcPr>
            <w:tcW w:w="2017" w:type="dxa"/>
          </w:tcPr>
          <w:p w:rsidR="006C5DC7" w:rsidRDefault="006C5DC7" w:rsidP="00E95FAC">
            <w:pPr>
              <w:spacing w:after="0"/>
              <w:rPr>
                <w:rFonts w:ascii="Times New Roman" w:hAnsi="Times New Roman" w:cs="Times New Roman"/>
                <w:noProof/>
                <w:sz w:val="20"/>
                <w:szCs w:val="20"/>
                <w:lang w:val="en-GB"/>
              </w:rPr>
            </w:pPr>
            <w:r>
              <w:rPr>
                <w:rFonts w:ascii="Times New Roman" w:hAnsi="Times New Roman" w:cs="Times New Roman"/>
                <w:noProof/>
                <w:sz w:val="20"/>
                <w:szCs w:val="20"/>
                <w:lang w:val="en-GB"/>
              </w:rPr>
              <w:t xml:space="preserve">Priority 4 </w:t>
            </w:r>
          </w:p>
          <w:p w:rsidR="006C5DC7" w:rsidRPr="009720FF" w:rsidRDefault="006C5DC7" w:rsidP="00E95FAC">
            <w:pPr>
              <w:spacing w:after="0"/>
              <w:rPr>
                <w:rFonts w:ascii="Times New Roman" w:hAnsi="Times New Roman" w:cs="Times New Roman"/>
                <w:noProof/>
                <w:sz w:val="20"/>
                <w:szCs w:val="20"/>
                <w:lang w:val="en-GB"/>
              </w:rPr>
            </w:pPr>
            <w:bookmarkStart w:id="3" w:name="_Toc39131450"/>
            <w:r w:rsidRPr="001366A9">
              <w:rPr>
                <w:rFonts w:ascii="Times New Roman" w:hAnsi="Times New Roman" w:cs="Times New Roman"/>
                <w:b/>
                <w:noProof/>
                <w:sz w:val="20"/>
                <w:szCs w:val="20"/>
              </w:rPr>
              <w:t>O regiune accesibilă</w:t>
            </w:r>
            <w:bookmarkEnd w:id="3"/>
          </w:p>
        </w:tc>
        <w:tc>
          <w:tcPr>
            <w:tcW w:w="528" w:type="dxa"/>
          </w:tcPr>
          <w:p w:rsidR="006C5DC7" w:rsidRPr="009720FF" w:rsidRDefault="006C5DC7" w:rsidP="00F945FD">
            <w:pPr>
              <w:spacing w:after="0"/>
              <w:jc w:val="center"/>
              <w:rPr>
                <w:rFonts w:ascii="Times New Roman" w:hAnsi="Times New Roman" w:cs="Times New Roman"/>
                <w:noProof/>
                <w:sz w:val="20"/>
                <w:szCs w:val="20"/>
                <w:lang w:val="en-GB"/>
              </w:rPr>
            </w:pPr>
            <w:r>
              <w:rPr>
                <w:rFonts w:ascii="Times New Roman" w:hAnsi="Times New Roman" w:cs="Times New Roman"/>
                <w:noProof/>
                <w:sz w:val="20"/>
                <w:szCs w:val="20"/>
                <w:lang w:val="en-GB"/>
              </w:rPr>
              <w:t>No</w:t>
            </w:r>
          </w:p>
        </w:tc>
        <w:tc>
          <w:tcPr>
            <w:tcW w:w="1094" w:type="dxa"/>
            <w:shd w:val="clear" w:color="auto" w:fill="auto"/>
            <w:noWrap/>
          </w:tcPr>
          <w:p w:rsidR="006C5DC7" w:rsidRPr="009720FF" w:rsidRDefault="006C5DC7" w:rsidP="00F945FD">
            <w:pPr>
              <w:spacing w:after="0"/>
              <w:jc w:val="center"/>
              <w:rPr>
                <w:rFonts w:ascii="Times New Roman" w:hAnsi="Times New Roman" w:cs="Times New Roman"/>
                <w:noProof/>
                <w:sz w:val="20"/>
                <w:szCs w:val="20"/>
                <w:lang w:val="en-GB"/>
              </w:rPr>
            </w:pPr>
          </w:p>
        </w:tc>
        <w:tc>
          <w:tcPr>
            <w:tcW w:w="743" w:type="dxa"/>
            <w:shd w:val="clear" w:color="auto" w:fill="auto"/>
            <w:noWrap/>
          </w:tcPr>
          <w:p w:rsidR="006C5DC7" w:rsidRPr="009720FF" w:rsidRDefault="006C5DC7" w:rsidP="00F945FD">
            <w:pPr>
              <w:spacing w:after="0"/>
              <w:jc w:val="center"/>
              <w:rPr>
                <w:rFonts w:ascii="Times New Roman" w:hAnsi="Times New Roman" w:cs="Times New Roman"/>
                <w:noProof/>
                <w:sz w:val="20"/>
                <w:szCs w:val="20"/>
                <w:lang w:val="en-GB"/>
              </w:rPr>
            </w:pPr>
            <w:r>
              <w:rPr>
                <w:rFonts w:ascii="Times New Roman" w:hAnsi="Times New Roman" w:cs="Times New Roman"/>
                <w:noProof/>
                <w:sz w:val="20"/>
                <w:szCs w:val="20"/>
                <w:lang w:val="en-GB"/>
              </w:rPr>
              <w:t>ERDF</w:t>
            </w:r>
          </w:p>
        </w:tc>
        <w:tc>
          <w:tcPr>
            <w:tcW w:w="1055" w:type="dxa"/>
            <w:shd w:val="clear" w:color="auto" w:fill="auto"/>
            <w:noWrap/>
          </w:tcPr>
          <w:p w:rsidR="006C5DC7" w:rsidRPr="009720FF" w:rsidRDefault="006C5DC7" w:rsidP="00F945FD">
            <w:pPr>
              <w:spacing w:after="0"/>
              <w:jc w:val="center"/>
              <w:rPr>
                <w:rFonts w:ascii="Times New Roman" w:hAnsi="Times New Roman" w:cs="Times New Roman"/>
                <w:noProof/>
                <w:sz w:val="20"/>
                <w:szCs w:val="20"/>
                <w:lang w:val="en-GB"/>
              </w:rPr>
            </w:pPr>
            <w:r w:rsidRPr="009720FF">
              <w:rPr>
                <w:rFonts w:ascii="Times New Roman" w:hAnsi="Times New Roman" w:cs="Times New Roman"/>
                <w:noProof/>
                <w:sz w:val="20"/>
                <w:szCs w:val="20"/>
                <w:lang w:val="en-GB"/>
              </w:rPr>
              <w:t>Less developed</w:t>
            </w:r>
          </w:p>
        </w:tc>
        <w:tc>
          <w:tcPr>
            <w:tcW w:w="4140" w:type="dxa"/>
          </w:tcPr>
          <w:p w:rsidR="00950575" w:rsidRPr="00E95FAC" w:rsidRDefault="00950575" w:rsidP="00950575">
            <w:pPr>
              <w:pStyle w:val="Default"/>
              <w:rPr>
                <w:rFonts w:ascii="Times New Roman" w:hAnsi="Times New Roman" w:cs="Times New Roman"/>
                <w:sz w:val="20"/>
                <w:szCs w:val="20"/>
              </w:rPr>
            </w:pPr>
            <w:r w:rsidRPr="00E95FAC">
              <w:rPr>
                <w:rFonts w:ascii="Times New Roman" w:hAnsi="Times New Roman" w:cs="Times New Roman"/>
                <w:sz w:val="20"/>
                <w:szCs w:val="20"/>
              </w:rPr>
              <w:t xml:space="preserve">c (iii) Dezvoltarea unei mobilități naționale, regionale și locale durabile, reziliente în fața schimbărilor climatice, inteligente și intermodale, inclusiv îmbunătățirea accesului la TEN-T și a mobilității transfrontaliere </w:t>
            </w:r>
          </w:p>
          <w:p w:rsidR="006C5DC7" w:rsidRPr="005A19FA" w:rsidRDefault="006C5DC7" w:rsidP="00E95FAC">
            <w:pPr>
              <w:spacing w:after="0"/>
              <w:rPr>
                <w:rFonts w:ascii="Times New Roman" w:hAnsi="Times New Roman" w:cs="Times New Roman"/>
                <w:noProof/>
                <w:sz w:val="20"/>
                <w:szCs w:val="20"/>
                <w:lang w:val="en-GB"/>
              </w:rPr>
            </w:pPr>
          </w:p>
        </w:tc>
      </w:tr>
      <w:tr w:rsidR="00AD317B" w:rsidRPr="009720FF" w:rsidTr="00E95FAC">
        <w:trPr>
          <w:trHeight w:val="150"/>
        </w:trPr>
        <w:tc>
          <w:tcPr>
            <w:tcW w:w="428" w:type="dxa"/>
            <w:vMerge w:val="restart"/>
          </w:tcPr>
          <w:p w:rsidR="00AD317B" w:rsidRPr="009720FF" w:rsidRDefault="00AD317B" w:rsidP="00AD317B">
            <w:pPr>
              <w:spacing w:after="0"/>
              <w:jc w:val="center"/>
              <w:rPr>
                <w:rFonts w:ascii="Times New Roman" w:hAnsi="Times New Roman" w:cs="Times New Roman"/>
                <w:noProof/>
                <w:sz w:val="20"/>
                <w:szCs w:val="20"/>
                <w:lang w:val="en-GB"/>
              </w:rPr>
            </w:pPr>
            <w:r>
              <w:rPr>
                <w:rFonts w:ascii="Times New Roman" w:hAnsi="Times New Roman" w:cs="Times New Roman"/>
                <w:noProof/>
                <w:sz w:val="20"/>
                <w:szCs w:val="20"/>
                <w:lang w:val="en-GB"/>
              </w:rPr>
              <w:t>5</w:t>
            </w:r>
          </w:p>
        </w:tc>
        <w:tc>
          <w:tcPr>
            <w:tcW w:w="2017" w:type="dxa"/>
            <w:vMerge w:val="restart"/>
          </w:tcPr>
          <w:p w:rsidR="00AD317B" w:rsidRDefault="00AD317B" w:rsidP="00E95FAC">
            <w:pPr>
              <w:spacing w:after="0"/>
              <w:rPr>
                <w:rFonts w:ascii="Times New Roman" w:hAnsi="Times New Roman" w:cs="Times New Roman"/>
                <w:noProof/>
                <w:sz w:val="20"/>
                <w:szCs w:val="20"/>
                <w:lang w:val="en-GB"/>
              </w:rPr>
            </w:pPr>
            <w:r>
              <w:rPr>
                <w:rFonts w:ascii="Times New Roman" w:hAnsi="Times New Roman" w:cs="Times New Roman"/>
                <w:noProof/>
                <w:sz w:val="20"/>
                <w:szCs w:val="20"/>
                <w:lang w:val="en-GB"/>
              </w:rPr>
              <w:t xml:space="preserve">Priority 5 </w:t>
            </w:r>
          </w:p>
          <w:p w:rsidR="00AD317B" w:rsidRPr="009720FF" w:rsidRDefault="00AD317B" w:rsidP="00E95FAC">
            <w:pPr>
              <w:spacing w:after="0"/>
              <w:rPr>
                <w:rFonts w:ascii="Times New Roman" w:hAnsi="Times New Roman" w:cs="Times New Roman"/>
                <w:noProof/>
                <w:sz w:val="20"/>
                <w:szCs w:val="20"/>
                <w:lang w:val="en-GB"/>
              </w:rPr>
            </w:pPr>
            <w:bookmarkStart w:id="4" w:name="_Toc39131451"/>
            <w:r w:rsidRPr="00116268">
              <w:rPr>
                <w:rFonts w:ascii="Times New Roman" w:hAnsi="Times New Roman" w:cs="Times New Roman"/>
                <w:b/>
                <w:noProof/>
                <w:sz w:val="20"/>
                <w:szCs w:val="20"/>
              </w:rPr>
              <w:t>O regiune educată</w:t>
            </w:r>
            <w:bookmarkEnd w:id="4"/>
          </w:p>
        </w:tc>
        <w:tc>
          <w:tcPr>
            <w:tcW w:w="528" w:type="dxa"/>
            <w:vMerge w:val="restart"/>
          </w:tcPr>
          <w:p w:rsidR="00AD317B" w:rsidRPr="009720FF" w:rsidRDefault="00AD317B" w:rsidP="00AD317B">
            <w:pPr>
              <w:spacing w:after="0"/>
              <w:jc w:val="center"/>
              <w:rPr>
                <w:rFonts w:ascii="Times New Roman" w:hAnsi="Times New Roman" w:cs="Times New Roman"/>
                <w:noProof/>
                <w:sz w:val="20"/>
                <w:szCs w:val="20"/>
                <w:lang w:val="en-GB"/>
              </w:rPr>
            </w:pPr>
            <w:r>
              <w:rPr>
                <w:rFonts w:ascii="Times New Roman" w:hAnsi="Times New Roman" w:cs="Times New Roman"/>
                <w:noProof/>
                <w:sz w:val="20"/>
                <w:szCs w:val="20"/>
                <w:lang w:val="en-GB"/>
              </w:rPr>
              <w:t>No</w:t>
            </w:r>
          </w:p>
        </w:tc>
        <w:tc>
          <w:tcPr>
            <w:tcW w:w="1094" w:type="dxa"/>
            <w:vMerge w:val="restart"/>
            <w:shd w:val="clear" w:color="auto" w:fill="auto"/>
            <w:noWrap/>
          </w:tcPr>
          <w:p w:rsidR="00AD317B" w:rsidRPr="009720FF" w:rsidRDefault="00AD317B" w:rsidP="00AD317B">
            <w:pPr>
              <w:spacing w:after="0"/>
              <w:jc w:val="center"/>
              <w:rPr>
                <w:rFonts w:ascii="Times New Roman" w:hAnsi="Times New Roman" w:cs="Times New Roman"/>
                <w:noProof/>
                <w:sz w:val="20"/>
                <w:szCs w:val="20"/>
                <w:lang w:val="en-GB"/>
              </w:rPr>
            </w:pPr>
          </w:p>
        </w:tc>
        <w:tc>
          <w:tcPr>
            <w:tcW w:w="743" w:type="dxa"/>
            <w:vMerge w:val="restart"/>
            <w:shd w:val="clear" w:color="auto" w:fill="auto"/>
            <w:noWrap/>
          </w:tcPr>
          <w:p w:rsidR="00AD317B" w:rsidRPr="009720FF" w:rsidRDefault="00AD317B" w:rsidP="00AD317B">
            <w:pPr>
              <w:spacing w:after="0"/>
              <w:jc w:val="center"/>
              <w:rPr>
                <w:rFonts w:ascii="Times New Roman" w:hAnsi="Times New Roman" w:cs="Times New Roman"/>
                <w:noProof/>
                <w:sz w:val="20"/>
                <w:szCs w:val="20"/>
                <w:lang w:val="en-GB"/>
              </w:rPr>
            </w:pPr>
            <w:r>
              <w:rPr>
                <w:rFonts w:ascii="Times New Roman" w:hAnsi="Times New Roman" w:cs="Times New Roman"/>
                <w:noProof/>
                <w:sz w:val="20"/>
                <w:szCs w:val="20"/>
                <w:lang w:val="en-GB"/>
              </w:rPr>
              <w:t>ERDF</w:t>
            </w:r>
          </w:p>
        </w:tc>
        <w:tc>
          <w:tcPr>
            <w:tcW w:w="1055" w:type="dxa"/>
            <w:vMerge w:val="restart"/>
            <w:shd w:val="clear" w:color="auto" w:fill="auto"/>
            <w:noWrap/>
          </w:tcPr>
          <w:p w:rsidR="00AD317B" w:rsidRPr="009720FF" w:rsidRDefault="00AD317B" w:rsidP="00AD317B">
            <w:pPr>
              <w:spacing w:after="0"/>
              <w:jc w:val="center"/>
              <w:rPr>
                <w:rFonts w:ascii="Times New Roman" w:hAnsi="Times New Roman" w:cs="Times New Roman"/>
                <w:noProof/>
                <w:sz w:val="20"/>
                <w:szCs w:val="20"/>
                <w:lang w:val="en-GB"/>
              </w:rPr>
            </w:pPr>
            <w:r w:rsidRPr="009720FF">
              <w:rPr>
                <w:rFonts w:ascii="Times New Roman" w:hAnsi="Times New Roman" w:cs="Times New Roman"/>
                <w:noProof/>
                <w:sz w:val="20"/>
                <w:szCs w:val="20"/>
                <w:lang w:val="en-GB"/>
              </w:rPr>
              <w:t>Less developed</w:t>
            </w:r>
          </w:p>
        </w:tc>
        <w:tc>
          <w:tcPr>
            <w:tcW w:w="4140" w:type="dxa"/>
          </w:tcPr>
          <w:p w:rsidR="00AD317B" w:rsidRPr="005A19FA" w:rsidRDefault="00BE105C" w:rsidP="00E95FAC">
            <w:pPr>
              <w:spacing w:after="0"/>
              <w:rPr>
                <w:rFonts w:ascii="Times New Roman" w:hAnsi="Times New Roman" w:cs="Times New Roman"/>
                <w:noProof/>
                <w:sz w:val="20"/>
                <w:szCs w:val="20"/>
                <w:lang w:val="en-GB"/>
              </w:rPr>
            </w:pPr>
            <w:r w:rsidRPr="00E95FAC">
              <w:rPr>
                <w:rFonts w:ascii="Times New Roman" w:hAnsi="Times New Roman" w:cs="Times New Roman"/>
                <w:sz w:val="20"/>
                <w:szCs w:val="20"/>
              </w:rPr>
              <w:t>d (ii) Imbunătățirea accesului egal la servicii de calitate și favorabile incluziunii în educație, formare și învățarea pe tot parcursul vieții prin dezvoltarea infrastructurii</w:t>
            </w:r>
            <w:r w:rsidRPr="00E95FAC">
              <w:rPr>
                <w:rFonts w:ascii="Times New Roman" w:hAnsi="Times New Roman" w:cs="Times New Roman"/>
                <w:noProof/>
                <w:sz w:val="20"/>
                <w:szCs w:val="20"/>
              </w:rPr>
              <w:t>, inclusiv prin îmbunătățirea adaptării la educație și formare la distanță și on-line”</w:t>
            </w:r>
          </w:p>
        </w:tc>
      </w:tr>
      <w:tr w:rsidR="00AD317B" w:rsidRPr="009720FF" w:rsidTr="00E95FAC">
        <w:trPr>
          <w:trHeight w:val="150"/>
        </w:trPr>
        <w:tc>
          <w:tcPr>
            <w:tcW w:w="428" w:type="dxa"/>
            <w:vMerge/>
          </w:tcPr>
          <w:p w:rsidR="00AD317B" w:rsidRDefault="00AD317B" w:rsidP="00AD317B">
            <w:pPr>
              <w:spacing w:after="0"/>
              <w:jc w:val="center"/>
              <w:rPr>
                <w:rFonts w:ascii="Times New Roman" w:hAnsi="Times New Roman" w:cs="Times New Roman"/>
                <w:noProof/>
                <w:sz w:val="20"/>
                <w:szCs w:val="20"/>
                <w:lang w:val="en-GB"/>
              </w:rPr>
            </w:pPr>
          </w:p>
        </w:tc>
        <w:tc>
          <w:tcPr>
            <w:tcW w:w="2017" w:type="dxa"/>
            <w:vMerge/>
          </w:tcPr>
          <w:p w:rsidR="00AD317B" w:rsidRDefault="00AD317B" w:rsidP="00E95FAC">
            <w:pPr>
              <w:spacing w:after="0"/>
              <w:rPr>
                <w:rFonts w:ascii="Times New Roman" w:hAnsi="Times New Roman" w:cs="Times New Roman"/>
                <w:noProof/>
                <w:sz w:val="20"/>
                <w:szCs w:val="20"/>
                <w:lang w:val="en-GB"/>
              </w:rPr>
            </w:pPr>
          </w:p>
        </w:tc>
        <w:tc>
          <w:tcPr>
            <w:tcW w:w="528" w:type="dxa"/>
            <w:vMerge/>
          </w:tcPr>
          <w:p w:rsidR="00AD317B" w:rsidRDefault="00AD317B" w:rsidP="00AD317B">
            <w:pPr>
              <w:spacing w:after="0"/>
              <w:jc w:val="center"/>
              <w:rPr>
                <w:rFonts w:ascii="Times New Roman" w:hAnsi="Times New Roman" w:cs="Times New Roman"/>
                <w:noProof/>
                <w:sz w:val="20"/>
                <w:szCs w:val="20"/>
                <w:lang w:val="en-GB"/>
              </w:rPr>
            </w:pPr>
          </w:p>
        </w:tc>
        <w:tc>
          <w:tcPr>
            <w:tcW w:w="1094" w:type="dxa"/>
            <w:vMerge/>
            <w:shd w:val="clear" w:color="auto" w:fill="auto"/>
            <w:noWrap/>
          </w:tcPr>
          <w:p w:rsidR="00AD317B" w:rsidRPr="009720FF" w:rsidRDefault="00AD317B" w:rsidP="00AD317B">
            <w:pPr>
              <w:spacing w:after="0"/>
              <w:jc w:val="center"/>
              <w:rPr>
                <w:rFonts w:ascii="Times New Roman" w:hAnsi="Times New Roman" w:cs="Times New Roman"/>
                <w:noProof/>
                <w:sz w:val="20"/>
                <w:szCs w:val="20"/>
                <w:lang w:val="en-GB"/>
              </w:rPr>
            </w:pPr>
          </w:p>
        </w:tc>
        <w:tc>
          <w:tcPr>
            <w:tcW w:w="743" w:type="dxa"/>
            <w:vMerge/>
            <w:shd w:val="clear" w:color="auto" w:fill="auto"/>
            <w:noWrap/>
          </w:tcPr>
          <w:p w:rsidR="00AD317B" w:rsidRDefault="00AD317B" w:rsidP="00AD317B">
            <w:pPr>
              <w:spacing w:after="0"/>
              <w:jc w:val="center"/>
              <w:rPr>
                <w:rFonts w:ascii="Times New Roman" w:hAnsi="Times New Roman" w:cs="Times New Roman"/>
                <w:noProof/>
                <w:sz w:val="20"/>
                <w:szCs w:val="20"/>
                <w:lang w:val="en-GB"/>
              </w:rPr>
            </w:pPr>
          </w:p>
        </w:tc>
        <w:tc>
          <w:tcPr>
            <w:tcW w:w="1055" w:type="dxa"/>
            <w:vMerge/>
            <w:shd w:val="clear" w:color="auto" w:fill="auto"/>
            <w:noWrap/>
          </w:tcPr>
          <w:p w:rsidR="00AD317B" w:rsidRPr="009720FF" w:rsidRDefault="00AD317B" w:rsidP="00AD317B">
            <w:pPr>
              <w:spacing w:after="0"/>
              <w:jc w:val="center"/>
              <w:rPr>
                <w:rFonts w:ascii="Times New Roman" w:hAnsi="Times New Roman" w:cs="Times New Roman"/>
                <w:noProof/>
                <w:sz w:val="20"/>
                <w:szCs w:val="20"/>
                <w:lang w:val="en-GB"/>
              </w:rPr>
            </w:pPr>
          </w:p>
        </w:tc>
        <w:tc>
          <w:tcPr>
            <w:tcW w:w="4140" w:type="dxa"/>
          </w:tcPr>
          <w:p w:rsidR="00AD317B" w:rsidRPr="005A19FA" w:rsidRDefault="00BE105C" w:rsidP="00E95FAC">
            <w:pPr>
              <w:spacing w:after="0"/>
              <w:rPr>
                <w:rFonts w:ascii="Times New Roman" w:hAnsi="Times New Roman" w:cs="Times New Roman"/>
                <w:noProof/>
                <w:sz w:val="20"/>
                <w:szCs w:val="20"/>
                <w:lang w:val="en-GB"/>
              </w:rPr>
            </w:pPr>
            <w:r w:rsidRPr="00E95FAC">
              <w:rPr>
                <w:rFonts w:ascii="Times New Roman" w:hAnsi="Times New Roman" w:cs="Times New Roman"/>
                <w:noProof/>
                <w:sz w:val="20"/>
                <w:szCs w:val="20"/>
              </w:rPr>
              <w:t>d(v) Creșterea rolului culturii și turismului în dezvoltarea economică, incluziunea socială și inovarea socială</w:t>
            </w:r>
          </w:p>
        </w:tc>
      </w:tr>
      <w:tr w:rsidR="005A19FA" w:rsidRPr="009720FF" w:rsidTr="007375AE">
        <w:trPr>
          <w:trHeight w:val="300"/>
        </w:trPr>
        <w:tc>
          <w:tcPr>
            <w:tcW w:w="428" w:type="dxa"/>
            <w:vMerge w:val="restart"/>
          </w:tcPr>
          <w:p w:rsidR="005A19FA" w:rsidRPr="009720FF" w:rsidRDefault="005A19FA" w:rsidP="00116268">
            <w:pPr>
              <w:spacing w:after="0"/>
              <w:jc w:val="center"/>
              <w:rPr>
                <w:rFonts w:ascii="Times New Roman" w:hAnsi="Times New Roman" w:cs="Times New Roman"/>
                <w:noProof/>
                <w:sz w:val="20"/>
                <w:szCs w:val="20"/>
                <w:lang w:val="en-GB"/>
              </w:rPr>
            </w:pPr>
            <w:r>
              <w:rPr>
                <w:rFonts w:ascii="Times New Roman" w:hAnsi="Times New Roman" w:cs="Times New Roman"/>
                <w:noProof/>
                <w:sz w:val="20"/>
                <w:szCs w:val="20"/>
                <w:lang w:val="en-GB"/>
              </w:rPr>
              <w:t>6</w:t>
            </w:r>
          </w:p>
        </w:tc>
        <w:tc>
          <w:tcPr>
            <w:tcW w:w="2017" w:type="dxa"/>
            <w:vMerge w:val="restart"/>
          </w:tcPr>
          <w:p w:rsidR="005A19FA" w:rsidRDefault="005A19FA" w:rsidP="00E95FAC">
            <w:pPr>
              <w:spacing w:after="0"/>
              <w:rPr>
                <w:rFonts w:ascii="Times New Roman" w:hAnsi="Times New Roman" w:cs="Times New Roman"/>
                <w:noProof/>
                <w:sz w:val="20"/>
                <w:szCs w:val="20"/>
                <w:lang w:val="en-GB"/>
              </w:rPr>
            </w:pPr>
            <w:r>
              <w:rPr>
                <w:rFonts w:ascii="Times New Roman" w:hAnsi="Times New Roman" w:cs="Times New Roman"/>
                <w:noProof/>
                <w:sz w:val="20"/>
                <w:szCs w:val="20"/>
                <w:lang w:val="en-GB"/>
              </w:rPr>
              <w:t xml:space="preserve">Priority 6 </w:t>
            </w:r>
          </w:p>
          <w:p w:rsidR="005A19FA" w:rsidRPr="009720FF" w:rsidRDefault="005A19FA" w:rsidP="00E95FAC">
            <w:pPr>
              <w:spacing w:after="0"/>
              <w:rPr>
                <w:rFonts w:ascii="Times New Roman" w:hAnsi="Times New Roman" w:cs="Times New Roman"/>
                <w:noProof/>
                <w:sz w:val="20"/>
                <w:szCs w:val="20"/>
                <w:lang w:val="en-GB"/>
              </w:rPr>
            </w:pPr>
            <w:bookmarkStart w:id="5" w:name="_Toc39131452"/>
            <w:r w:rsidRPr="00116268">
              <w:rPr>
                <w:rFonts w:ascii="Times New Roman" w:hAnsi="Times New Roman" w:cs="Times New Roman"/>
                <w:b/>
                <w:noProof/>
                <w:sz w:val="20"/>
                <w:szCs w:val="20"/>
              </w:rPr>
              <w:t>O regiune atractivă</w:t>
            </w:r>
            <w:bookmarkEnd w:id="5"/>
          </w:p>
        </w:tc>
        <w:tc>
          <w:tcPr>
            <w:tcW w:w="528" w:type="dxa"/>
            <w:vMerge w:val="restart"/>
          </w:tcPr>
          <w:p w:rsidR="005A19FA" w:rsidRPr="009720FF" w:rsidRDefault="005A19FA" w:rsidP="00116268">
            <w:pPr>
              <w:spacing w:after="0"/>
              <w:jc w:val="center"/>
              <w:rPr>
                <w:rFonts w:ascii="Times New Roman" w:hAnsi="Times New Roman" w:cs="Times New Roman"/>
                <w:noProof/>
                <w:sz w:val="20"/>
                <w:szCs w:val="20"/>
                <w:lang w:val="en-GB"/>
              </w:rPr>
            </w:pPr>
            <w:r>
              <w:rPr>
                <w:rFonts w:ascii="Times New Roman" w:hAnsi="Times New Roman" w:cs="Times New Roman"/>
                <w:noProof/>
                <w:sz w:val="20"/>
                <w:szCs w:val="20"/>
                <w:lang w:val="en-GB"/>
              </w:rPr>
              <w:t>No</w:t>
            </w:r>
          </w:p>
        </w:tc>
        <w:tc>
          <w:tcPr>
            <w:tcW w:w="1094" w:type="dxa"/>
            <w:vMerge w:val="restart"/>
            <w:shd w:val="clear" w:color="auto" w:fill="auto"/>
            <w:noWrap/>
          </w:tcPr>
          <w:p w:rsidR="005A19FA" w:rsidRPr="009720FF" w:rsidRDefault="005A19FA" w:rsidP="00116268">
            <w:pPr>
              <w:spacing w:after="0"/>
              <w:jc w:val="center"/>
              <w:rPr>
                <w:rFonts w:ascii="Times New Roman" w:hAnsi="Times New Roman" w:cs="Times New Roman"/>
                <w:noProof/>
                <w:sz w:val="20"/>
                <w:szCs w:val="20"/>
                <w:lang w:val="en-GB"/>
              </w:rPr>
            </w:pPr>
          </w:p>
        </w:tc>
        <w:tc>
          <w:tcPr>
            <w:tcW w:w="743" w:type="dxa"/>
            <w:vMerge w:val="restart"/>
            <w:shd w:val="clear" w:color="auto" w:fill="auto"/>
            <w:noWrap/>
          </w:tcPr>
          <w:p w:rsidR="005A19FA" w:rsidRPr="009720FF" w:rsidRDefault="005A19FA" w:rsidP="00116268">
            <w:pPr>
              <w:spacing w:after="0"/>
              <w:jc w:val="center"/>
              <w:rPr>
                <w:rFonts w:ascii="Times New Roman" w:hAnsi="Times New Roman" w:cs="Times New Roman"/>
                <w:noProof/>
                <w:sz w:val="20"/>
                <w:szCs w:val="20"/>
                <w:lang w:val="en-GB"/>
              </w:rPr>
            </w:pPr>
            <w:r>
              <w:rPr>
                <w:rFonts w:ascii="Times New Roman" w:hAnsi="Times New Roman" w:cs="Times New Roman"/>
                <w:noProof/>
                <w:sz w:val="20"/>
                <w:szCs w:val="20"/>
                <w:lang w:val="en-GB"/>
              </w:rPr>
              <w:t>ERDF</w:t>
            </w:r>
          </w:p>
        </w:tc>
        <w:tc>
          <w:tcPr>
            <w:tcW w:w="1055" w:type="dxa"/>
            <w:vMerge w:val="restart"/>
            <w:shd w:val="clear" w:color="auto" w:fill="auto"/>
            <w:noWrap/>
          </w:tcPr>
          <w:p w:rsidR="005A19FA" w:rsidRPr="009720FF" w:rsidRDefault="005A19FA" w:rsidP="00116268">
            <w:pPr>
              <w:spacing w:after="0"/>
              <w:jc w:val="center"/>
              <w:rPr>
                <w:rFonts w:ascii="Times New Roman" w:hAnsi="Times New Roman" w:cs="Times New Roman"/>
                <w:noProof/>
                <w:sz w:val="20"/>
                <w:szCs w:val="20"/>
                <w:lang w:val="en-GB"/>
              </w:rPr>
            </w:pPr>
            <w:r w:rsidRPr="009720FF">
              <w:rPr>
                <w:rFonts w:ascii="Times New Roman" w:hAnsi="Times New Roman" w:cs="Times New Roman"/>
                <w:noProof/>
                <w:sz w:val="20"/>
                <w:szCs w:val="20"/>
                <w:lang w:val="en-GB"/>
              </w:rPr>
              <w:t>Less developed</w:t>
            </w:r>
          </w:p>
        </w:tc>
        <w:tc>
          <w:tcPr>
            <w:tcW w:w="4140" w:type="dxa"/>
          </w:tcPr>
          <w:p w:rsidR="005A19FA" w:rsidRPr="00E95FAC" w:rsidRDefault="005A19FA" w:rsidP="005A19FA">
            <w:pPr>
              <w:pStyle w:val="Default"/>
              <w:rPr>
                <w:rFonts w:ascii="Times New Roman" w:hAnsi="Times New Roman" w:cs="Times New Roman"/>
                <w:sz w:val="20"/>
                <w:szCs w:val="20"/>
              </w:rPr>
            </w:pPr>
            <w:r w:rsidRPr="00E95FAC">
              <w:rPr>
                <w:rFonts w:ascii="Times New Roman" w:hAnsi="Times New Roman" w:cs="Times New Roman"/>
                <w:sz w:val="20"/>
                <w:szCs w:val="20"/>
              </w:rPr>
              <w:t xml:space="preserve">e (i) Favorizarea dezvoltării integrate sociale, economice și de mediu la nivel local și a patrimoniului cultural, turismului și securității în zonele urbane </w:t>
            </w:r>
          </w:p>
          <w:p w:rsidR="005A19FA" w:rsidRPr="005A19FA" w:rsidRDefault="005A19FA" w:rsidP="00E95FAC">
            <w:pPr>
              <w:spacing w:after="0"/>
              <w:rPr>
                <w:rFonts w:ascii="Times New Roman" w:hAnsi="Times New Roman" w:cs="Times New Roman"/>
                <w:noProof/>
                <w:sz w:val="20"/>
                <w:szCs w:val="20"/>
                <w:lang w:val="en-GB"/>
              </w:rPr>
            </w:pPr>
          </w:p>
        </w:tc>
      </w:tr>
      <w:tr w:rsidR="005A19FA" w:rsidRPr="009720FF" w:rsidTr="00950575">
        <w:trPr>
          <w:trHeight w:val="300"/>
        </w:trPr>
        <w:tc>
          <w:tcPr>
            <w:tcW w:w="428" w:type="dxa"/>
            <w:vMerge/>
          </w:tcPr>
          <w:p w:rsidR="005A19FA" w:rsidRDefault="005A19FA" w:rsidP="00116268">
            <w:pPr>
              <w:spacing w:after="0"/>
              <w:jc w:val="center"/>
              <w:rPr>
                <w:rFonts w:ascii="Times New Roman" w:hAnsi="Times New Roman" w:cs="Times New Roman"/>
                <w:noProof/>
                <w:sz w:val="20"/>
                <w:szCs w:val="20"/>
                <w:lang w:val="en-GB"/>
              </w:rPr>
            </w:pPr>
          </w:p>
        </w:tc>
        <w:tc>
          <w:tcPr>
            <w:tcW w:w="2017" w:type="dxa"/>
            <w:vMerge/>
          </w:tcPr>
          <w:p w:rsidR="005A19FA" w:rsidRDefault="005A19FA" w:rsidP="00950575">
            <w:pPr>
              <w:spacing w:after="0"/>
              <w:rPr>
                <w:rFonts w:ascii="Times New Roman" w:hAnsi="Times New Roman" w:cs="Times New Roman"/>
                <w:noProof/>
                <w:sz w:val="20"/>
                <w:szCs w:val="20"/>
                <w:lang w:val="en-GB"/>
              </w:rPr>
            </w:pPr>
          </w:p>
        </w:tc>
        <w:tc>
          <w:tcPr>
            <w:tcW w:w="528" w:type="dxa"/>
            <w:vMerge/>
          </w:tcPr>
          <w:p w:rsidR="005A19FA" w:rsidRDefault="005A19FA" w:rsidP="00116268">
            <w:pPr>
              <w:spacing w:after="0"/>
              <w:jc w:val="center"/>
              <w:rPr>
                <w:rFonts w:ascii="Times New Roman" w:hAnsi="Times New Roman" w:cs="Times New Roman"/>
                <w:noProof/>
                <w:sz w:val="20"/>
                <w:szCs w:val="20"/>
                <w:lang w:val="en-GB"/>
              </w:rPr>
            </w:pPr>
          </w:p>
        </w:tc>
        <w:tc>
          <w:tcPr>
            <w:tcW w:w="1094" w:type="dxa"/>
            <w:vMerge/>
            <w:shd w:val="clear" w:color="auto" w:fill="auto"/>
            <w:noWrap/>
          </w:tcPr>
          <w:p w:rsidR="005A19FA" w:rsidRPr="009720FF" w:rsidRDefault="005A19FA" w:rsidP="00116268">
            <w:pPr>
              <w:spacing w:after="0"/>
              <w:jc w:val="center"/>
              <w:rPr>
                <w:rFonts w:ascii="Times New Roman" w:hAnsi="Times New Roman" w:cs="Times New Roman"/>
                <w:noProof/>
                <w:sz w:val="20"/>
                <w:szCs w:val="20"/>
                <w:lang w:val="en-GB"/>
              </w:rPr>
            </w:pPr>
          </w:p>
        </w:tc>
        <w:tc>
          <w:tcPr>
            <w:tcW w:w="743" w:type="dxa"/>
            <w:vMerge/>
            <w:shd w:val="clear" w:color="auto" w:fill="auto"/>
            <w:noWrap/>
          </w:tcPr>
          <w:p w:rsidR="005A19FA" w:rsidRDefault="005A19FA" w:rsidP="00116268">
            <w:pPr>
              <w:spacing w:after="0"/>
              <w:jc w:val="center"/>
              <w:rPr>
                <w:rFonts w:ascii="Times New Roman" w:hAnsi="Times New Roman" w:cs="Times New Roman"/>
                <w:noProof/>
                <w:sz w:val="20"/>
                <w:szCs w:val="20"/>
                <w:lang w:val="en-GB"/>
              </w:rPr>
            </w:pPr>
          </w:p>
        </w:tc>
        <w:tc>
          <w:tcPr>
            <w:tcW w:w="1055" w:type="dxa"/>
            <w:vMerge/>
            <w:shd w:val="clear" w:color="auto" w:fill="auto"/>
            <w:noWrap/>
          </w:tcPr>
          <w:p w:rsidR="005A19FA" w:rsidRPr="009720FF" w:rsidRDefault="005A19FA" w:rsidP="00116268">
            <w:pPr>
              <w:spacing w:after="0"/>
              <w:jc w:val="center"/>
              <w:rPr>
                <w:rFonts w:ascii="Times New Roman" w:hAnsi="Times New Roman" w:cs="Times New Roman"/>
                <w:noProof/>
                <w:sz w:val="20"/>
                <w:szCs w:val="20"/>
                <w:lang w:val="en-GB"/>
              </w:rPr>
            </w:pPr>
          </w:p>
        </w:tc>
        <w:tc>
          <w:tcPr>
            <w:tcW w:w="4140" w:type="dxa"/>
          </w:tcPr>
          <w:p w:rsidR="005A19FA" w:rsidRPr="00E95FAC" w:rsidRDefault="005A19FA" w:rsidP="005A19FA">
            <w:pPr>
              <w:pStyle w:val="Default"/>
              <w:rPr>
                <w:rFonts w:ascii="Times New Roman" w:hAnsi="Times New Roman" w:cs="Times New Roman"/>
                <w:sz w:val="20"/>
                <w:szCs w:val="20"/>
              </w:rPr>
            </w:pPr>
            <w:r w:rsidRPr="00E95FAC">
              <w:rPr>
                <w:rFonts w:ascii="Times New Roman" w:hAnsi="Times New Roman" w:cs="Times New Roman"/>
                <w:sz w:val="20"/>
                <w:szCs w:val="20"/>
              </w:rPr>
              <w:t xml:space="preserve">e (ii) Favorizarea dezvoltării integrate sociale, economice și de mediu la nivel local și a patrimoniului cultural, turismului și securității înafara zonelor urbane </w:t>
            </w:r>
          </w:p>
          <w:p w:rsidR="005A19FA" w:rsidRPr="005A19FA" w:rsidRDefault="005A19FA" w:rsidP="00950575">
            <w:pPr>
              <w:spacing w:after="0"/>
              <w:rPr>
                <w:rFonts w:ascii="Times New Roman" w:hAnsi="Times New Roman" w:cs="Times New Roman"/>
                <w:noProof/>
                <w:sz w:val="20"/>
                <w:szCs w:val="20"/>
                <w:lang w:val="en-GB"/>
              </w:rPr>
            </w:pPr>
          </w:p>
        </w:tc>
      </w:tr>
      <w:tr w:rsidR="00116268" w:rsidRPr="009720FF" w:rsidTr="00E95FAC">
        <w:trPr>
          <w:trHeight w:val="610"/>
        </w:trPr>
        <w:tc>
          <w:tcPr>
            <w:tcW w:w="428" w:type="dxa"/>
            <w:shd w:val="clear" w:color="auto" w:fill="auto"/>
            <w:noWrap/>
            <w:hideMark/>
          </w:tcPr>
          <w:p w:rsidR="00116268" w:rsidRPr="009720FF" w:rsidRDefault="000A0CC7" w:rsidP="00116268">
            <w:pPr>
              <w:spacing w:after="0"/>
              <w:jc w:val="center"/>
              <w:rPr>
                <w:rFonts w:ascii="Times New Roman" w:hAnsi="Times New Roman" w:cs="Times New Roman"/>
                <w:noProof/>
                <w:sz w:val="20"/>
                <w:szCs w:val="20"/>
                <w:lang w:val="en-GB"/>
              </w:rPr>
            </w:pPr>
            <w:r>
              <w:rPr>
                <w:rFonts w:ascii="Times New Roman" w:hAnsi="Times New Roman" w:cs="Times New Roman"/>
                <w:noProof/>
                <w:sz w:val="20"/>
                <w:szCs w:val="20"/>
                <w:lang w:val="en-GB"/>
              </w:rPr>
              <w:t>7</w:t>
            </w:r>
          </w:p>
        </w:tc>
        <w:tc>
          <w:tcPr>
            <w:tcW w:w="2017" w:type="dxa"/>
            <w:shd w:val="clear" w:color="auto" w:fill="auto"/>
            <w:noWrap/>
            <w:hideMark/>
          </w:tcPr>
          <w:p w:rsidR="00116268" w:rsidRDefault="00116268" w:rsidP="00116268">
            <w:pPr>
              <w:spacing w:after="0"/>
              <w:jc w:val="center"/>
              <w:rPr>
                <w:rFonts w:ascii="Times New Roman" w:hAnsi="Times New Roman" w:cs="Times New Roman"/>
                <w:noProof/>
                <w:sz w:val="20"/>
                <w:szCs w:val="20"/>
                <w:lang w:val="en-GB"/>
              </w:rPr>
            </w:pPr>
            <w:r w:rsidRPr="007A2D8D">
              <w:rPr>
                <w:rFonts w:ascii="Times New Roman" w:hAnsi="Times New Roman" w:cs="Times New Roman"/>
                <w:noProof/>
                <w:sz w:val="20"/>
                <w:szCs w:val="20"/>
                <w:lang w:val="en-GB"/>
              </w:rPr>
              <w:t>Priority technical assistance</w:t>
            </w:r>
          </w:p>
          <w:p w:rsidR="000D4E24" w:rsidRPr="007A2D8D" w:rsidRDefault="000D4E24" w:rsidP="00116268">
            <w:pPr>
              <w:spacing w:after="0"/>
              <w:jc w:val="center"/>
              <w:rPr>
                <w:rFonts w:ascii="Times New Roman" w:hAnsi="Times New Roman" w:cs="Times New Roman"/>
                <w:noProof/>
                <w:sz w:val="20"/>
                <w:szCs w:val="20"/>
                <w:lang w:val="en-GB"/>
              </w:rPr>
            </w:pPr>
            <w:r>
              <w:rPr>
                <w:rFonts w:ascii="Times New Roman" w:hAnsi="Times New Roman" w:cs="Times New Roman"/>
                <w:noProof/>
                <w:sz w:val="20"/>
                <w:szCs w:val="20"/>
                <w:lang w:val="en-GB"/>
              </w:rPr>
              <w:t>Asistență Tehnică</w:t>
            </w:r>
          </w:p>
        </w:tc>
        <w:tc>
          <w:tcPr>
            <w:tcW w:w="528" w:type="dxa"/>
            <w:shd w:val="clear" w:color="auto" w:fill="auto"/>
            <w:noWrap/>
            <w:hideMark/>
          </w:tcPr>
          <w:p w:rsidR="00116268" w:rsidRPr="007A2D8D" w:rsidRDefault="00116268" w:rsidP="00116268">
            <w:pPr>
              <w:spacing w:after="0"/>
              <w:jc w:val="center"/>
              <w:rPr>
                <w:rFonts w:ascii="Times New Roman" w:hAnsi="Times New Roman" w:cs="Times New Roman"/>
                <w:noProof/>
                <w:sz w:val="20"/>
                <w:szCs w:val="20"/>
                <w:lang w:val="en-GB"/>
              </w:rPr>
            </w:pPr>
            <w:r w:rsidRPr="007A2D8D">
              <w:rPr>
                <w:rFonts w:ascii="Times New Roman" w:hAnsi="Times New Roman" w:cs="Times New Roman"/>
                <w:noProof/>
                <w:sz w:val="20"/>
                <w:szCs w:val="20"/>
                <w:lang w:val="en-GB"/>
              </w:rPr>
              <w:t>Yes</w:t>
            </w:r>
          </w:p>
        </w:tc>
        <w:tc>
          <w:tcPr>
            <w:tcW w:w="1094" w:type="dxa"/>
            <w:shd w:val="clear" w:color="auto" w:fill="auto"/>
            <w:noWrap/>
          </w:tcPr>
          <w:p w:rsidR="00116268" w:rsidRPr="007A2D8D" w:rsidRDefault="00116268" w:rsidP="00116268">
            <w:pPr>
              <w:spacing w:after="0"/>
              <w:jc w:val="center"/>
              <w:rPr>
                <w:rFonts w:ascii="Times New Roman" w:hAnsi="Times New Roman" w:cs="Times New Roman"/>
                <w:noProof/>
                <w:sz w:val="20"/>
                <w:szCs w:val="20"/>
                <w:lang w:val="en-GB"/>
              </w:rPr>
            </w:pPr>
          </w:p>
        </w:tc>
        <w:tc>
          <w:tcPr>
            <w:tcW w:w="743" w:type="dxa"/>
            <w:shd w:val="clear" w:color="auto" w:fill="auto"/>
            <w:noWrap/>
          </w:tcPr>
          <w:p w:rsidR="00116268" w:rsidRPr="007A2D8D" w:rsidRDefault="00116268" w:rsidP="00116268">
            <w:pPr>
              <w:spacing w:after="0"/>
              <w:jc w:val="center"/>
              <w:rPr>
                <w:rFonts w:ascii="Times New Roman" w:hAnsi="Times New Roman" w:cs="Times New Roman"/>
                <w:noProof/>
                <w:sz w:val="20"/>
                <w:szCs w:val="20"/>
                <w:lang w:val="en-GB"/>
              </w:rPr>
            </w:pPr>
            <w:r w:rsidRPr="007A2D8D">
              <w:rPr>
                <w:rFonts w:ascii="Times New Roman" w:hAnsi="Times New Roman" w:cs="Times New Roman"/>
                <w:noProof/>
                <w:sz w:val="20"/>
                <w:szCs w:val="20"/>
                <w:lang w:val="en-GB"/>
              </w:rPr>
              <w:t>ERDF</w:t>
            </w:r>
          </w:p>
          <w:p w:rsidR="00116268" w:rsidRPr="007A2D8D" w:rsidRDefault="00116268" w:rsidP="00116268">
            <w:pPr>
              <w:spacing w:after="0"/>
              <w:jc w:val="center"/>
              <w:rPr>
                <w:rFonts w:ascii="Times New Roman" w:hAnsi="Times New Roman" w:cs="Times New Roman"/>
                <w:noProof/>
                <w:sz w:val="20"/>
                <w:szCs w:val="20"/>
                <w:lang w:val="en-GB"/>
              </w:rPr>
            </w:pPr>
          </w:p>
        </w:tc>
        <w:tc>
          <w:tcPr>
            <w:tcW w:w="1055" w:type="dxa"/>
            <w:shd w:val="clear" w:color="auto" w:fill="auto"/>
            <w:noWrap/>
            <w:hideMark/>
          </w:tcPr>
          <w:p w:rsidR="00116268" w:rsidRPr="007A2D8D" w:rsidRDefault="00116268" w:rsidP="00116268">
            <w:pPr>
              <w:spacing w:after="0"/>
              <w:jc w:val="center"/>
              <w:rPr>
                <w:rFonts w:ascii="Times New Roman" w:hAnsi="Times New Roman" w:cs="Times New Roman"/>
                <w:noProof/>
                <w:sz w:val="20"/>
                <w:szCs w:val="20"/>
                <w:lang w:val="en-GB"/>
              </w:rPr>
            </w:pPr>
          </w:p>
        </w:tc>
        <w:tc>
          <w:tcPr>
            <w:tcW w:w="4140" w:type="dxa"/>
            <w:shd w:val="clear" w:color="auto" w:fill="auto"/>
          </w:tcPr>
          <w:p w:rsidR="00116268" w:rsidRPr="007A2D8D" w:rsidRDefault="00116268" w:rsidP="00E95FAC">
            <w:pPr>
              <w:spacing w:after="0"/>
              <w:rPr>
                <w:rFonts w:ascii="Times New Roman" w:hAnsi="Times New Roman" w:cs="Times New Roman"/>
                <w:noProof/>
                <w:sz w:val="20"/>
                <w:szCs w:val="20"/>
                <w:lang w:val="en-GB"/>
              </w:rPr>
            </w:pPr>
            <w:r w:rsidRPr="007A2D8D">
              <w:rPr>
                <w:rFonts w:ascii="Times New Roman" w:hAnsi="Times New Roman" w:cs="Times New Roman"/>
                <w:noProof/>
                <w:sz w:val="20"/>
                <w:szCs w:val="20"/>
                <w:lang w:val="en-GB"/>
              </w:rPr>
              <w:t>NA</w:t>
            </w:r>
          </w:p>
          <w:p w:rsidR="00116268" w:rsidRPr="007A2D8D" w:rsidRDefault="00116268" w:rsidP="00E95FAC">
            <w:pPr>
              <w:spacing w:after="0"/>
              <w:rPr>
                <w:rFonts w:ascii="Times New Roman" w:hAnsi="Times New Roman" w:cs="Times New Roman"/>
                <w:noProof/>
                <w:sz w:val="20"/>
                <w:szCs w:val="20"/>
                <w:lang w:val="en-GB"/>
              </w:rPr>
            </w:pPr>
          </w:p>
        </w:tc>
      </w:tr>
    </w:tbl>
    <w:p w:rsidR="00116268" w:rsidRDefault="00116268" w:rsidP="00F000AD">
      <w:pPr>
        <w:rPr>
          <w:b/>
          <w:lang w:val="en-GB"/>
        </w:rPr>
      </w:pPr>
    </w:p>
    <w:p w:rsidR="00F000AD" w:rsidRPr="00F000AD" w:rsidRDefault="00F000AD" w:rsidP="00F000AD">
      <w:pPr>
        <w:rPr>
          <w:b/>
          <w:u w:val="single"/>
          <w:lang w:val="en-GB"/>
        </w:rPr>
      </w:pPr>
      <w:r w:rsidRPr="00F000AD">
        <w:rPr>
          <w:b/>
          <w:lang w:val="en-GB"/>
        </w:rPr>
        <w:t>2.A Priorities other than technical assistance</w:t>
      </w:r>
    </w:p>
    <w:p w:rsidR="006F04E2" w:rsidRDefault="00F000AD" w:rsidP="00F000AD">
      <w:pPr>
        <w:rPr>
          <w:b/>
          <w:lang w:val="en-GB"/>
        </w:rPr>
      </w:pPr>
      <w:r w:rsidRPr="00F000AD">
        <w:rPr>
          <w:b/>
          <w:lang w:val="en-GB"/>
        </w:rPr>
        <w:t xml:space="preserve">2.A.1 Title of the priority [300] </w:t>
      </w:r>
      <w:r w:rsidRPr="00F000AD">
        <w:rPr>
          <w:lang w:val="en-GB"/>
        </w:rPr>
        <w:t>(repeated for each priority)*</w:t>
      </w:r>
      <w:r w:rsidR="00E97133">
        <w:rPr>
          <w:lang w:val="en-GB"/>
        </w:rPr>
        <w:t xml:space="preserve"> </w:t>
      </w:r>
    </w:p>
    <w:p w:rsidR="00F8597A" w:rsidRPr="00615B6C" w:rsidRDefault="00F8597A" w:rsidP="00F8597A">
      <w:pPr>
        <w:rPr>
          <w:rFonts w:ascii="Times New Roman" w:hAnsi="Times New Roman" w:cs="Times New Roman"/>
          <w:b/>
          <w:noProof/>
          <w:sz w:val="28"/>
          <w:szCs w:val="28"/>
        </w:rPr>
      </w:pPr>
      <w:r w:rsidRPr="006F04E2">
        <w:rPr>
          <w:rFonts w:ascii="Times New Roman" w:hAnsi="Times New Roman" w:cs="Times New Roman"/>
          <w:b/>
          <w:sz w:val="28"/>
          <w:szCs w:val="28"/>
          <w:lang w:val="en-GB"/>
        </w:rPr>
        <w:t xml:space="preserve">Prioritatea 1 </w:t>
      </w:r>
      <w:r w:rsidRPr="00615B6C">
        <w:rPr>
          <w:rFonts w:ascii="Times New Roman" w:hAnsi="Times New Roman" w:cs="Times New Roman"/>
          <w:b/>
          <w:sz w:val="28"/>
          <w:szCs w:val="28"/>
          <w:lang w:val="en-GB"/>
        </w:rPr>
        <w:t xml:space="preserve">- </w:t>
      </w:r>
      <w:r w:rsidRPr="00615B6C">
        <w:rPr>
          <w:rFonts w:ascii="Times New Roman" w:hAnsi="Times New Roman" w:cs="Times New Roman"/>
          <w:b/>
          <w:noProof/>
          <w:sz w:val="28"/>
          <w:szCs w:val="28"/>
        </w:rPr>
        <w:t>O regiune competitivă prin inovare si intreprinderi dinamice pentru o economie inteligenta</w:t>
      </w:r>
    </w:p>
    <w:p w:rsidR="00F8597A" w:rsidRPr="00F000AD" w:rsidRDefault="00F8597A" w:rsidP="00F8597A">
      <w:pPr>
        <w:rPr>
          <w:b/>
          <w:iCs/>
          <w:lang w:val="en-GB"/>
        </w:rPr>
      </w:pPr>
      <w:r w:rsidRPr="00F000AD">
        <w:rPr>
          <w:b/>
          <w:iCs/>
          <w:lang w:val="en-GB"/>
        </w:rPr>
        <w:t xml:space="preserve">2.A.2 Indicative breakdown of the programmed resources (EU) by type of intervention </w:t>
      </w:r>
      <w:r w:rsidRPr="00F000AD">
        <w:rPr>
          <w:iCs/>
          <w:lang w:val="en-GB"/>
        </w:rPr>
        <w:t xml:space="preserve">(not applicable to the EMFF) </w:t>
      </w:r>
      <w:r w:rsidRPr="00F000AD">
        <w:rPr>
          <w:i/>
          <w:lang w:val="en-GB"/>
        </w:rPr>
        <w:t>[This was point 2.1.1.3 in the Commission proposal and has been moved up following changes in Article 17(3)(c) CPR]</w:t>
      </w:r>
    </w:p>
    <w:p w:rsidR="00F8597A" w:rsidRDefault="00F8597A" w:rsidP="00F8597A">
      <w:pPr>
        <w:rPr>
          <w:i/>
          <w:lang w:val="en-GB"/>
        </w:rPr>
      </w:pPr>
      <w:r w:rsidRPr="00F000AD">
        <w:rPr>
          <w:i/>
          <w:lang w:val="en-GB"/>
        </w:rPr>
        <w:t>Reference: Article 17(3)(c) CPR</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433"/>
        <w:gridCol w:w="2173"/>
        <w:gridCol w:w="2404"/>
      </w:tblGrid>
      <w:tr w:rsidR="00BC7338" w:rsidRPr="00F000AD" w:rsidTr="00E95FAC">
        <w:tc>
          <w:tcPr>
            <w:tcW w:w="8993" w:type="dxa"/>
            <w:gridSpan w:val="5"/>
            <w:tcBorders>
              <w:top w:val="single" w:sz="4" w:space="0" w:color="auto"/>
              <w:left w:val="single" w:sz="4" w:space="0" w:color="auto"/>
              <w:bottom w:val="single" w:sz="4" w:space="0" w:color="auto"/>
              <w:right w:val="single" w:sz="4" w:space="0" w:color="auto"/>
            </w:tcBorders>
            <w:hideMark/>
          </w:tcPr>
          <w:p w:rsidR="00BC7338" w:rsidRPr="00F000AD" w:rsidRDefault="00BC7338" w:rsidP="008239CE">
            <w:pPr>
              <w:rPr>
                <w:b/>
                <w:iCs/>
                <w:lang w:val="en-US"/>
              </w:rPr>
            </w:pPr>
            <w:r w:rsidRPr="00F000AD">
              <w:rPr>
                <w:b/>
                <w:iCs/>
                <w:lang w:val="en-US"/>
              </w:rPr>
              <w:t>Table 4: Dimension 1 – intervention field</w:t>
            </w:r>
          </w:p>
        </w:tc>
      </w:tr>
      <w:tr w:rsidR="00BC7338" w:rsidRPr="00F000AD" w:rsidTr="00BC7338">
        <w:tc>
          <w:tcPr>
            <w:tcW w:w="1599" w:type="dxa"/>
            <w:tcBorders>
              <w:top w:val="single" w:sz="4" w:space="0" w:color="auto"/>
              <w:left w:val="single" w:sz="4" w:space="0" w:color="auto"/>
              <w:bottom w:val="single" w:sz="4" w:space="0" w:color="auto"/>
              <w:right w:val="single" w:sz="4" w:space="0" w:color="auto"/>
            </w:tcBorders>
            <w:hideMark/>
          </w:tcPr>
          <w:p w:rsidR="00BC7338" w:rsidRPr="00F000AD" w:rsidRDefault="00BC7338" w:rsidP="008239CE">
            <w:pPr>
              <w:rPr>
                <w:b/>
                <w:iCs/>
                <w:lang w:val="en-US"/>
              </w:rPr>
            </w:pPr>
            <w:r w:rsidRPr="00F000AD">
              <w:rPr>
                <w:b/>
                <w:iCs/>
                <w:lang w:val="en-US"/>
              </w:rPr>
              <w:t>Priority No</w:t>
            </w:r>
          </w:p>
        </w:tc>
        <w:tc>
          <w:tcPr>
            <w:tcW w:w="1384" w:type="dxa"/>
            <w:tcBorders>
              <w:top w:val="single" w:sz="4" w:space="0" w:color="auto"/>
              <w:left w:val="single" w:sz="4" w:space="0" w:color="auto"/>
              <w:bottom w:val="single" w:sz="4" w:space="0" w:color="auto"/>
              <w:right w:val="single" w:sz="4" w:space="0" w:color="auto"/>
            </w:tcBorders>
            <w:hideMark/>
          </w:tcPr>
          <w:p w:rsidR="00BC7338" w:rsidRPr="00F000AD" w:rsidRDefault="00BC7338" w:rsidP="008239CE">
            <w:pPr>
              <w:rPr>
                <w:b/>
                <w:iCs/>
                <w:lang w:val="en-US"/>
              </w:rPr>
            </w:pPr>
            <w:r w:rsidRPr="00F000AD">
              <w:rPr>
                <w:b/>
                <w:iCs/>
                <w:lang w:val="en-US"/>
              </w:rPr>
              <w:t>Fund</w:t>
            </w:r>
          </w:p>
        </w:tc>
        <w:tc>
          <w:tcPr>
            <w:tcW w:w="1433" w:type="dxa"/>
            <w:tcBorders>
              <w:top w:val="single" w:sz="4" w:space="0" w:color="auto"/>
              <w:left w:val="single" w:sz="4" w:space="0" w:color="auto"/>
              <w:bottom w:val="single" w:sz="4" w:space="0" w:color="auto"/>
              <w:right w:val="single" w:sz="4" w:space="0" w:color="auto"/>
            </w:tcBorders>
            <w:hideMark/>
          </w:tcPr>
          <w:p w:rsidR="00BC7338" w:rsidRPr="00F000AD" w:rsidRDefault="00BC7338" w:rsidP="008239CE">
            <w:pPr>
              <w:rPr>
                <w:b/>
                <w:iCs/>
                <w:lang w:val="en-US"/>
              </w:rPr>
            </w:pPr>
            <w:r w:rsidRPr="00F000AD">
              <w:rPr>
                <w:b/>
                <w:iCs/>
                <w:lang w:val="en-US"/>
              </w:rPr>
              <w:t>Category of region</w:t>
            </w:r>
            <w:r w:rsidRPr="00F000AD">
              <w:rPr>
                <w:b/>
                <w:iCs/>
                <w:vertAlign w:val="superscript"/>
                <w:lang w:val="en-US"/>
              </w:rPr>
              <w:footnoteReference w:id="20"/>
            </w:r>
          </w:p>
        </w:tc>
        <w:tc>
          <w:tcPr>
            <w:tcW w:w="2173" w:type="dxa"/>
            <w:tcBorders>
              <w:top w:val="single" w:sz="4" w:space="0" w:color="auto"/>
              <w:left w:val="single" w:sz="4" w:space="0" w:color="auto"/>
              <w:bottom w:val="single" w:sz="4" w:space="0" w:color="auto"/>
              <w:right w:val="single" w:sz="4" w:space="0" w:color="auto"/>
            </w:tcBorders>
            <w:hideMark/>
          </w:tcPr>
          <w:p w:rsidR="00BC7338" w:rsidRPr="00F000AD" w:rsidRDefault="00BC7338" w:rsidP="008239CE">
            <w:pPr>
              <w:rPr>
                <w:b/>
                <w:iCs/>
                <w:lang w:val="en-US"/>
              </w:rPr>
            </w:pPr>
            <w:r w:rsidRPr="00F000AD">
              <w:rPr>
                <w:b/>
                <w:iCs/>
                <w:lang w:val="en-US"/>
              </w:rPr>
              <w:t xml:space="preserve">Code </w:t>
            </w:r>
          </w:p>
        </w:tc>
        <w:tc>
          <w:tcPr>
            <w:tcW w:w="2404" w:type="dxa"/>
            <w:tcBorders>
              <w:top w:val="single" w:sz="4" w:space="0" w:color="auto"/>
              <w:left w:val="single" w:sz="4" w:space="0" w:color="auto"/>
              <w:bottom w:val="single" w:sz="4" w:space="0" w:color="auto"/>
              <w:right w:val="single" w:sz="4" w:space="0" w:color="auto"/>
            </w:tcBorders>
            <w:hideMark/>
          </w:tcPr>
          <w:p w:rsidR="00BC7338" w:rsidRPr="00F000AD" w:rsidRDefault="00BC7338" w:rsidP="008239CE">
            <w:pPr>
              <w:rPr>
                <w:b/>
                <w:iCs/>
                <w:lang w:val="en-US"/>
              </w:rPr>
            </w:pPr>
            <w:r w:rsidRPr="00F000AD">
              <w:rPr>
                <w:b/>
                <w:iCs/>
                <w:lang w:val="en-US"/>
              </w:rPr>
              <w:t>Amount (EUR)</w:t>
            </w:r>
          </w:p>
        </w:tc>
      </w:tr>
      <w:tr w:rsidR="00D44270" w:rsidRPr="00615B6C" w:rsidTr="007375AE">
        <w:tc>
          <w:tcPr>
            <w:tcW w:w="1599" w:type="dxa"/>
            <w:tcBorders>
              <w:top w:val="single" w:sz="4" w:space="0" w:color="auto"/>
              <w:left w:val="single" w:sz="4" w:space="0" w:color="auto"/>
              <w:right w:val="single" w:sz="4" w:space="0" w:color="auto"/>
            </w:tcBorders>
          </w:tcPr>
          <w:p w:rsidR="00D44270" w:rsidRPr="00615B6C" w:rsidRDefault="00D44270" w:rsidP="008239CE">
            <w:pPr>
              <w:rPr>
                <w:iCs/>
                <w:lang w:val="en-US"/>
              </w:rPr>
            </w:pPr>
            <w:r w:rsidRPr="00615B6C">
              <w:rPr>
                <w:iCs/>
                <w:lang w:val="en-US"/>
              </w:rPr>
              <w:lastRenderedPageBreak/>
              <w:t>1 – OS a (i)</w:t>
            </w:r>
          </w:p>
        </w:tc>
        <w:tc>
          <w:tcPr>
            <w:tcW w:w="1384" w:type="dxa"/>
            <w:tcBorders>
              <w:top w:val="single" w:sz="4" w:space="0" w:color="auto"/>
              <w:left w:val="single" w:sz="4" w:space="0" w:color="auto"/>
              <w:right w:val="single" w:sz="4" w:space="0" w:color="auto"/>
            </w:tcBorders>
          </w:tcPr>
          <w:p w:rsidR="00D44270" w:rsidRPr="00615B6C" w:rsidRDefault="00D44270" w:rsidP="008239CE">
            <w:pPr>
              <w:rPr>
                <w:b/>
                <w:iCs/>
                <w:lang w:val="en-US"/>
              </w:rPr>
            </w:pPr>
            <w:r w:rsidRPr="00615B6C">
              <w:rPr>
                <w:b/>
                <w:iCs/>
                <w:lang w:val="en-US"/>
              </w:rPr>
              <w:t>FEDR</w:t>
            </w:r>
          </w:p>
        </w:tc>
        <w:tc>
          <w:tcPr>
            <w:tcW w:w="1433" w:type="dxa"/>
            <w:tcBorders>
              <w:top w:val="single" w:sz="4" w:space="0" w:color="auto"/>
              <w:left w:val="single" w:sz="4" w:space="0" w:color="auto"/>
              <w:right w:val="single" w:sz="4" w:space="0" w:color="auto"/>
            </w:tcBorders>
          </w:tcPr>
          <w:p w:rsidR="00D44270" w:rsidRPr="00615B6C" w:rsidRDefault="00D44270" w:rsidP="008239CE">
            <w:pPr>
              <w:rPr>
                <w:b/>
                <w:iCs/>
                <w:lang w:val="en-US"/>
              </w:rPr>
            </w:pPr>
            <w:r w:rsidRPr="00615B6C">
              <w:rPr>
                <w:b/>
                <w:iCs/>
                <w:lang w:val="en-US"/>
              </w:rPr>
              <w:t>Mai putin dezvoltată</w:t>
            </w:r>
          </w:p>
        </w:tc>
        <w:tc>
          <w:tcPr>
            <w:tcW w:w="2173" w:type="dxa"/>
            <w:tcBorders>
              <w:top w:val="single" w:sz="4" w:space="0" w:color="auto"/>
              <w:left w:val="single" w:sz="4" w:space="0" w:color="auto"/>
              <w:bottom w:val="single" w:sz="4" w:space="0" w:color="auto"/>
              <w:right w:val="single" w:sz="4" w:space="0" w:color="auto"/>
            </w:tcBorders>
          </w:tcPr>
          <w:p w:rsidR="00D44270" w:rsidRDefault="00303481" w:rsidP="008239CE">
            <w:pPr>
              <w:spacing w:line="240" w:lineRule="auto"/>
              <w:rPr>
                <w:b/>
                <w:iCs/>
                <w:lang w:val="en-US"/>
              </w:rPr>
            </w:pPr>
            <w:r>
              <w:rPr>
                <w:b/>
                <w:iCs/>
                <w:lang w:val="en-US"/>
              </w:rPr>
              <w:t>001, 002, 002 bis</w:t>
            </w:r>
            <w:r w:rsidR="00B05176">
              <w:rPr>
                <w:b/>
                <w:iCs/>
                <w:lang w:val="en-US"/>
              </w:rPr>
              <w:t>, 003, 004, 005, 005 bis, 006, 007, 008, 008 bis, 009, 019, 020, 021</w:t>
            </w:r>
          </w:p>
          <w:p w:rsidR="00D44270" w:rsidRPr="00615B6C" w:rsidRDefault="00D44270" w:rsidP="008239CE">
            <w:pPr>
              <w:rPr>
                <w:b/>
                <w:iCs/>
                <w:lang w:val="en-US"/>
              </w:rPr>
            </w:pPr>
          </w:p>
        </w:tc>
        <w:tc>
          <w:tcPr>
            <w:tcW w:w="2404" w:type="dxa"/>
            <w:tcBorders>
              <w:top w:val="single" w:sz="4" w:space="0" w:color="auto"/>
              <w:left w:val="single" w:sz="4" w:space="0" w:color="auto"/>
              <w:bottom w:val="single" w:sz="4" w:space="0" w:color="auto"/>
              <w:right w:val="single" w:sz="4" w:space="0" w:color="auto"/>
            </w:tcBorders>
          </w:tcPr>
          <w:p w:rsidR="00D44270" w:rsidRPr="00E60E52" w:rsidRDefault="00B05176" w:rsidP="007E2244">
            <w:pPr>
              <w:rPr>
                <w:b/>
                <w:iCs/>
                <w:lang w:val="en-US"/>
              </w:rPr>
            </w:pPr>
            <w:r>
              <w:rPr>
                <w:b/>
                <w:iCs/>
                <w:lang w:val="en-US"/>
              </w:rPr>
              <w:t>79.611.888</w:t>
            </w:r>
          </w:p>
        </w:tc>
      </w:tr>
      <w:tr w:rsidR="005F67EB" w:rsidRPr="00615B6C" w:rsidTr="007375AE">
        <w:tc>
          <w:tcPr>
            <w:tcW w:w="1599" w:type="dxa"/>
            <w:vMerge w:val="restart"/>
            <w:tcBorders>
              <w:top w:val="single" w:sz="4" w:space="0" w:color="auto"/>
              <w:left w:val="single" w:sz="4" w:space="0" w:color="auto"/>
              <w:right w:val="single" w:sz="4" w:space="0" w:color="auto"/>
            </w:tcBorders>
          </w:tcPr>
          <w:p w:rsidR="005F67EB" w:rsidRPr="00615B6C" w:rsidRDefault="005F67EB" w:rsidP="008239CE">
            <w:pPr>
              <w:rPr>
                <w:iCs/>
                <w:lang w:val="en-US"/>
              </w:rPr>
            </w:pPr>
            <w:r w:rsidRPr="00615B6C">
              <w:rPr>
                <w:iCs/>
                <w:lang w:val="en-US"/>
              </w:rPr>
              <w:t xml:space="preserve">1 – OS a (iii) </w:t>
            </w:r>
          </w:p>
        </w:tc>
        <w:tc>
          <w:tcPr>
            <w:tcW w:w="1384" w:type="dxa"/>
            <w:vMerge w:val="restart"/>
            <w:tcBorders>
              <w:top w:val="single" w:sz="4" w:space="0" w:color="auto"/>
              <w:left w:val="single" w:sz="4" w:space="0" w:color="auto"/>
              <w:right w:val="single" w:sz="4" w:space="0" w:color="auto"/>
            </w:tcBorders>
          </w:tcPr>
          <w:p w:rsidR="005F67EB" w:rsidRPr="00615B6C" w:rsidRDefault="005F67EB" w:rsidP="008239CE">
            <w:pPr>
              <w:rPr>
                <w:b/>
                <w:iCs/>
                <w:lang w:val="en-US"/>
              </w:rPr>
            </w:pPr>
            <w:r w:rsidRPr="00615B6C">
              <w:rPr>
                <w:b/>
                <w:iCs/>
                <w:lang w:val="en-US"/>
              </w:rPr>
              <w:t>FEDR</w:t>
            </w:r>
          </w:p>
        </w:tc>
        <w:tc>
          <w:tcPr>
            <w:tcW w:w="1433" w:type="dxa"/>
            <w:vMerge w:val="restart"/>
            <w:tcBorders>
              <w:top w:val="single" w:sz="4" w:space="0" w:color="auto"/>
              <w:left w:val="single" w:sz="4" w:space="0" w:color="auto"/>
              <w:right w:val="single" w:sz="4" w:space="0" w:color="auto"/>
            </w:tcBorders>
          </w:tcPr>
          <w:p w:rsidR="005F67EB" w:rsidRPr="00615B6C" w:rsidRDefault="005F67EB" w:rsidP="008239CE">
            <w:pPr>
              <w:rPr>
                <w:b/>
                <w:iCs/>
                <w:lang w:val="en-US"/>
              </w:rPr>
            </w:pPr>
            <w:r w:rsidRPr="00615B6C">
              <w:rPr>
                <w:b/>
                <w:iCs/>
                <w:lang w:val="en-US"/>
              </w:rPr>
              <w:t>Mai putin dezvoltată</w:t>
            </w:r>
          </w:p>
        </w:tc>
        <w:tc>
          <w:tcPr>
            <w:tcW w:w="2173" w:type="dxa"/>
            <w:tcBorders>
              <w:top w:val="single" w:sz="4" w:space="0" w:color="auto"/>
              <w:left w:val="single" w:sz="4" w:space="0" w:color="auto"/>
              <w:bottom w:val="single" w:sz="4" w:space="0" w:color="auto"/>
              <w:right w:val="single" w:sz="4" w:space="0" w:color="auto"/>
            </w:tcBorders>
          </w:tcPr>
          <w:p w:rsidR="005F67EB" w:rsidRPr="00615B6C" w:rsidRDefault="005F67EB" w:rsidP="008239CE">
            <w:pPr>
              <w:spacing w:line="240" w:lineRule="auto"/>
              <w:rPr>
                <w:b/>
                <w:iCs/>
                <w:lang w:val="en-US"/>
              </w:rPr>
            </w:pPr>
            <w:r w:rsidRPr="00615B6C">
              <w:rPr>
                <w:b/>
                <w:iCs/>
                <w:lang w:val="en-US"/>
              </w:rPr>
              <w:t>01</w:t>
            </w:r>
            <w:r>
              <w:rPr>
                <w:b/>
                <w:iCs/>
                <w:lang w:val="en-US"/>
              </w:rPr>
              <w:t xml:space="preserve">4 - </w:t>
            </w:r>
            <w:r w:rsidRPr="005943E3">
              <w:rPr>
                <w:noProof/>
                <w:sz w:val="20"/>
              </w:rPr>
              <w:t>Business infrastructure for SMEs (including industrial parks and sites)</w:t>
            </w:r>
          </w:p>
        </w:tc>
        <w:tc>
          <w:tcPr>
            <w:tcW w:w="2404" w:type="dxa"/>
            <w:tcBorders>
              <w:top w:val="single" w:sz="4" w:space="0" w:color="auto"/>
              <w:left w:val="single" w:sz="4" w:space="0" w:color="auto"/>
              <w:bottom w:val="single" w:sz="4" w:space="0" w:color="auto"/>
              <w:right w:val="single" w:sz="4" w:space="0" w:color="auto"/>
            </w:tcBorders>
          </w:tcPr>
          <w:p w:rsidR="005F67EB" w:rsidRPr="00E60E52" w:rsidRDefault="005F67EB" w:rsidP="00E60E52">
            <w:pPr>
              <w:rPr>
                <w:b/>
                <w:iCs/>
                <w:lang w:val="en-US"/>
              </w:rPr>
            </w:pPr>
            <w:r w:rsidRPr="00E60E52">
              <w:rPr>
                <w:b/>
                <w:iCs/>
                <w:lang w:val="en-US"/>
              </w:rPr>
              <w:t>16.</w:t>
            </w:r>
            <w:r w:rsidR="00E60E52" w:rsidRPr="00E60E52">
              <w:rPr>
                <w:b/>
                <w:iCs/>
                <w:lang w:val="en-US"/>
              </w:rPr>
              <w:t>625.878</w:t>
            </w:r>
          </w:p>
        </w:tc>
      </w:tr>
      <w:tr w:rsidR="005F67EB" w:rsidRPr="00615B6C" w:rsidTr="007375AE">
        <w:tc>
          <w:tcPr>
            <w:tcW w:w="1599" w:type="dxa"/>
            <w:vMerge/>
            <w:tcBorders>
              <w:left w:val="single" w:sz="4" w:space="0" w:color="auto"/>
              <w:right w:val="single" w:sz="4" w:space="0" w:color="auto"/>
            </w:tcBorders>
          </w:tcPr>
          <w:p w:rsidR="005F67EB" w:rsidRPr="00615B6C" w:rsidRDefault="005F67EB" w:rsidP="008239CE">
            <w:pPr>
              <w:rPr>
                <w:iCs/>
                <w:lang w:val="en-US"/>
              </w:rPr>
            </w:pPr>
          </w:p>
        </w:tc>
        <w:tc>
          <w:tcPr>
            <w:tcW w:w="1384" w:type="dxa"/>
            <w:vMerge/>
            <w:tcBorders>
              <w:left w:val="single" w:sz="4" w:space="0" w:color="auto"/>
              <w:right w:val="single" w:sz="4" w:space="0" w:color="auto"/>
            </w:tcBorders>
          </w:tcPr>
          <w:p w:rsidR="005F67EB" w:rsidRPr="00615B6C" w:rsidRDefault="005F67EB" w:rsidP="008239CE">
            <w:pPr>
              <w:rPr>
                <w:b/>
                <w:iCs/>
                <w:lang w:val="en-US"/>
              </w:rPr>
            </w:pPr>
          </w:p>
        </w:tc>
        <w:tc>
          <w:tcPr>
            <w:tcW w:w="1433" w:type="dxa"/>
            <w:vMerge/>
            <w:tcBorders>
              <w:left w:val="single" w:sz="4" w:space="0" w:color="auto"/>
              <w:right w:val="single" w:sz="4" w:space="0" w:color="auto"/>
            </w:tcBorders>
          </w:tcPr>
          <w:p w:rsidR="005F67EB" w:rsidRPr="00615B6C" w:rsidRDefault="005F67EB" w:rsidP="008239CE">
            <w:pPr>
              <w:rPr>
                <w:b/>
                <w:iCs/>
                <w:lang w:val="en-US"/>
              </w:rPr>
            </w:pPr>
          </w:p>
        </w:tc>
        <w:tc>
          <w:tcPr>
            <w:tcW w:w="2173" w:type="dxa"/>
            <w:tcBorders>
              <w:top w:val="single" w:sz="4" w:space="0" w:color="auto"/>
              <w:left w:val="single" w:sz="4" w:space="0" w:color="auto"/>
              <w:bottom w:val="single" w:sz="4" w:space="0" w:color="auto"/>
              <w:right w:val="single" w:sz="4" w:space="0" w:color="auto"/>
            </w:tcBorders>
          </w:tcPr>
          <w:p w:rsidR="005F67EB" w:rsidRPr="00615B6C" w:rsidRDefault="005F67EB" w:rsidP="008239CE">
            <w:pPr>
              <w:spacing w:line="240" w:lineRule="auto"/>
              <w:rPr>
                <w:b/>
                <w:iCs/>
                <w:lang w:val="en-US"/>
              </w:rPr>
            </w:pPr>
            <w:r>
              <w:rPr>
                <w:b/>
                <w:iCs/>
                <w:lang w:val="en-US"/>
              </w:rPr>
              <w:t xml:space="preserve">015 - </w:t>
            </w:r>
            <w:r w:rsidRPr="005943E3">
              <w:rPr>
                <w:noProof/>
                <w:sz w:val="20"/>
              </w:rPr>
              <w:t xml:space="preserve">SME business development and internationalisation, </w:t>
            </w:r>
            <w:r w:rsidRPr="003C0F19">
              <w:rPr>
                <w:b/>
                <w:noProof/>
                <w:sz w:val="20"/>
              </w:rPr>
              <w:t>including productive investments</w:t>
            </w:r>
          </w:p>
        </w:tc>
        <w:tc>
          <w:tcPr>
            <w:tcW w:w="2404" w:type="dxa"/>
            <w:tcBorders>
              <w:top w:val="single" w:sz="4" w:space="0" w:color="auto"/>
              <w:left w:val="single" w:sz="4" w:space="0" w:color="auto"/>
              <w:bottom w:val="single" w:sz="4" w:space="0" w:color="auto"/>
              <w:right w:val="single" w:sz="4" w:space="0" w:color="auto"/>
            </w:tcBorders>
          </w:tcPr>
          <w:p w:rsidR="005F67EB" w:rsidRPr="00E60E52" w:rsidRDefault="00E60E52" w:rsidP="008239CE">
            <w:pPr>
              <w:rPr>
                <w:b/>
                <w:iCs/>
                <w:lang w:val="en-US"/>
              </w:rPr>
            </w:pPr>
            <w:r w:rsidRPr="00E60E52">
              <w:rPr>
                <w:b/>
                <w:iCs/>
                <w:lang w:val="en-US"/>
              </w:rPr>
              <w:t>96.984.286</w:t>
            </w:r>
          </w:p>
        </w:tc>
      </w:tr>
      <w:tr w:rsidR="005F67EB" w:rsidRPr="00615B6C" w:rsidTr="007375AE">
        <w:tc>
          <w:tcPr>
            <w:tcW w:w="1599" w:type="dxa"/>
            <w:vMerge/>
            <w:tcBorders>
              <w:left w:val="single" w:sz="4" w:space="0" w:color="auto"/>
              <w:bottom w:val="single" w:sz="4" w:space="0" w:color="auto"/>
              <w:right w:val="single" w:sz="4" w:space="0" w:color="auto"/>
            </w:tcBorders>
          </w:tcPr>
          <w:p w:rsidR="005F67EB" w:rsidRPr="00615B6C" w:rsidRDefault="005F67EB" w:rsidP="008239CE">
            <w:pPr>
              <w:rPr>
                <w:iCs/>
                <w:lang w:val="en-US"/>
              </w:rPr>
            </w:pPr>
          </w:p>
        </w:tc>
        <w:tc>
          <w:tcPr>
            <w:tcW w:w="1384" w:type="dxa"/>
            <w:vMerge/>
            <w:tcBorders>
              <w:left w:val="single" w:sz="4" w:space="0" w:color="auto"/>
              <w:bottom w:val="single" w:sz="4" w:space="0" w:color="auto"/>
              <w:right w:val="single" w:sz="4" w:space="0" w:color="auto"/>
            </w:tcBorders>
          </w:tcPr>
          <w:p w:rsidR="005F67EB" w:rsidRPr="00615B6C" w:rsidRDefault="005F67EB" w:rsidP="008239CE">
            <w:pPr>
              <w:rPr>
                <w:b/>
                <w:iCs/>
                <w:lang w:val="en-US"/>
              </w:rPr>
            </w:pPr>
          </w:p>
        </w:tc>
        <w:tc>
          <w:tcPr>
            <w:tcW w:w="1433" w:type="dxa"/>
            <w:vMerge/>
            <w:tcBorders>
              <w:left w:val="single" w:sz="4" w:space="0" w:color="auto"/>
              <w:bottom w:val="single" w:sz="4" w:space="0" w:color="auto"/>
              <w:right w:val="single" w:sz="4" w:space="0" w:color="auto"/>
            </w:tcBorders>
          </w:tcPr>
          <w:p w:rsidR="005F67EB" w:rsidRPr="00615B6C" w:rsidRDefault="005F67EB" w:rsidP="008239CE">
            <w:pPr>
              <w:rPr>
                <w:b/>
                <w:iCs/>
                <w:lang w:val="en-US"/>
              </w:rPr>
            </w:pPr>
          </w:p>
        </w:tc>
        <w:tc>
          <w:tcPr>
            <w:tcW w:w="2173" w:type="dxa"/>
            <w:tcBorders>
              <w:top w:val="single" w:sz="4" w:space="0" w:color="auto"/>
              <w:left w:val="single" w:sz="4" w:space="0" w:color="auto"/>
              <w:bottom w:val="single" w:sz="4" w:space="0" w:color="auto"/>
              <w:right w:val="single" w:sz="4" w:space="0" w:color="auto"/>
            </w:tcBorders>
          </w:tcPr>
          <w:p w:rsidR="005F67EB" w:rsidRPr="00615B6C" w:rsidRDefault="005F67EB" w:rsidP="008239CE">
            <w:pPr>
              <w:spacing w:line="240" w:lineRule="auto"/>
              <w:rPr>
                <w:b/>
                <w:iCs/>
                <w:lang w:val="en-US"/>
              </w:rPr>
            </w:pPr>
            <w:r>
              <w:rPr>
                <w:b/>
                <w:iCs/>
                <w:lang w:val="en-US"/>
              </w:rPr>
              <w:t xml:space="preserve">018 - </w:t>
            </w:r>
            <w:r w:rsidRPr="005943E3">
              <w:rPr>
                <w:noProof/>
                <w:sz w:val="20"/>
              </w:rPr>
              <w:t>Incubation, support to spin offs and spin outs and start ups</w:t>
            </w:r>
          </w:p>
        </w:tc>
        <w:tc>
          <w:tcPr>
            <w:tcW w:w="2404" w:type="dxa"/>
            <w:tcBorders>
              <w:top w:val="single" w:sz="4" w:space="0" w:color="auto"/>
              <w:left w:val="single" w:sz="4" w:space="0" w:color="auto"/>
              <w:bottom w:val="single" w:sz="4" w:space="0" w:color="auto"/>
              <w:right w:val="single" w:sz="4" w:space="0" w:color="auto"/>
            </w:tcBorders>
          </w:tcPr>
          <w:p w:rsidR="005F67EB" w:rsidRPr="00E60E52" w:rsidRDefault="00E60E52" w:rsidP="008239CE">
            <w:pPr>
              <w:rPr>
                <w:b/>
                <w:iCs/>
                <w:lang w:val="en-US"/>
              </w:rPr>
            </w:pPr>
            <w:r w:rsidRPr="00E60E52">
              <w:rPr>
                <w:b/>
                <w:iCs/>
                <w:lang w:val="en-US"/>
              </w:rPr>
              <w:t>24.992.591</w:t>
            </w:r>
          </w:p>
        </w:tc>
      </w:tr>
      <w:tr w:rsidR="005F67EB" w:rsidRPr="00615B6C" w:rsidTr="007375AE">
        <w:tc>
          <w:tcPr>
            <w:tcW w:w="1599" w:type="dxa"/>
            <w:vMerge w:val="restart"/>
            <w:tcBorders>
              <w:top w:val="single" w:sz="4" w:space="0" w:color="auto"/>
              <w:left w:val="single" w:sz="4" w:space="0" w:color="auto"/>
              <w:right w:val="single" w:sz="4" w:space="0" w:color="auto"/>
            </w:tcBorders>
          </w:tcPr>
          <w:p w:rsidR="005F67EB" w:rsidRPr="00615B6C" w:rsidRDefault="005F67EB" w:rsidP="008239CE">
            <w:pPr>
              <w:rPr>
                <w:iCs/>
                <w:lang w:val="en-US"/>
              </w:rPr>
            </w:pPr>
            <w:r w:rsidRPr="00615B6C">
              <w:rPr>
                <w:iCs/>
                <w:lang w:val="en-US"/>
              </w:rPr>
              <w:t>1.3 – OS a (iv)</w:t>
            </w:r>
          </w:p>
        </w:tc>
        <w:tc>
          <w:tcPr>
            <w:tcW w:w="1384" w:type="dxa"/>
            <w:vMerge w:val="restart"/>
            <w:tcBorders>
              <w:top w:val="single" w:sz="4" w:space="0" w:color="auto"/>
              <w:left w:val="single" w:sz="4" w:space="0" w:color="auto"/>
              <w:right w:val="single" w:sz="4" w:space="0" w:color="auto"/>
            </w:tcBorders>
          </w:tcPr>
          <w:p w:rsidR="005F67EB" w:rsidRPr="00615B6C" w:rsidRDefault="005F67EB" w:rsidP="008239CE">
            <w:pPr>
              <w:rPr>
                <w:b/>
                <w:iCs/>
                <w:lang w:val="en-US"/>
              </w:rPr>
            </w:pPr>
            <w:r w:rsidRPr="00615B6C">
              <w:rPr>
                <w:b/>
                <w:iCs/>
                <w:lang w:val="en-US"/>
              </w:rPr>
              <w:t>FEDR</w:t>
            </w:r>
          </w:p>
        </w:tc>
        <w:tc>
          <w:tcPr>
            <w:tcW w:w="1433" w:type="dxa"/>
            <w:vMerge w:val="restart"/>
            <w:tcBorders>
              <w:top w:val="single" w:sz="4" w:space="0" w:color="auto"/>
              <w:left w:val="single" w:sz="4" w:space="0" w:color="auto"/>
              <w:right w:val="single" w:sz="4" w:space="0" w:color="auto"/>
            </w:tcBorders>
          </w:tcPr>
          <w:p w:rsidR="005F67EB" w:rsidRPr="00615B6C" w:rsidRDefault="005F67EB" w:rsidP="008239CE">
            <w:pPr>
              <w:rPr>
                <w:b/>
                <w:iCs/>
                <w:lang w:val="en-US"/>
              </w:rPr>
            </w:pPr>
            <w:r w:rsidRPr="00615B6C">
              <w:rPr>
                <w:b/>
                <w:iCs/>
                <w:lang w:val="en-US"/>
              </w:rPr>
              <w:t>Mai putin dezvoltată</w:t>
            </w:r>
          </w:p>
        </w:tc>
        <w:tc>
          <w:tcPr>
            <w:tcW w:w="2173" w:type="dxa"/>
            <w:tcBorders>
              <w:top w:val="single" w:sz="4" w:space="0" w:color="auto"/>
              <w:left w:val="single" w:sz="4" w:space="0" w:color="auto"/>
              <w:bottom w:val="single" w:sz="4" w:space="0" w:color="auto"/>
              <w:right w:val="single" w:sz="4" w:space="0" w:color="auto"/>
            </w:tcBorders>
          </w:tcPr>
          <w:p w:rsidR="005F67EB" w:rsidRPr="00615B6C" w:rsidRDefault="005F67EB" w:rsidP="008239CE">
            <w:pPr>
              <w:spacing w:line="240" w:lineRule="auto"/>
              <w:rPr>
                <w:b/>
                <w:iCs/>
                <w:lang w:val="en-US"/>
              </w:rPr>
            </w:pPr>
            <w:r w:rsidRPr="00615B6C">
              <w:rPr>
                <w:b/>
                <w:iCs/>
                <w:lang w:val="en-US"/>
              </w:rPr>
              <w:t>016</w:t>
            </w:r>
            <w:r>
              <w:rPr>
                <w:b/>
                <w:iCs/>
                <w:lang w:val="en-US"/>
              </w:rPr>
              <w:t xml:space="preserve"> - </w:t>
            </w:r>
            <w:r w:rsidRPr="005943E3">
              <w:rPr>
                <w:noProof/>
                <w:sz w:val="20"/>
              </w:rPr>
              <w:t>Skills development for smart specialisation, industrial transition and entrepreneurship</w:t>
            </w:r>
          </w:p>
        </w:tc>
        <w:tc>
          <w:tcPr>
            <w:tcW w:w="2404" w:type="dxa"/>
            <w:tcBorders>
              <w:top w:val="single" w:sz="4" w:space="0" w:color="auto"/>
              <w:left w:val="single" w:sz="4" w:space="0" w:color="auto"/>
              <w:bottom w:val="single" w:sz="4" w:space="0" w:color="auto"/>
              <w:right w:val="single" w:sz="4" w:space="0" w:color="auto"/>
            </w:tcBorders>
          </w:tcPr>
          <w:p w:rsidR="005F67EB" w:rsidRPr="00E60E52" w:rsidRDefault="00E60E52" w:rsidP="008239CE">
            <w:pPr>
              <w:rPr>
                <w:b/>
                <w:iCs/>
                <w:lang w:val="en-US"/>
              </w:rPr>
            </w:pPr>
            <w:r w:rsidRPr="00E60E52">
              <w:rPr>
                <w:b/>
                <w:iCs/>
                <w:lang w:val="en-US"/>
              </w:rPr>
              <w:t>9.698.429</w:t>
            </w:r>
          </w:p>
        </w:tc>
      </w:tr>
      <w:tr w:rsidR="005F67EB" w:rsidRPr="00615B6C" w:rsidTr="007375AE">
        <w:tc>
          <w:tcPr>
            <w:tcW w:w="1599" w:type="dxa"/>
            <w:vMerge/>
            <w:tcBorders>
              <w:left w:val="single" w:sz="4" w:space="0" w:color="auto"/>
              <w:bottom w:val="single" w:sz="4" w:space="0" w:color="auto"/>
              <w:right w:val="single" w:sz="4" w:space="0" w:color="auto"/>
            </w:tcBorders>
          </w:tcPr>
          <w:p w:rsidR="005F67EB" w:rsidRPr="00615B6C" w:rsidRDefault="005F67EB" w:rsidP="008239CE">
            <w:pPr>
              <w:rPr>
                <w:iCs/>
                <w:lang w:val="en-US"/>
              </w:rPr>
            </w:pPr>
          </w:p>
        </w:tc>
        <w:tc>
          <w:tcPr>
            <w:tcW w:w="1384" w:type="dxa"/>
            <w:vMerge/>
            <w:tcBorders>
              <w:left w:val="single" w:sz="4" w:space="0" w:color="auto"/>
              <w:bottom w:val="single" w:sz="4" w:space="0" w:color="auto"/>
              <w:right w:val="single" w:sz="4" w:space="0" w:color="auto"/>
            </w:tcBorders>
          </w:tcPr>
          <w:p w:rsidR="005F67EB" w:rsidRPr="00615B6C" w:rsidRDefault="005F67EB" w:rsidP="008239CE">
            <w:pPr>
              <w:rPr>
                <w:b/>
                <w:iCs/>
                <w:lang w:val="en-US"/>
              </w:rPr>
            </w:pPr>
          </w:p>
        </w:tc>
        <w:tc>
          <w:tcPr>
            <w:tcW w:w="1433" w:type="dxa"/>
            <w:vMerge/>
            <w:tcBorders>
              <w:left w:val="single" w:sz="4" w:space="0" w:color="auto"/>
              <w:bottom w:val="single" w:sz="4" w:space="0" w:color="auto"/>
              <w:right w:val="single" w:sz="4" w:space="0" w:color="auto"/>
            </w:tcBorders>
          </w:tcPr>
          <w:p w:rsidR="005F67EB" w:rsidRPr="00615B6C" w:rsidRDefault="005F67EB" w:rsidP="008239CE">
            <w:pPr>
              <w:rPr>
                <w:b/>
                <w:iCs/>
                <w:lang w:val="en-US"/>
              </w:rPr>
            </w:pPr>
          </w:p>
        </w:tc>
        <w:tc>
          <w:tcPr>
            <w:tcW w:w="2173" w:type="dxa"/>
            <w:tcBorders>
              <w:top w:val="single" w:sz="4" w:space="0" w:color="auto"/>
              <w:left w:val="single" w:sz="4" w:space="0" w:color="auto"/>
              <w:bottom w:val="single" w:sz="4" w:space="0" w:color="auto"/>
              <w:right w:val="single" w:sz="4" w:space="0" w:color="auto"/>
            </w:tcBorders>
          </w:tcPr>
          <w:p w:rsidR="005F67EB" w:rsidRPr="00615B6C" w:rsidRDefault="005F67EB" w:rsidP="008239CE">
            <w:pPr>
              <w:spacing w:line="240" w:lineRule="auto"/>
              <w:rPr>
                <w:b/>
                <w:iCs/>
                <w:lang w:val="en-US"/>
              </w:rPr>
            </w:pPr>
            <w:r>
              <w:rPr>
                <w:b/>
                <w:iCs/>
                <w:lang w:val="en-US"/>
              </w:rPr>
              <w:t xml:space="preserve">017 - </w:t>
            </w:r>
            <w:r w:rsidRPr="005943E3">
              <w:rPr>
                <w:noProof/>
                <w:sz w:val="20"/>
              </w:rPr>
              <w:t>Advanced support services for SMEs and groups of SMEs (including management, marketing and design services)</w:t>
            </w:r>
          </w:p>
        </w:tc>
        <w:tc>
          <w:tcPr>
            <w:tcW w:w="2404" w:type="dxa"/>
            <w:tcBorders>
              <w:top w:val="single" w:sz="4" w:space="0" w:color="auto"/>
              <w:left w:val="single" w:sz="4" w:space="0" w:color="auto"/>
              <w:bottom w:val="single" w:sz="4" w:space="0" w:color="auto"/>
              <w:right w:val="single" w:sz="4" w:space="0" w:color="auto"/>
            </w:tcBorders>
          </w:tcPr>
          <w:p w:rsidR="005F67EB" w:rsidRPr="00E60E52" w:rsidRDefault="005F67EB" w:rsidP="00E60E52">
            <w:pPr>
              <w:rPr>
                <w:b/>
                <w:iCs/>
                <w:lang w:val="en-US"/>
              </w:rPr>
            </w:pPr>
            <w:r w:rsidRPr="00E60E52">
              <w:rPr>
                <w:b/>
                <w:iCs/>
                <w:lang w:val="en-US"/>
              </w:rPr>
              <w:t>2.</w:t>
            </w:r>
            <w:r w:rsidR="00E60E52" w:rsidRPr="00E60E52">
              <w:rPr>
                <w:b/>
                <w:iCs/>
                <w:lang w:val="en-US"/>
              </w:rPr>
              <w:t>078.235</w:t>
            </w:r>
          </w:p>
        </w:tc>
      </w:tr>
    </w:tbl>
    <w:p w:rsidR="00F8597A" w:rsidRPr="00F000AD" w:rsidRDefault="00F8597A" w:rsidP="00F8597A">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433"/>
        <w:gridCol w:w="1053"/>
        <w:gridCol w:w="2175"/>
      </w:tblGrid>
      <w:tr w:rsidR="00F8597A" w:rsidRPr="00F000AD" w:rsidTr="0002745C">
        <w:tc>
          <w:tcPr>
            <w:tcW w:w="7644" w:type="dxa"/>
            <w:gridSpan w:val="5"/>
            <w:tcBorders>
              <w:top w:val="single" w:sz="4" w:space="0" w:color="auto"/>
              <w:left w:val="single" w:sz="4" w:space="0" w:color="auto"/>
              <w:bottom w:val="single" w:sz="4" w:space="0" w:color="auto"/>
              <w:right w:val="single" w:sz="4" w:space="0" w:color="auto"/>
            </w:tcBorders>
            <w:hideMark/>
          </w:tcPr>
          <w:p w:rsidR="00F8597A" w:rsidRPr="00F000AD" w:rsidRDefault="00F8597A" w:rsidP="0002745C">
            <w:pPr>
              <w:rPr>
                <w:b/>
                <w:iCs/>
                <w:lang w:val="en-US"/>
              </w:rPr>
            </w:pPr>
            <w:r w:rsidRPr="00F000AD">
              <w:rPr>
                <w:b/>
                <w:iCs/>
                <w:lang w:val="en-US"/>
              </w:rPr>
              <w:t>Table 5: Dimension 2 – form of support</w:t>
            </w:r>
          </w:p>
        </w:tc>
      </w:tr>
      <w:tr w:rsidR="00F8597A" w:rsidRPr="00F000AD" w:rsidTr="0002745C">
        <w:tc>
          <w:tcPr>
            <w:tcW w:w="1599" w:type="dxa"/>
            <w:tcBorders>
              <w:top w:val="single" w:sz="4" w:space="0" w:color="auto"/>
              <w:left w:val="single" w:sz="4" w:space="0" w:color="auto"/>
              <w:bottom w:val="single" w:sz="4" w:space="0" w:color="auto"/>
              <w:right w:val="single" w:sz="4" w:space="0" w:color="auto"/>
            </w:tcBorders>
            <w:hideMark/>
          </w:tcPr>
          <w:p w:rsidR="00F8597A" w:rsidRPr="00F000AD" w:rsidRDefault="00F8597A" w:rsidP="0002745C">
            <w:pPr>
              <w:rPr>
                <w:b/>
                <w:iCs/>
                <w:lang w:val="en-US"/>
              </w:rPr>
            </w:pPr>
            <w:r w:rsidRPr="00F000AD">
              <w:rPr>
                <w:b/>
                <w:iCs/>
                <w:lang w:val="en-US"/>
              </w:rPr>
              <w:t>Priority No</w:t>
            </w:r>
          </w:p>
        </w:tc>
        <w:tc>
          <w:tcPr>
            <w:tcW w:w="1384" w:type="dxa"/>
            <w:tcBorders>
              <w:top w:val="single" w:sz="4" w:space="0" w:color="auto"/>
              <w:left w:val="single" w:sz="4" w:space="0" w:color="auto"/>
              <w:bottom w:val="single" w:sz="4" w:space="0" w:color="auto"/>
              <w:right w:val="single" w:sz="4" w:space="0" w:color="auto"/>
            </w:tcBorders>
            <w:hideMark/>
          </w:tcPr>
          <w:p w:rsidR="00F8597A" w:rsidRPr="00F000AD" w:rsidRDefault="00F8597A" w:rsidP="0002745C">
            <w:pPr>
              <w:rPr>
                <w:b/>
                <w:iCs/>
                <w:lang w:val="en-US"/>
              </w:rPr>
            </w:pPr>
            <w:r w:rsidRPr="00F000AD">
              <w:rPr>
                <w:b/>
                <w:iCs/>
                <w:lang w:val="en-US"/>
              </w:rPr>
              <w:t>Fund</w:t>
            </w:r>
          </w:p>
        </w:tc>
        <w:tc>
          <w:tcPr>
            <w:tcW w:w="1433" w:type="dxa"/>
            <w:tcBorders>
              <w:top w:val="single" w:sz="4" w:space="0" w:color="auto"/>
              <w:left w:val="single" w:sz="4" w:space="0" w:color="auto"/>
              <w:bottom w:val="single" w:sz="4" w:space="0" w:color="auto"/>
              <w:right w:val="single" w:sz="4" w:space="0" w:color="auto"/>
            </w:tcBorders>
            <w:hideMark/>
          </w:tcPr>
          <w:p w:rsidR="00F8597A" w:rsidRPr="00F000AD" w:rsidRDefault="00F8597A" w:rsidP="0002745C">
            <w:pPr>
              <w:rPr>
                <w:b/>
                <w:iCs/>
                <w:lang w:val="en-US"/>
              </w:rPr>
            </w:pPr>
            <w:r w:rsidRPr="00F000AD">
              <w:rPr>
                <w:b/>
                <w:iCs/>
                <w:lang w:val="en-US"/>
              </w:rPr>
              <w:t>Category of region</w:t>
            </w:r>
            <w:r w:rsidRPr="00F000AD">
              <w:rPr>
                <w:b/>
                <w:iCs/>
                <w:vertAlign w:val="superscript"/>
                <w:lang w:val="en-US"/>
              </w:rPr>
              <w:footnoteReference w:id="21"/>
            </w:r>
          </w:p>
        </w:tc>
        <w:tc>
          <w:tcPr>
            <w:tcW w:w="1053" w:type="dxa"/>
            <w:tcBorders>
              <w:top w:val="single" w:sz="4" w:space="0" w:color="auto"/>
              <w:left w:val="single" w:sz="4" w:space="0" w:color="auto"/>
              <w:bottom w:val="single" w:sz="4" w:space="0" w:color="auto"/>
              <w:right w:val="single" w:sz="4" w:space="0" w:color="auto"/>
            </w:tcBorders>
            <w:hideMark/>
          </w:tcPr>
          <w:p w:rsidR="00F8597A" w:rsidRPr="00F000AD" w:rsidRDefault="00F8597A" w:rsidP="0002745C">
            <w:pPr>
              <w:rPr>
                <w:b/>
                <w:iCs/>
                <w:lang w:val="en-US"/>
              </w:rPr>
            </w:pPr>
            <w:r w:rsidRPr="00F000AD">
              <w:rPr>
                <w:b/>
                <w:iCs/>
                <w:lang w:val="en-US"/>
              </w:rPr>
              <w:t xml:space="preserve">Code </w:t>
            </w:r>
          </w:p>
        </w:tc>
        <w:tc>
          <w:tcPr>
            <w:tcW w:w="2175" w:type="dxa"/>
            <w:tcBorders>
              <w:top w:val="single" w:sz="4" w:space="0" w:color="auto"/>
              <w:left w:val="single" w:sz="4" w:space="0" w:color="auto"/>
              <w:bottom w:val="single" w:sz="4" w:space="0" w:color="auto"/>
              <w:right w:val="single" w:sz="4" w:space="0" w:color="auto"/>
            </w:tcBorders>
            <w:hideMark/>
          </w:tcPr>
          <w:p w:rsidR="00F8597A" w:rsidRPr="00F000AD" w:rsidRDefault="00F8597A" w:rsidP="0002745C">
            <w:pPr>
              <w:rPr>
                <w:b/>
                <w:iCs/>
                <w:lang w:val="en-US"/>
              </w:rPr>
            </w:pPr>
            <w:r w:rsidRPr="00F000AD">
              <w:rPr>
                <w:b/>
                <w:iCs/>
                <w:lang w:val="en-US"/>
              </w:rPr>
              <w:t>Amount (EUR)</w:t>
            </w:r>
          </w:p>
        </w:tc>
      </w:tr>
      <w:tr w:rsidR="00F8597A" w:rsidRPr="00F000AD" w:rsidTr="0002745C">
        <w:tc>
          <w:tcPr>
            <w:tcW w:w="1599" w:type="dxa"/>
            <w:tcBorders>
              <w:top w:val="single" w:sz="4" w:space="0" w:color="auto"/>
              <w:left w:val="single" w:sz="4" w:space="0" w:color="auto"/>
              <w:bottom w:val="single" w:sz="4" w:space="0" w:color="auto"/>
              <w:right w:val="single" w:sz="4" w:space="0" w:color="auto"/>
            </w:tcBorders>
          </w:tcPr>
          <w:p w:rsidR="00F8597A" w:rsidRPr="00F000AD" w:rsidRDefault="00F8597A" w:rsidP="0002745C">
            <w:pPr>
              <w:rPr>
                <w:b/>
                <w:iCs/>
                <w:lang w:val="en-US"/>
              </w:rPr>
            </w:pPr>
            <w:r>
              <w:rPr>
                <w:b/>
                <w:iCs/>
                <w:lang w:val="en-US"/>
              </w:rPr>
              <w:t>1.0</w:t>
            </w:r>
          </w:p>
        </w:tc>
        <w:tc>
          <w:tcPr>
            <w:tcW w:w="1384" w:type="dxa"/>
            <w:tcBorders>
              <w:top w:val="single" w:sz="4" w:space="0" w:color="auto"/>
              <w:left w:val="single" w:sz="4" w:space="0" w:color="auto"/>
              <w:bottom w:val="single" w:sz="4" w:space="0" w:color="auto"/>
              <w:right w:val="single" w:sz="4" w:space="0" w:color="auto"/>
            </w:tcBorders>
          </w:tcPr>
          <w:p w:rsidR="00F8597A" w:rsidRPr="00F000AD" w:rsidRDefault="00F8597A" w:rsidP="0002745C">
            <w:pPr>
              <w:rPr>
                <w:b/>
                <w:iCs/>
                <w:lang w:val="en-US"/>
              </w:rPr>
            </w:pPr>
            <w:r>
              <w:rPr>
                <w:b/>
                <w:iCs/>
                <w:lang w:val="en-US"/>
              </w:rPr>
              <w:t>FEDR</w:t>
            </w:r>
          </w:p>
        </w:tc>
        <w:tc>
          <w:tcPr>
            <w:tcW w:w="1433" w:type="dxa"/>
            <w:tcBorders>
              <w:top w:val="single" w:sz="4" w:space="0" w:color="auto"/>
              <w:left w:val="single" w:sz="4" w:space="0" w:color="auto"/>
              <w:bottom w:val="single" w:sz="4" w:space="0" w:color="auto"/>
              <w:right w:val="single" w:sz="4" w:space="0" w:color="auto"/>
            </w:tcBorders>
          </w:tcPr>
          <w:p w:rsidR="00F8597A" w:rsidRPr="00F000AD" w:rsidRDefault="00F8597A" w:rsidP="0002745C">
            <w:pPr>
              <w:rPr>
                <w:b/>
                <w:iCs/>
                <w:lang w:val="en-US"/>
              </w:rPr>
            </w:pPr>
            <w:r>
              <w:rPr>
                <w:b/>
                <w:iCs/>
                <w:lang w:val="en-US"/>
              </w:rPr>
              <w:t>Mai putin dezvoltată</w:t>
            </w:r>
          </w:p>
        </w:tc>
        <w:tc>
          <w:tcPr>
            <w:tcW w:w="1053" w:type="dxa"/>
            <w:tcBorders>
              <w:top w:val="single" w:sz="4" w:space="0" w:color="auto"/>
              <w:left w:val="single" w:sz="4" w:space="0" w:color="auto"/>
              <w:bottom w:val="single" w:sz="4" w:space="0" w:color="auto"/>
              <w:right w:val="single" w:sz="4" w:space="0" w:color="auto"/>
            </w:tcBorders>
          </w:tcPr>
          <w:p w:rsidR="00F8597A" w:rsidRPr="00F000AD" w:rsidRDefault="00F8597A" w:rsidP="0002745C">
            <w:pPr>
              <w:rPr>
                <w:b/>
                <w:iCs/>
                <w:lang w:val="en-US"/>
              </w:rPr>
            </w:pPr>
            <w:r>
              <w:rPr>
                <w:b/>
                <w:iCs/>
                <w:lang w:val="en-US"/>
              </w:rPr>
              <w:t>01</w:t>
            </w:r>
          </w:p>
        </w:tc>
        <w:tc>
          <w:tcPr>
            <w:tcW w:w="2175" w:type="dxa"/>
            <w:tcBorders>
              <w:top w:val="single" w:sz="4" w:space="0" w:color="auto"/>
              <w:left w:val="single" w:sz="4" w:space="0" w:color="auto"/>
              <w:bottom w:val="single" w:sz="4" w:space="0" w:color="auto"/>
              <w:right w:val="single" w:sz="4" w:space="0" w:color="auto"/>
            </w:tcBorders>
          </w:tcPr>
          <w:p w:rsidR="00F8597A" w:rsidRPr="00F000AD" w:rsidRDefault="00E60E52" w:rsidP="0002745C">
            <w:pPr>
              <w:rPr>
                <w:b/>
                <w:iCs/>
                <w:lang w:val="en-US"/>
              </w:rPr>
            </w:pPr>
            <w:r>
              <w:rPr>
                <w:b/>
                <w:iCs/>
                <w:lang w:val="en-US"/>
              </w:rPr>
              <w:t>229.991.307</w:t>
            </w:r>
          </w:p>
        </w:tc>
      </w:tr>
    </w:tbl>
    <w:p w:rsidR="00F8597A" w:rsidRPr="00F000AD" w:rsidRDefault="00F8597A" w:rsidP="00F8597A">
      <w:pPr>
        <w:rPr>
          <w:b/>
          <w:iC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433"/>
        <w:gridCol w:w="1053"/>
        <w:gridCol w:w="1644"/>
        <w:gridCol w:w="531"/>
      </w:tblGrid>
      <w:tr w:rsidR="00F8597A" w:rsidRPr="00F000AD" w:rsidTr="0002745C">
        <w:tc>
          <w:tcPr>
            <w:tcW w:w="7644" w:type="dxa"/>
            <w:gridSpan w:val="6"/>
            <w:tcBorders>
              <w:top w:val="single" w:sz="4" w:space="0" w:color="auto"/>
              <w:left w:val="single" w:sz="4" w:space="0" w:color="auto"/>
              <w:bottom w:val="single" w:sz="4" w:space="0" w:color="auto"/>
              <w:right w:val="single" w:sz="4" w:space="0" w:color="auto"/>
            </w:tcBorders>
            <w:hideMark/>
          </w:tcPr>
          <w:p w:rsidR="00F8597A" w:rsidRPr="00F000AD" w:rsidRDefault="00F8597A" w:rsidP="0002745C">
            <w:pPr>
              <w:rPr>
                <w:b/>
                <w:iCs/>
                <w:lang w:val="en-US"/>
              </w:rPr>
            </w:pPr>
            <w:r w:rsidRPr="00F000AD">
              <w:rPr>
                <w:b/>
                <w:iCs/>
                <w:lang w:val="en-US"/>
              </w:rPr>
              <w:t>Table 6: Dimension 3 – territorial delivery mechanism and territorial focus</w:t>
            </w:r>
          </w:p>
        </w:tc>
      </w:tr>
      <w:tr w:rsidR="00F8597A" w:rsidRPr="00F000AD" w:rsidTr="0002745C">
        <w:tc>
          <w:tcPr>
            <w:tcW w:w="1599" w:type="dxa"/>
            <w:tcBorders>
              <w:top w:val="single" w:sz="4" w:space="0" w:color="auto"/>
              <w:left w:val="single" w:sz="4" w:space="0" w:color="auto"/>
              <w:bottom w:val="single" w:sz="4" w:space="0" w:color="auto"/>
              <w:right w:val="single" w:sz="4" w:space="0" w:color="auto"/>
            </w:tcBorders>
            <w:hideMark/>
          </w:tcPr>
          <w:p w:rsidR="00F8597A" w:rsidRPr="00F000AD" w:rsidRDefault="00F8597A" w:rsidP="0002745C">
            <w:pPr>
              <w:rPr>
                <w:b/>
                <w:iCs/>
                <w:lang w:val="en-US"/>
              </w:rPr>
            </w:pPr>
            <w:r w:rsidRPr="00F000AD">
              <w:rPr>
                <w:b/>
                <w:iCs/>
                <w:lang w:val="en-US"/>
              </w:rPr>
              <w:t>Priority No</w:t>
            </w:r>
          </w:p>
        </w:tc>
        <w:tc>
          <w:tcPr>
            <w:tcW w:w="1384" w:type="dxa"/>
            <w:tcBorders>
              <w:top w:val="single" w:sz="4" w:space="0" w:color="auto"/>
              <w:left w:val="single" w:sz="4" w:space="0" w:color="auto"/>
              <w:bottom w:val="single" w:sz="4" w:space="0" w:color="auto"/>
              <w:right w:val="single" w:sz="4" w:space="0" w:color="auto"/>
            </w:tcBorders>
            <w:hideMark/>
          </w:tcPr>
          <w:p w:rsidR="00F8597A" w:rsidRPr="00F000AD" w:rsidRDefault="00F8597A" w:rsidP="0002745C">
            <w:pPr>
              <w:rPr>
                <w:b/>
                <w:iCs/>
                <w:lang w:val="en-US"/>
              </w:rPr>
            </w:pPr>
            <w:r w:rsidRPr="00F000AD">
              <w:rPr>
                <w:b/>
                <w:iCs/>
                <w:lang w:val="en-US"/>
              </w:rPr>
              <w:t>Fund</w:t>
            </w:r>
          </w:p>
        </w:tc>
        <w:tc>
          <w:tcPr>
            <w:tcW w:w="1433" w:type="dxa"/>
            <w:tcBorders>
              <w:top w:val="single" w:sz="4" w:space="0" w:color="auto"/>
              <w:left w:val="single" w:sz="4" w:space="0" w:color="auto"/>
              <w:bottom w:val="single" w:sz="4" w:space="0" w:color="auto"/>
              <w:right w:val="single" w:sz="4" w:space="0" w:color="auto"/>
            </w:tcBorders>
            <w:hideMark/>
          </w:tcPr>
          <w:p w:rsidR="00F8597A" w:rsidRPr="00F000AD" w:rsidRDefault="00F8597A" w:rsidP="0002745C">
            <w:pPr>
              <w:rPr>
                <w:b/>
                <w:iCs/>
                <w:lang w:val="en-US"/>
              </w:rPr>
            </w:pPr>
            <w:r w:rsidRPr="00F000AD">
              <w:rPr>
                <w:b/>
                <w:iCs/>
                <w:lang w:val="en-US"/>
              </w:rPr>
              <w:t>Category of region</w:t>
            </w:r>
            <w:r w:rsidRPr="00F000AD">
              <w:rPr>
                <w:b/>
                <w:iCs/>
                <w:vertAlign w:val="superscript"/>
                <w:lang w:val="en-US"/>
              </w:rPr>
              <w:footnoteReference w:id="22"/>
            </w:r>
          </w:p>
        </w:tc>
        <w:tc>
          <w:tcPr>
            <w:tcW w:w="1053" w:type="dxa"/>
            <w:tcBorders>
              <w:top w:val="single" w:sz="4" w:space="0" w:color="auto"/>
              <w:left w:val="single" w:sz="4" w:space="0" w:color="auto"/>
              <w:bottom w:val="single" w:sz="4" w:space="0" w:color="auto"/>
              <w:right w:val="single" w:sz="4" w:space="0" w:color="auto"/>
            </w:tcBorders>
            <w:hideMark/>
          </w:tcPr>
          <w:p w:rsidR="00F8597A" w:rsidRPr="00F000AD" w:rsidRDefault="00F8597A" w:rsidP="0002745C">
            <w:pPr>
              <w:rPr>
                <w:b/>
                <w:iCs/>
                <w:lang w:val="en-US"/>
              </w:rPr>
            </w:pPr>
            <w:r w:rsidRPr="00F000AD">
              <w:rPr>
                <w:b/>
                <w:iCs/>
                <w:lang w:val="en-US"/>
              </w:rPr>
              <w:t xml:space="preserve">Code </w:t>
            </w:r>
          </w:p>
        </w:tc>
        <w:tc>
          <w:tcPr>
            <w:tcW w:w="2175" w:type="dxa"/>
            <w:gridSpan w:val="2"/>
            <w:tcBorders>
              <w:top w:val="single" w:sz="4" w:space="0" w:color="auto"/>
              <w:left w:val="single" w:sz="4" w:space="0" w:color="auto"/>
              <w:bottom w:val="single" w:sz="4" w:space="0" w:color="auto"/>
              <w:right w:val="single" w:sz="4" w:space="0" w:color="auto"/>
            </w:tcBorders>
            <w:hideMark/>
          </w:tcPr>
          <w:p w:rsidR="00F8597A" w:rsidRPr="00F000AD" w:rsidRDefault="00F8597A" w:rsidP="0002745C">
            <w:pPr>
              <w:rPr>
                <w:b/>
                <w:iCs/>
                <w:lang w:val="en-US"/>
              </w:rPr>
            </w:pPr>
            <w:r w:rsidRPr="00F000AD">
              <w:rPr>
                <w:b/>
                <w:iCs/>
                <w:lang w:val="en-US"/>
              </w:rPr>
              <w:t>Amount (EUR)</w:t>
            </w:r>
          </w:p>
        </w:tc>
      </w:tr>
      <w:tr w:rsidR="00F8597A" w:rsidRPr="00F000AD" w:rsidTr="00E95FAC">
        <w:tc>
          <w:tcPr>
            <w:tcW w:w="1599" w:type="dxa"/>
            <w:tcBorders>
              <w:top w:val="single" w:sz="4" w:space="0" w:color="auto"/>
              <w:left w:val="single" w:sz="4" w:space="0" w:color="auto"/>
              <w:bottom w:val="single" w:sz="4" w:space="0" w:color="auto"/>
              <w:right w:val="single" w:sz="4" w:space="0" w:color="auto"/>
            </w:tcBorders>
          </w:tcPr>
          <w:p w:rsidR="00F8597A" w:rsidRPr="00F000AD" w:rsidRDefault="00F8597A" w:rsidP="0002745C">
            <w:pPr>
              <w:rPr>
                <w:b/>
                <w:iCs/>
                <w:lang w:val="en-US"/>
              </w:rPr>
            </w:pPr>
            <w:r>
              <w:rPr>
                <w:b/>
                <w:iCs/>
                <w:lang w:val="en-US"/>
              </w:rPr>
              <w:lastRenderedPageBreak/>
              <w:t>1.0</w:t>
            </w:r>
          </w:p>
        </w:tc>
        <w:tc>
          <w:tcPr>
            <w:tcW w:w="1384" w:type="dxa"/>
            <w:tcBorders>
              <w:top w:val="single" w:sz="4" w:space="0" w:color="auto"/>
              <w:left w:val="single" w:sz="4" w:space="0" w:color="auto"/>
              <w:bottom w:val="single" w:sz="4" w:space="0" w:color="auto"/>
              <w:right w:val="single" w:sz="4" w:space="0" w:color="auto"/>
            </w:tcBorders>
          </w:tcPr>
          <w:p w:rsidR="00F8597A" w:rsidRPr="00F000AD" w:rsidRDefault="00F8597A" w:rsidP="0002745C">
            <w:pPr>
              <w:rPr>
                <w:b/>
                <w:iCs/>
                <w:lang w:val="en-US"/>
              </w:rPr>
            </w:pPr>
            <w:r>
              <w:rPr>
                <w:b/>
                <w:iCs/>
                <w:lang w:val="en-US"/>
              </w:rPr>
              <w:t>FEDR</w:t>
            </w:r>
          </w:p>
        </w:tc>
        <w:tc>
          <w:tcPr>
            <w:tcW w:w="1433" w:type="dxa"/>
            <w:tcBorders>
              <w:top w:val="single" w:sz="4" w:space="0" w:color="auto"/>
              <w:left w:val="single" w:sz="4" w:space="0" w:color="auto"/>
              <w:bottom w:val="single" w:sz="4" w:space="0" w:color="auto"/>
              <w:right w:val="single" w:sz="4" w:space="0" w:color="auto"/>
            </w:tcBorders>
          </w:tcPr>
          <w:p w:rsidR="00F8597A" w:rsidRPr="00F000AD" w:rsidRDefault="00F8597A" w:rsidP="0002745C">
            <w:pPr>
              <w:rPr>
                <w:b/>
                <w:iCs/>
                <w:lang w:val="en-US"/>
              </w:rPr>
            </w:pPr>
            <w:r>
              <w:rPr>
                <w:b/>
                <w:iCs/>
                <w:lang w:val="en-US"/>
              </w:rPr>
              <w:t>Mai putin dezvoltată</w:t>
            </w:r>
          </w:p>
        </w:tc>
        <w:tc>
          <w:tcPr>
            <w:tcW w:w="1053" w:type="dxa"/>
            <w:tcBorders>
              <w:top w:val="single" w:sz="4" w:space="0" w:color="auto"/>
              <w:left w:val="single" w:sz="4" w:space="0" w:color="auto"/>
              <w:bottom w:val="single" w:sz="4" w:space="0" w:color="auto"/>
              <w:right w:val="single" w:sz="4" w:space="0" w:color="auto"/>
            </w:tcBorders>
          </w:tcPr>
          <w:p w:rsidR="00F8597A" w:rsidRPr="00F000AD" w:rsidRDefault="00F8597A" w:rsidP="0002745C">
            <w:pPr>
              <w:rPr>
                <w:b/>
                <w:iCs/>
                <w:lang w:val="en-US"/>
              </w:rPr>
            </w:pPr>
            <w:r>
              <w:rPr>
                <w:b/>
                <w:iCs/>
                <w:lang w:val="en-US"/>
              </w:rPr>
              <w:t>48</w:t>
            </w:r>
          </w:p>
        </w:tc>
        <w:tc>
          <w:tcPr>
            <w:tcW w:w="1644" w:type="dxa"/>
            <w:tcBorders>
              <w:top w:val="single" w:sz="4" w:space="0" w:color="auto"/>
              <w:left w:val="single" w:sz="4" w:space="0" w:color="auto"/>
              <w:bottom w:val="single" w:sz="4" w:space="0" w:color="auto"/>
              <w:right w:val="single" w:sz="4" w:space="0" w:color="auto"/>
            </w:tcBorders>
          </w:tcPr>
          <w:p w:rsidR="00F8597A" w:rsidRPr="00F000AD" w:rsidRDefault="00E60E52" w:rsidP="0002745C">
            <w:pPr>
              <w:rPr>
                <w:b/>
                <w:iCs/>
                <w:lang w:val="en-US"/>
              </w:rPr>
            </w:pPr>
            <w:r>
              <w:rPr>
                <w:b/>
                <w:iCs/>
                <w:lang w:val="en-US"/>
              </w:rPr>
              <w:t>229.991.307</w:t>
            </w:r>
          </w:p>
        </w:tc>
        <w:tc>
          <w:tcPr>
            <w:tcW w:w="531" w:type="dxa"/>
            <w:tcBorders>
              <w:top w:val="single" w:sz="4" w:space="0" w:color="auto"/>
              <w:left w:val="single" w:sz="4" w:space="0" w:color="auto"/>
              <w:bottom w:val="single" w:sz="4" w:space="0" w:color="auto"/>
              <w:right w:val="single" w:sz="4" w:space="0" w:color="auto"/>
            </w:tcBorders>
          </w:tcPr>
          <w:p w:rsidR="00F8597A" w:rsidRPr="00F000AD" w:rsidRDefault="00F8597A" w:rsidP="0002745C">
            <w:pPr>
              <w:rPr>
                <w:b/>
                <w:iCs/>
                <w:lang w:val="en-US"/>
              </w:rPr>
            </w:pPr>
          </w:p>
        </w:tc>
      </w:tr>
    </w:tbl>
    <w:p w:rsidR="00F8597A" w:rsidRPr="00F000AD" w:rsidRDefault="00F8597A" w:rsidP="00F8597A">
      <w:pPr>
        <w:rPr>
          <w:b/>
          <w:iC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433"/>
        <w:gridCol w:w="1053"/>
        <w:gridCol w:w="2175"/>
      </w:tblGrid>
      <w:tr w:rsidR="00F8597A" w:rsidRPr="00F000AD" w:rsidTr="0002745C">
        <w:tc>
          <w:tcPr>
            <w:tcW w:w="7644" w:type="dxa"/>
            <w:gridSpan w:val="5"/>
            <w:tcBorders>
              <w:top w:val="single" w:sz="4" w:space="0" w:color="auto"/>
              <w:left w:val="single" w:sz="4" w:space="0" w:color="auto"/>
              <w:bottom w:val="single" w:sz="4" w:space="0" w:color="auto"/>
              <w:right w:val="single" w:sz="4" w:space="0" w:color="auto"/>
            </w:tcBorders>
            <w:hideMark/>
          </w:tcPr>
          <w:p w:rsidR="00F8597A" w:rsidRPr="000A0CC7" w:rsidRDefault="00F8597A" w:rsidP="0002745C">
            <w:pPr>
              <w:rPr>
                <w:b/>
                <w:iCs/>
                <w:lang w:val="en-US"/>
              </w:rPr>
            </w:pPr>
            <w:r w:rsidRPr="000A0CC7">
              <w:rPr>
                <w:b/>
                <w:iCs/>
                <w:lang w:val="en-US"/>
              </w:rPr>
              <w:t>Table 7: Dimension 6 – ESF+ secondary themes</w:t>
            </w:r>
          </w:p>
        </w:tc>
      </w:tr>
      <w:tr w:rsidR="00F8597A" w:rsidRPr="00F000AD" w:rsidTr="0002745C">
        <w:tc>
          <w:tcPr>
            <w:tcW w:w="1599" w:type="dxa"/>
            <w:tcBorders>
              <w:top w:val="single" w:sz="4" w:space="0" w:color="auto"/>
              <w:left w:val="single" w:sz="4" w:space="0" w:color="auto"/>
              <w:bottom w:val="single" w:sz="4" w:space="0" w:color="auto"/>
              <w:right w:val="single" w:sz="4" w:space="0" w:color="auto"/>
            </w:tcBorders>
            <w:hideMark/>
          </w:tcPr>
          <w:p w:rsidR="00F8597A" w:rsidRPr="00F000AD" w:rsidRDefault="00F8597A" w:rsidP="0002745C">
            <w:pPr>
              <w:rPr>
                <w:b/>
                <w:iCs/>
                <w:lang w:val="en-US"/>
              </w:rPr>
            </w:pPr>
            <w:r w:rsidRPr="00F000AD">
              <w:rPr>
                <w:b/>
                <w:iCs/>
                <w:lang w:val="en-US"/>
              </w:rPr>
              <w:t>Priority No</w:t>
            </w:r>
          </w:p>
        </w:tc>
        <w:tc>
          <w:tcPr>
            <w:tcW w:w="1384" w:type="dxa"/>
            <w:tcBorders>
              <w:top w:val="single" w:sz="4" w:space="0" w:color="auto"/>
              <w:left w:val="single" w:sz="4" w:space="0" w:color="auto"/>
              <w:bottom w:val="single" w:sz="4" w:space="0" w:color="auto"/>
              <w:right w:val="single" w:sz="4" w:space="0" w:color="auto"/>
            </w:tcBorders>
            <w:hideMark/>
          </w:tcPr>
          <w:p w:rsidR="00F8597A" w:rsidRPr="000A0CC7" w:rsidRDefault="00F8597A" w:rsidP="0002745C">
            <w:pPr>
              <w:rPr>
                <w:b/>
                <w:iCs/>
                <w:lang w:val="en-US"/>
              </w:rPr>
            </w:pPr>
            <w:r w:rsidRPr="000A0CC7">
              <w:rPr>
                <w:b/>
                <w:iCs/>
                <w:lang w:val="en-US"/>
              </w:rPr>
              <w:t>Fund</w:t>
            </w:r>
          </w:p>
        </w:tc>
        <w:tc>
          <w:tcPr>
            <w:tcW w:w="1433" w:type="dxa"/>
            <w:tcBorders>
              <w:top w:val="single" w:sz="4" w:space="0" w:color="auto"/>
              <w:left w:val="single" w:sz="4" w:space="0" w:color="auto"/>
              <w:bottom w:val="single" w:sz="4" w:space="0" w:color="auto"/>
              <w:right w:val="single" w:sz="4" w:space="0" w:color="auto"/>
            </w:tcBorders>
            <w:hideMark/>
          </w:tcPr>
          <w:p w:rsidR="00F8597A" w:rsidRPr="000A0CC7" w:rsidRDefault="00F8597A" w:rsidP="0002745C">
            <w:pPr>
              <w:rPr>
                <w:b/>
                <w:iCs/>
                <w:lang w:val="en-US"/>
              </w:rPr>
            </w:pPr>
            <w:r w:rsidRPr="000A0CC7">
              <w:rPr>
                <w:b/>
                <w:iCs/>
                <w:lang w:val="en-US"/>
              </w:rPr>
              <w:t>Category of region</w:t>
            </w:r>
          </w:p>
        </w:tc>
        <w:tc>
          <w:tcPr>
            <w:tcW w:w="1053" w:type="dxa"/>
            <w:tcBorders>
              <w:top w:val="single" w:sz="4" w:space="0" w:color="auto"/>
              <w:left w:val="single" w:sz="4" w:space="0" w:color="auto"/>
              <w:bottom w:val="single" w:sz="4" w:space="0" w:color="auto"/>
              <w:right w:val="single" w:sz="4" w:space="0" w:color="auto"/>
            </w:tcBorders>
            <w:hideMark/>
          </w:tcPr>
          <w:p w:rsidR="00F8597A" w:rsidRPr="000A0CC7" w:rsidRDefault="00F8597A" w:rsidP="0002745C">
            <w:pPr>
              <w:rPr>
                <w:b/>
                <w:iCs/>
                <w:lang w:val="en-US"/>
              </w:rPr>
            </w:pPr>
            <w:r w:rsidRPr="000A0CC7">
              <w:rPr>
                <w:b/>
                <w:iCs/>
                <w:lang w:val="en-US"/>
              </w:rPr>
              <w:t xml:space="preserve">Code </w:t>
            </w:r>
          </w:p>
        </w:tc>
        <w:tc>
          <w:tcPr>
            <w:tcW w:w="2175" w:type="dxa"/>
            <w:tcBorders>
              <w:top w:val="single" w:sz="4" w:space="0" w:color="auto"/>
              <w:left w:val="single" w:sz="4" w:space="0" w:color="auto"/>
              <w:bottom w:val="single" w:sz="4" w:space="0" w:color="auto"/>
              <w:right w:val="single" w:sz="4" w:space="0" w:color="auto"/>
            </w:tcBorders>
            <w:hideMark/>
          </w:tcPr>
          <w:p w:rsidR="00F8597A" w:rsidRPr="000A0CC7" w:rsidRDefault="00F8597A" w:rsidP="0002745C">
            <w:pPr>
              <w:rPr>
                <w:b/>
                <w:iCs/>
                <w:lang w:val="en-US"/>
              </w:rPr>
            </w:pPr>
            <w:r w:rsidRPr="000A0CC7">
              <w:rPr>
                <w:b/>
                <w:iCs/>
                <w:lang w:val="en-US"/>
              </w:rPr>
              <w:t>Amount (EUR)</w:t>
            </w:r>
          </w:p>
        </w:tc>
      </w:tr>
      <w:tr w:rsidR="00F8597A" w:rsidRPr="00F000AD" w:rsidTr="0002745C">
        <w:tc>
          <w:tcPr>
            <w:tcW w:w="1599" w:type="dxa"/>
            <w:tcBorders>
              <w:top w:val="single" w:sz="4" w:space="0" w:color="auto"/>
              <w:left w:val="single" w:sz="4" w:space="0" w:color="auto"/>
              <w:bottom w:val="single" w:sz="4" w:space="0" w:color="auto"/>
              <w:right w:val="single" w:sz="4" w:space="0" w:color="auto"/>
            </w:tcBorders>
          </w:tcPr>
          <w:p w:rsidR="00F8597A" w:rsidRPr="00F000AD" w:rsidRDefault="00F8597A" w:rsidP="0002745C">
            <w:pPr>
              <w:rPr>
                <w:b/>
                <w:iCs/>
                <w:lang w:val="en-US"/>
              </w:rPr>
            </w:pPr>
          </w:p>
        </w:tc>
        <w:tc>
          <w:tcPr>
            <w:tcW w:w="1384" w:type="dxa"/>
            <w:tcBorders>
              <w:top w:val="single" w:sz="4" w:space="0" w:color="auto"/>
              <w:left w:val="single" w:sz="4" w:space="0" w:color="auto"/>
              <w:bottom w:val="single" w:sz="4" w:space="0" w:color="auto"/>
              <w:right w:val="single" w:sz="4" w:space="0" w:color="auto"/>
            </w:tcBorders>
          </w:tcPr>
          <w:p w:rsidR="00F8597A" w:rsidRPr="00BF5D28" w:rsidRDefault="00F8597A" w:rsidP="0002745C">
            <w:pPr>
              <w:rPr>
                <w:b/>
                <w:iCs/>
                <w:highlight w:val="yellow"/>
                <w:lang w:val="en-US"/>
              </w:rPr>
            </w:pPr>
          </w:p>
        </w:tc>
        <w:tc>
          <w:tcPr>
            <w:tcW w:w="1433" w:type="dxa"/>
            <w:tcBorders>
              <w:top w:val="single" w:sz="4" w:space="0" w:color="auto"/>
              <w:left w:val="single" w:sz="4" w:space="0" w:color="auto"/>
              <w:bottom w:val="single" w:sz="4" w:space="0" w:color="auto"/>
              <w:right w:val="single" w:sz="4" w:space="0" w:color="auto"/>
            </w:tcBorders>
          </w:tcPr>
          <w:p w:rsidR="00F8597A" w:rsidRPr="00BF5D28" w:rsidRDefault="00F8597A" w:rsidP="0002745C">
            <w:pPr>
              <w:rPr>
                <w:b/>
                <w:iCs/>
                <w:highlight w:val="yellow"/>
                <w:lang w:val="en-US"/>
              </w:rPr>
            </w:pPr>
          </w:p>
        </w:tc>
        <w:tc>
          <w:tcPr>
            <w:tcW w:w="1053" w:type="dxa"/>
            <w:tcBorders>
              <w:top w:val="single" w:sz="4" w:space="0" w:color="auto"/>
              <w:left w:val="single" w:sz="4" w:space="0" w:color="auto"/>
              <w:bottom w:val="single" w:sz="4" w:space="0" w:color="auto"/>
              <w:right w:val="single" w:sz="4" w:space="0" w:color="auto"/>
            </w:tcBorders>
          </w:tcPr>
          <w:p w:rsidR="00F8597A" w:rsidRPr="00BF5D28" w:rsidRDefault="00F8597A" w:rsidP="0002745C">
            <w:pPr>
              <w:rPr>
                <w:b/>
                <w:iCs/>
                <w:highlight w:val="yellow"/>
                <w:lang w:val="en-US"/>
              </w:rPr>
            </w:pPr>
          </w:p>
        </w:tc>
        <w:tc>
          <w:tcPr>
            <w:tcW w:w="2175" w:type="dxa"/>
            <w:tcBorders>
              <w:top w:val="single" w:sz="4" w:space="0" w:color="auto"/>
              <w:left w:val="single" w:sz="4" w:space="0" w:color="auto"/>
              <w:bottom w:val="single" w:sz="4" w:space="0" w:color="auto"/>
              <w:right w:val="single" w:sz="4" w:space="0" w:color="auto"/>
            </w:tcBorders>
          </w:tcPr>
          <w:p w:rsidR="00F8597A" w:rsidRPr="00BF5D28" w:rsidRDefault="00F8597A" w:rsidP="0002745C">
            <w:pPr>
              <w:rPr>
                <w:b/>
                <w:iCs/>
                <w:highlight w:val="yellow"/>
                <w:lang w:val="en-US"/>
              </w:rPr>
            </w:pPr>
          </w:p>
        </w:tc>
      </w:tr>
    </w:tbl>
    <w:p w:rsidR="00F8597A" w:rsidRDefault="00F8597A" w:rsidP="00F8597A">
      <w:pPr>
        <w:tabs>
          <w:tab w:val="left" w:pos="3150"/>
        </w:tabs>
        <w:rPr>
          <w:lang w:val="en-GB"/>
        </w:rPr>
      </w:pPr>
    </w:p>
    <w:p w:rsidR="00F8597A" w:rsidRDefault="00F8597A" w:rsidP="00F8597A">
      <w:pPr>
        <w:spacing w:before="240" w:after="240" w:line="360" w:lineRule="auto"/>
        <w:rPr>
          <w:rFonts w:ascii="Times New Roman" w:eastAsia="Times New Roman" w:hAnsi="Times New Roman" w:cs="Times New Roman"/>
          <w:b/>
          <w:iCs/>
          <w:noProof/>
          <w:sz w:val="24"/>
          <w:szCs w:val="24"/>
          <w:lang w:val="en-GB"/>
        </w:rPr>
      </w:pPr>
      <w:r w:rsidRPr="002E744B">
        <w:rPr>
          <w:rFonts w:ascii="Times New Roman" w:eastAsia="Times New Roman" w:hAnsi="Times New Roman" w:cs="Times New Roman"/>
          <w:b/>
          <w:iCs/>
          <w:noProof/>
          <w:sz w:val="24"/>
          <w:szCs w:val="24"/>
          <w:lang w:val="en-GB"/>
        </w:rPr>
        <w:t>2.A.3 Specific objective</w:t>
      </w:r>
      <w:r w:rsidRPr="002E744B">
        <w:rPr>
          <w:rFonts w:ascii="Times New Roman" w:eastAsia="Times New Roman" w:hAnsi="Times New Roman" w:cs="Times New Roman"/>
          <w:b/>
          <w:bCs/>
          <w:iCs/>
          <w:noProof/>
          <w:sz w:val="24"/>
          <w:szCs w:val="24"/>
          <w:vertAlign w:val="superscript"/>
          <w:lang w:val="en-GB"/>
        </w:rPr>
        <w:footnoteReference w:id="23"/>
      </w:r>
      <w:r w:rsidRPr="002E744B">
        <w:rPr>
          <w:rFonts w:ascii="Times New Roman" w:eastAsia="Times New Roman" w:hAnsi="Times New Roman" w:cs="Times New Roman"/>
          <w:b/>
          <w:iCs/>
          <w:noProof/>
          <w:sz w:val="24"/>
          <w:szCs w:val="24"/>
          <w:lang w:val="en-GB"/>
        </w:rPr>
        <w:t xml:space="preserve"> (Investment for Jobs and Growth goal) repeated for each selected specific objective for priorities other than technical assistance</w:t>
      </w:r>
    </w:p>
    <w:p w:rsidR="00F8597A" w:rsidRPr="00E873AC" w:rsidRDefault="00F8597A" w:rsidP="00F8597A">
      <w:pPr>
        <w:rPr>
          <w:rFonts w:ascii="Times New Roman" w:eastAsia="Times New Roman" w:hAnsi="Times New Roman" w:cs="Times New Roman"/>
          <w:b/>
          <w:iCs/>
          <w:noProof/>
          <w:color w:val="002060"/>
          <w:sz w:val="24"/>
          <w:szCs w:val="24"/>
          <w:lang w:val="en-GB"/>
        </w:rPr>
      </w:pPr>
      <w:bookmarkStart w:id="6" w:name="_Hlk40199956"/>
      <w:r w:rsidRPr="00E873AC">
        <w:rPr>
          <w:rFonts w:ascii="Times New Roman" w:eastAsia="Times New Roman" w:hAnsi="Times New Roman" w:cs="Times New Roman"/>
          <w:b/>
          <w:iCs/>
          <w:noProof/>
          <w:color w:val="002060"/>
          <w:sz w:val="24"/>
          <w:szCs w:val="24"/>
          <w:lang w:val="en-GB"/>
        </w:rPr>
        <w:t>a (i) Dezvoltarea capacităților de cercetare și inovare și adoptarea tehnologiilor avansate</w:t>
      </w:r>
    </w:p>
    <w:bookmarkEnd w:id="6"/>
    <w:p w:rsidR="00F8597A" w:rsidRPr="002E744B" w:rsidRDefault="00F8597A" w:rsidP="00F8597A">
      <w:pPr>
        <w:spacing w:before="240" w:after="240" w:line="360" w:lineRule="auto"/>
        <w:rPr>
          <w:rFonts w:ascii="Times New Roman" w:eastAsia="Times New Roman" w:hAnsi="Times New Roman" w:cs="Times New Roman"/>
          <w:b/>
          <w:iCs/>
          <w:noProof/>
          <w:sz w:val="24"/>
          <w:szCs w:val="24"/>
          <w:lang w:val="en-GB"/>
        </w:rPr>
      </w:pPr>
      <w:r w:rsidRPr="002E744B">
        <w:rPr>
          <w:rFonts w:ascii="Times New Roman" w:eastAsia="Times New Roman" w:hAnsi="Times New Roman" w:cs="Times New Roman"/>
          <w:b/>
          <w:iCs/>
          <w:noProof/>
          <w:sz w:val="24"/>
          <w:szCs w:val="24"/>
          <w:lang w:val="en-GB"/>
        </w:rPr>
        <w:t>2.A.3.1 Interventions of the Funds</w:t>
      </w:r>
    </w:p>
    <w:p w:rsidR="00F8597A" w:rsidRPr="002E744B" w:rsidRDefault="00F8597A" w:rsidP="00F8597A">
      <w:pPr>
        <w:spacing w:before="120" w:after="120" w:line="360" w:lineRule="auto"/>
        <w:rPr>
          <w:rFonts w:ascii="Times New Roman" w:eastAsia="Times New Roman" w:hAnsi="Times New Roman" w:cs="Times New Roman"/>
          <w:i/>
          <w:noProof/>
          <w:sz w:val="24"/>
          <w:szCs w:val="24"/>
          <w:lang w:val="en-GB"/>
        </w:rPr>
      </w:pPr>
      <w:r w:rsidRPr="002E744B">
        <w:rPr>
          <w:rFonts w:ascii="Times New Roman" w:eastAsia="Times New Roman" w:hAnsi="Times New Roman" w:cs="Times New Roman"/>
          <w:i/>
          <w:noProof/>
          <w:sz w:val="24"/>
          <w:szCs w:val="24"/>
          <w:lang w:val="en-GB"/>
        </w:rPr>
        <w:t>Reference: Article 17(3)(d)(i),(iii),(iv),(v),(vi);</w:t>
      </w:r>
    </w:p>
    <w:p w:rsidR="00F8597A" w:rsidRPr="002E744B" w:rsidRDefault="00F8597A" w:rsidP="00F8597A">
      <w:pPr>
        <w:bidi/>
        <w:spacing w:before="120" w:after="120" w:line="360" w:lineRule="auto"/>
        <w:jc w:val="right"/>
        <w:rPr>
          <w:rFonts w:ascii="Times New Roman" w:eastAsia="Times New Roman" w:hAnsi="Times New Roman" w:cs="Times New Roman"/>
          <w:b/>
          <w:bCs/>
          <w:i/>
          <w:iCs/>
          <w:noProof/>
          <w:sz w:val="24"/>
          <w:szCs w:val="24"/>
          <w:u w:val="single"/>
          <w:lang w:val="en-GB"/>
        </w:rPr>
      </w:pPr>
      <w:r w:rsidRPr="002E744B">
        <w:rPr>
          <w:rFonts w:ascii="Times New Roman" w:eastAsia="Times New Roman" w:hAnsi="Times New Roman" w:cs="Times New Roman"/>
          <w:i/>
          <w:noProof/>
          <w:sz w:val="24"/>
          <w:szCs w:val="24"/>
          <w:lang w:val="en-GB"/>
        </w:rPr>
        <w:t>The related types of actions – Article 17(3)(d)(i) CPR; Article 6(2) ESF+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F8597A" w:rsidRPr="004D0F1C" w:rsidTr="0002745C">
        <w:tc>
          <w:tcPr>
            <w:tcW w:w="9288" w:type="dxa"/>
            <w:tcBorders>
              <w:top w:val="single" w:sz="4" w:space="0" w:color="auto"/>
              <w:left w:val="single" w:sz="4" w:space="0" w:color="auto"/>
              <w:bottom w:val="single" w:sz="4" w:space="0" w:color="auto"/>
              <w:right w:val="single" w:sz="4" w:space="0" w:color="auto"/>
            </w:tcBorders>
            <w:hideMark/>
          </w:tcPr>
          <w:p w:rsidR="00F8597A" w:rsidRDefault="00F8597A" w:rsidP="0002745C">
            <w:pPr>
              <w:spacing w:before="120" w:after="120" w:line="360" w:lineRule="auto"/>
              <w:jc w:val="both"/>
              <w:rPr>
                <w:rFonts w:eastAsia="Times New Roman" w:cstheme="minorHAnsi"/>
                <w:i/>
                <w:iCs/>
                <w:noProof/>
                <w:lang w:val="en-US"/>
              </w:rPr>
            </w:pPr>
            <w:r w:rsidRPr="004D0F1C">
              <w:rPr>
                <w:rFonts w:eastAsia="Times New Roman" w:cstheme="minorHAnsi"/>
                <w:i/>
                <w:iCs/>
                <w:noProof/>
                <w:lang w:val="en-US"/>
              </w:rPr>
              <w:t>Text field [8 000]</w:t>
            </w:r>
          </w:p>
          <w:p w:rsidR="00351E4A" w:rsidRPr="00615B6C" w:rsidRDefault="00351E4A" w:rsidP="00351E4A">
            <w:pPr>
              <w:spacing w:after="0" w:line="240" w:lineRule="auto"/>
              <w:jc w:val="both"/>
              <w:rPr>
                <w:rFonts w:ascii="Times New Roman" w:eastAsia="Times New Roman" w:hAnsi="Times New Roman" w:cs="Times New Roman"/>
                <w:i/>
                <w:noProof/>
                <w:sz w:val="20"/>
                <w:szCs w:val="20"/>
                <w:lang w:val="en-US"/>
              </w:rPr>
            </w:pPr>
            <w:r w:rsidRPr="00615B6C">
              <w:rPr>
                <w:rFonts w:ascii="Times New Roman" w:eastAsia="Times New Roman" w:hAnsi="Times New Roman" w:cs="Times New Roman"/>
                <w:i/>
                <w:noProof/>
                <w:sz w:val="20"/>
                <w:szCs w:val="20"/>
                <w:lang w:val="en-US"/>
              </w:rPr>
              <w:t>Acest obiectiv specific se regaseste in Axa 1 O regiune competitivă prin inovare si intreprinderi dinamice pentru o economie inteligenta prin 3 obiective specifice la nivel regional: (1) Dezvoltarea structurilor CDI si TT în folosul întreprinderilor, (2)</w:t>
            </w:r>
            <w:r w:rsidRPr="00615B6C">
              <w:t xml:space="preserve"> </w:t>
            </w:r>
            <w:r w:rsidRPr="00615B6C">
              <w:rPr>
                <w:rFonts w:ascii="Times New Roman" w:eastAsia="Times New Roman" w:hAnsi="Times New Roman" w:cs="Times New Roman"/>
                <w:i/>
                <w:noProof/>
                <w:sz w:val="20"/>
                <w:szCs w:val="20"/>
                <w:lang w:val="en-US"/>
              </w:rPr>
              <w:t>Dezvoltarea conexiunilor și sinergiilor</w:t>
            </w:r>
            <w:r>
              <w:rPr>
                <w:rFonts w:ascii="Times New Roman" w:eastAsia="Times New Roman" w:hAnsi="Times New Roman" w:cs="Times New Roman"/>
                <w:i/>
                <w:noProof/>
                <w:sz w:val="20"/>
                <w:szCs w:val="20"/>
                <w:lang w:val="en-US"/>
              </w:rPr>
              <w:t xml:space="preserve">, </w:t>
            </w:r>
            <w:r w:rsidRPr="00615B6C">
              <w:rPr>
                <w:rFonts w:ascii="Times New Roman" w:eastAsia="Times New Roman" w:hAnsi="Times New Roman" w:cs="Times New Roman"/>
                <w:i/>
                <w:noProof/>
                <w:sz w:val="20"/>
                <w:szCs w:val="20"/>
                <w:lang w:val="en-US"/>
              </w:rPr>
              <w:t xml:space="preserve">integrarea în rețele de inovare și cunoaștere, în relație cu sectoarele de specializare inteligentă regionale si (3) Intreprinderi inovative pentru o regiune inovativa. </w:t>
            </w:r>
          </w:p>
          <w:p w:rsidR="00351E4A" w:rsidRPr="00615B6C" w:rsidRDefault="00351E4A" w:rsidP="00351E4A">
            <w:pPr>
              <w:spacing w:after="0" w:line="240" w:lineRule="auto"/>
              <w:jc w:val="both"/>
              <w:rPr>
                <w:rFonts w:ascii="Times New Roman" w:eastAsia="Times New Roman" w:hAnsi="Times New Roman" w:cs="Times New Roman"/>
                <w:i/>
                <w:noProof/>
                <w:sz w:val="20"/>
                <w:szCs w:val="20"/>
                <w:lang w:val="en-US"/>
              </w:rPr>
            </w:pPr>
            <w:r w:rsidRPr="00615B6C">
              <w:rPr>
                <w:rFonts w:ascii="Times New Roman" w:eastAsia="Times New Roman" w:hAnsi="Times New Roman" w:cs="Times New Roman"/>
                <w:i/>
                <w:noProof/>
                <w:sz w:val="20"/>
                <w:szCs w:val="20"/>
                <w:lang w:val="en-US"/>
              </w:rPr>
              <w:t xml:space="preserve">Concentrarea teritoriala a investitiilor publice in CDI genereaza si o o cvasi – concentrare a centrelor de cercetare private în aceleași zone, avand ca efecte majore  migrația interregională a talentelor si e migrația start-up-urilor. Necesitatea unui asemenea sistem regional este cu atât mai actuală cu cât, chiar şi în condiţiile cvasi-absenţei susţinerii, Regiunea Centru s-a plasat pe locul 2 la nivel naţional, în anul 2019, după numărul de start-up-uri. Astfel, în 2019, un număr de 72 start-up-uri româneşti au primit finanţare de tip venture capital, din care  7 sunt din Regiunea Centru. Intensitatea regionala a CD  este 0,32 iar procentul de cercetători din total angajați este 0,14, in conditiile in care procentul de resurse umane in Știință și Tehnologie din total populație activă este 29,1. Conform </w:t>
            </w:r>
            <w:r>
              <w:rPr>
                <w:rFonts w:ascii="Times New Roman" w:eastAsia="Times New Roman" w:hAnsi="Times New Roman" w:cs="Times New Roman"/>
                <w:i/>
                <w:noProof/>
                <w:sz w:val="20"/>
                <w:szCs w:val="20"/>
                <w:lang w:val="en-US"/>
              </w:rPr>
              <w:t>RIS</w:t>
            </w:r>
            <w:r w:rsidRPr="00615B6C">
              <w:rPr>
                <w:rFonts w:ascii="Times New Roman" w:eastAsia="Times New Roman" w:hAnsi="Times New Roman" w:cs="Times New Roman"/>
                <w:i/>
                <w:noProof/>
                <w:sz w:val="20"/>
                <w:szCs w:val="20"/>
                <w:lang w:val="en-US"/>
              </w:rPr>
              <w:t>, scorurile regionale sunt modeste in ce priveste Numărul de publicaţii ştiinţifice care au cel puţin un co-autor din afara graniţelor (80% din media națională și aproximativ 38% din media UE), Inovarea de produs / proces in IMM (80% faţă de media naţională, sub 10% din media UE), Inovare de marketing / organizațională (sub pragul de 10% din media UE și la 60% din media națională), IMM care inovează intern (80% din media nationala, sub 10% din media UE), IMM inovative care colaborează (20% din media națională și aproape 0 fata de media UE), Colaborarea public – privată în publicarea de rezultate ale cercetării (la 86% din media naţională dar la 26% din media UE). Pe de alta parte, indicatorul Cheltuieli de CDI ale sectorului de business, (peste media naţională, aproape 50% din media UE) arată că există o apetenţă spre CDI la nivel de companii, care, dacă ar fi susţinută de sectorul public atât prin cercetare congruentă sau complementară, cât şi prin subvenţii, poate să devină o bază de creştere cu impact semnificativ. Un semnal pozitiv ne furnizeaza si indicatorul Angajați în domenii de producție mediu sau înalt tehnologizate (126% față de media națională și la 92% față de media UE)</w:t>
            </w:r>
          </w:p>
          <w:p w:rsidR="00351E4A" w:rsidRPr="00615B6C" w:rsidRDefault="00351E4A" w:rsidP="00351E4A">
            <w:pPr>
              <w:spacing w:after="0" w:line="240" w:lineRule="auto"/>
              <w:jc w:val="both"/>
              <w:rPr>
                <w:rFonts w:ascii="Times New Roman" w:eastAsia="Times New Roman" w:hAnsi="Times New Roman" w:cs="Times New Roman"/>
                <w:i/>
                <w:noProof/>
                <w:sz w:val="20"/>
                <w:szCs w:val="20"/>
                <w:lang w:val="en-US"/>
              </w:rPr>
            </w:pPr>
            <w:r w:rsidRPr="00615B6C">
              <w:rPr>
                <w:rFonts w:ascii="Times New Roman" w:eastAsia="Times New Roman" w:hAnsi="Times New Roman" w:cs="Times New Roman"/>
                <w:i/>
                <w:noProof/>
                <w:sz w:val="20"/>
                <w:szCs w:val="20"/>
                <w:lang w:val="en-US"/>
              </w:rPr>
              <w:t>In ce priveste cooperarea internationala pornim de la premisa ca integrarea ecosistemului de inovare regional în Spațiul de cercetare și inovare european este deficitară</w:t>
            </w:r>
            <w:r>
              <w:rPr>
                <w:rFonts w:ascii="Times New Roman" w:eastAsia="Times New Roman" w:hAnsi="Times New Roman" w:cs="Times New Roman"/>
                <w:i/>
                <w:noProof/>
                <w:sz w:val="20"/>
                <w:szCs w:val="20"/>
                <w:lang w:val="en-US"/>
              </w:rPr>
              <w:t xml:space="preserve"> </w:t>
            </w:r>
            <w:r w:rsidRPr="00615B6C">
              <w:rPr>
                <w:rFonts w:ascii="Times New Roman" w:eastAsia="Times New Roman" w:hAnsi="Times New Roman" w:cs="Times New Roman"/>
                <w:i/>
                <w:noProof/>
                <w:sz w:val="20"/>
                <w:szCs w:val="20"/>
                <w:lang w:val="en-US"/>
              </w:rPr>
              <w:t xml:space="preserve">in conditiile in care doar 48 de entități din Regiunea Centru se regăsesc în consorții care au câștigat proiecte în cadrul Horizon 2020, cu un buget total de 12.631.730,34 euro, </w:t>
            </w:r>
            <w:r>
              <w:rPr>
                <w:rFonts w:ascii="Times New Roman" w:eastAsia="Times New Roman" w:hAnsi="Times New Roman" w:cs="Times New Roman"/>
                <w:i/>
                <w:noProof/>
                <w:sz w:val="20"/>
                <w:szCs w:val="20"/>
                <w:lang w:val="en-US"/>
              </w:rPr>
              <w:t>(</w:t>
            </w:r>
            <w:r w:rsidRPr="00615B6C">
              <w:rPr>
                <w:rFonts w:ascii="Times New Roman" w:eastAsia="Times New Roman" w:hAnsi="Times New Roman" w:cs="Times New Roman"/>
                <w:i/>
                <w:noProof/>
                <w:sz w:val="20"/>
                <w:szCs w:val="20"/>
                <w:lang w:val="en-US"/>
              </w:rPr>
              <w:t xml:space="preserve"> 5,42 Euro/locuitor</w:t>
            </w:r>
            <w:r>
              <w:rPr>
                <w:rFonts w:ascii="Times New Roman" w:eastAsia="Times New Roman" w:hAnsi="Times New Roman" w:cs="Times New Roman"/>
                <w:i/>
                <w:noProof/>
                <w:sz w:val="20"/>
                <w:szCs w:val="20"/>
                <w:lang w:val="en-US"/>
              </w:rPr>
              <w:t>)</w:t>
            </w:r>
            <w:r w:rsidRPr="00615B6C">
              <w:rPr>
                <w:rFonts w:ascii="Times New Roman" w:eastAsia="Times New Roman" w:hAnsi="Times New Roman" w:cs="Times New Roman"/>
                <w:i/>
                <w:noProof/>
                <w:sz w:val="20"/>
                <w:szCs w:val="20"/>
                <w:lang w:val="en-US"/>
              </w:rPr>
              <w:t xml:space="preserve"> (doar 12 sunt IMM cu buget de de 3.393.104 euro). Poziţionarea în </w:t>
            </w:r>
            <w:r w:rsidRPr="00615B6C">
              <w:rPr>
                <w:rFonts w:ascii="Times New Roman" w:eastAsia="Times New Roman" w:hAnsi="Times New Roman" w:cs="Times New Roman"/>
                <w:i/>
                <w:noProof/>
                <w:sz w:val="20"/>
                <w:szCs w:val="20"/>
                <w:lang w:val="en-US"/>
              </w:rPr>
              <w:lastRenderedPageBreak/>
              <w:t xml:space="preserve">lanţurile de valoare europene este exemplificata de KET Observatory, care identifică pe lantul valoric al uneia din cele 7 tehnologii mai avansate – Sisteme de productie Cyber – fizice – un IMM din regiune – Ropardo SRL, fiind singura analiză în care un IMM din Regiune este prezent.  Numărul de aplicaţii de patente la EPO </w:t>
            </w:r>
            <w:r>
              <w:rPr>
                <w:rFonts w:ascii="Times New Roman" w:eastAsia="Times New Roman" w:hAnsi="Times New Roman" w:cs="Times New Roman"/>
                <w:i/>
                <w:noProof/>
                <w:sz w:val="20"/>
                <w:szCs w:val="20"/>
                <w:lang w:val="en-US"/>
              </w:rPr>
              <w:t xml:space="preserve">/ </w:t>
            </w:r>
            <w:r w:rsidRPr="00615B6C">
              <w:rPr>
                <w:rFonts w:ascii="Times New Roman" w:eastAsia="Times New Roman" w:hAnsi="Times New Roman" w:cs="Times New Roman"/>
                <w:i/>
                <w:noProof/>
                <w:sz w:val="20"/>
                <w:szCs w:val="20"/>
                <w:lang w:val="en-US"/>
              </w:rPr>
              <w:t xml:space="preserve">PIB este la 96% din media națională si 15% din media UE. Numărul de aplicaţii pentru înregistrarea de mărci comerciale la EUIPO </w:t>
            </w:r>
            <w:r>
              <w:rPr>
                <w:rFonts w:ascii="Times New Roman" w:eastAsia="Times New Roman" w:hAnsi="Times New Roman" w:cs="Times New Roman"/>
                <w:i/>
                <w:noProof/>
                <w:sz w:val="20"/>
                <w:szCs w:val="20"/>
                <w:lang w:val="en-US"/>
              </w:rPr>
              <w:t>/</w:t>
            </w:r>
            <w:r w:rsidRPr="00615B6C">
              <w:rPr>
                <w:rFonts w:ascii="Times New Roman" w:eastAsia="Times New Roman" w:hAnsi="Times New Roman" w:cs="Times New Roman"/>
                <w:i/>
                <w:noProof/>
                <w:sz w:val="20"/>
                <w:szCs w:val="20"/>
                <w:lang w:val="en-US"/>
              </w:rPr>
              <w:t xml:space="preserve"> PIB este la 87% din media naţională şi 31% din media UE. Numărul de aplicații pentru protejarea design-ului la EUIPO </w:t>
            </w:r>
            <w:r>
              <w:rPr>
                <w:rFonts w:ascii="Times New Roman" w:eastAsia="Times New Roman" w:hAnsi="Times New Roman" w:cs="Times New Roman"/>
                <w:i/>
                <w:noProof/>
                <w:sz w:val="20"/>
                <w:szCs w:val="20"/>
                <w:lang w:val="en-US"/>
              </w:rPr>
              <w:t>/</w:t>
            </w:r>
            <w:r w:rsidRPr="00615B6C">
              <w:rPr>
                <w:rFonts w:ascii="Times New Roman" w:eastAsia="Times New Roman" w:hAnsi="Times New Roman" w:cs="Times New Roman"/>
                <w:i/>
                <w:noProof/>
                <w:sz w:val="20"/>
                <w:szCs w:val="20"/>
                <w:lang w:val="en-US"/>
              </w:rPr>
              <w:t xml:space="preserve"> PIB este la  105% din media națională și la 61% din media UE</w:t>
            </w:r>
          </w:p>
          <w:p w:rsidR="00351E4A" w:rsidRPr="00615B6C" w:rsidRDefault="00351E4A" w:rsidP="00351E4A">
            <w:pPr>
              <w:spacing w:after="0" w:line="240" w:lineRule="auto"/>
              <w:jc w:val="both"/>
              <w:rPr>
                <w:rFonts w:ascii="Times New Roman" w:eastAsia="Times New Roman" w:hAnsi="Times New Roman" w:cs="Times New Roman"/>
                <w:i/>
                <w:noProof/>
                <w:sz w:val="20"/>
                <w:szCs w:val="20"/>
                <w:lang w:val="en-US"/>
              </w:rPr>
            </w:pPr>
          </w:p>
          <w:p w:rsidR="00351E4A" w:rsidRPr="00615B6C" w:rsidRDefault="00351E4A" w:rsidP="00351E4A">
            <w:pPr>
              <w:spacing w:after="0" w:line="240" w:lineRule="auto"/>
              <w:jc w:val="both"/>
              <w:rPr>
                <w:rFonts w:ascii="Times New Roman" w:eastAsia="Times New Roman" w:hAnsi="Times New Roman" w:cs="Times New Roman"/>
                <w:i/>
                <w:noProof/>
                <w:sz w:val="20"/>
                <w:szCs w:val="20"/>
                <w:lang w:val="en-US"/>
              </w:rPr>
            </w:pPr>
            <w:r w:rsidRPr="00615B6C">
              <w:rPr>
                <w:rFonts w:ascii="Times New Roman" w:eastAsia="Times New Roman" w:hAnsi="Times New Roman" w:cs="Times New Roman"/>
                <w:i/>
                <w:noProof/>
                <w:sz w:val="20"/>
                <w:szCs w:val="20"/>
                <w:lang w:val="en-US"/>
              </w:rPr>
              <w:t>Acțiunile prevăzute ca intervenții pentru acest obiectiv specific sunt:</w:t>
            </w:r>
          </w:p>
          <w:p w:rsidR="00351E4A" w:rsidRPr="00615B6C" w:rsidRDefault="00351E4A" w:rsidP="00351E4A">
            <w:pPr>
              <w:pStyle w:val="Listparagraf"/>
              <w:numPr>
                <w:ilvl w:val="0"/>
                <w:numId w:val="59"/>
              </w:numPr>
              <w:spacing w:before="0" w:after="0" w:line="240" w:lineRule="auto"/>
              <w:contextualSpacing w:val="0"/>
              <w:jc w:val="both"/>
              <w:rPr>
                <w:rFonts w:eastAsia="Times New Roman"/>
                <w:i/>
                <w:noProof/>
                <w:sz w:val="20"/>
                <w:szCs w:val="20"/>
                <w:lang w:val="en-US"/>
              </w:rPr>
            </w:pPr>
            <w:r w:rsidRPr="00615B6C">
              <w:rPr>
                <w:rFonts w:eastAsia="Times New Roman"/>
                <w:i/>
                <w:noProof/>
                <w:sz w:val="20"/>
                <w:szCs w:val="20"/>
                <w:lang w:val="en-US"/>
              </w:rPr>
              <w:t>participarea IMM-urilor și organizațiilor CDI în structuri, parteneriate și programe de colaborare</w:t>
            </w:r>
          </w:p>
          <w:p w:rsidR="00351E4A" w:rsidRPr="00615B6C" w:rsidRDefault="00351E4A" w:rsidP="00351E4A">
            <w:pPr>
              <w:pStyle w:val="Listparagraf"/>
              <w:numPr>
                <w:ilvl w:val="0"/>
                <w:numId w:val="59"/>
              </w:numPr>
              <w:spacing w:before="0" w:after="0" w:line="240" w:lineRule="auto"/>
              <w:contextualSpacing w:val="0"/>
              <w:jc w:val="both"/>
              <w:rPr>
                <w:rFonts w:eastAsia="Times New Roman"/>
                <w:i/>
                <w:noProof/>
                <w:sz w:val="20"/>
                <w:szCs w:val="20"/>
                <w:lang w:val="en-US"/>
              </w:rPr>
            </w:pPr>
            <w:r w:rsidRPr="00615B6C">
              <w:rPr>
                <w:rFonts w:eastAsia="Times New Roman"/>
                <w:i/>
                <w:noProof/>
                <w:sz w:val="20"/>
                <w:szCs w:val="20"/>
                <w:lang w:val="en-US"/>
              </w:rPr>
              <w:t>sinergii cu programe similare din alte State Membre sau State Asociate</w:t>
            </w:r>
          </w:p>
          <w:p w:rsidR="00351E4A" w:rsidRPr="00615B6C" w:rsidRDefault="00351E4A" w:rsidP="00351E4A">
            <w:pPr>
              <w:pStyle w:val="Listparagraf"/>
              <w:numPr>
                <w:ilvl w:val="0"/>
                <w:numId w:val="59"/>
              </w:numPr>
              <w:spacing w:before="0" w:after="0" w:line="240" w:lineRule="auto"/>
              <w:contextualSpacing w:val="0"/>
              <w:jc w:val="both"/>
              <w:rPr>
                <w:rFonts w:eastAsia="Times New Roman"/>
                <w:i/>
                <w:noProof/>
                <w:sz w:val="20"/>
                <w:szCs w:val="20"/>
                <w:lang w:val="en-US"/>
              </w:rPr>
            </w:pPr>
            <w:r w:rsidRPr="00615B6C">
              <w:rPr>
                <w:rFonts w:eastAsia="Times New Roman"/>
                <w:i/>
                <w:noProof/>
                <w:sz w:val="20"/>
                <w:szCs w:val="20"/>
                <w:lang w:val="en-US"/>
              </w:rPr>
              <w:t xml:space="preserve">specializare inteligentă la nivel regional și inovare de produs, serviciu, de proces, organizațională și de model de afaceri în IMM-uri, inclusiv brevetare </w:t>
            </w:r>
          </w:p>
          <w:p w:rsidR="00351E4A" w:rsidRPr="00615B6C" w:rsidRDefault="00351E4A" w:rsidP="00351E4A">
            <w:pPr>
              <w:pStyle w:val="Listparagraf"/>
              <w:numPr>
                <w:ilvl w:val="0"/>
                <w:numId w:val="59"/>
              </w:numPr>
              <w:spacing w:before="0" w:after="0" w:line="240" w:lineRule="auto"/>
              <w:contextualSpacing w:val="0"/>
              <w:jc w:val="both"/>
              <w:rPr>
                <w:rFonts w:eastAsia="Times New Roman"/>
                <w:i/>
                <w:noProof/>
                <w:sz w:val="20"/>
                <w:szCs w:val="20"/>
                <w:lang w:val="en-US"/>
              </w:rPr>
            </w:pPr>
            <w:r w:rsidRPr="00615B6C">
              <w:rPr>
                <w:rFonts w:eastAsia="Times New Roman"/>
                <w:i/>
                <w:noProof/>
                <w:sz w:val="20"/>
                <w:szCs w:val="20"/>
                <w:lang w:val="en-US"/>
              </w:rPr>
              <w:t>Dezvoltarea infrastructurilor proprii de CDI ale organizațiilor de CDI si companiilor;</w:t>
            </w:r>
          </w:p>
          <w:p w:rsidR="00351E4A" w:rsidRPr="00615B6C" w:rsidRDefault="00351E4A" w:rsidP="00351E4A">
            <w:pPr>
              <w:pStyle w:val="Listparagraf"/>
              <w:numPr>
                <w:ilvl w:val="0"/>
                <w:numId w:val="59"/>
              </w:numPr>
              <w:spacing w:before="0" w:after="0" w:line="240" w:lineRule="auto"/>
              <w:contextualSpacing w:val="0"/>
              <w:jc w:val="both"/>
              <w:rPr>
                <w:rFonts w:eastAsia="Times New Roman"/>
                <w:i/>
                <w:noProof/>
                <w:sz w:val="20"/>
                <w:szCs w:val="20"/>
                <w:lang w:val="en-US"/>
              </w:rPr>
            </w:pPr>
            <w:r w:rsidRPr="00615B6C">
              <w:rPr>
                <w:rFonts w:eastAsia="Times New Roman"/>
                <w:i/>
                <w:noProof/>
                <w:sz w:val="20"/>
                <w:szCs w:val="20"/>
                <w:lang w:val="en-US"/>
              </w:rPr>
              <w:t>sprijinirea ecosistemului antreprenorial de inovare care favorizează crearea și maturizarea start-up/ spin-off în domenii de specializare inteligentă,;</w:t>
            </w:r>
          </w:p>
          <w:p w:rsidR="00351E4A" w:rsidRPr="00615B6C" w:rsidRDefault="00351E4A" w:rsidP="00351E4A">
            <w:pPr>
              <w:pStyle w:val="Listparagraf"/>
              <w:numPr>
                <w:ilvl w:val="0"/>
                <w:numId w:val="59"/>
              </w:numPr>
              <w:rPr>
                <w:rFonts w:eastAsia="Times New Roman"/>
                <w:i/>
                <w:noProof/>
                <w:sz w:val="20"/>
                <w:szCs w:val="20"/>
                <w:lang w:val="en-US"/>
              </w:rPr>
            </w:pPr>
            <w:r w:rsidRPr="00615B6C">
              <w:rPr>
                <w:rFonts w:eastAsia="Times New Roman"/>
                <w:i/>
                <w:noProof/>
                <w:sz w:val="20"/>
                <w:szCs w:val="20"/>
                <w:lang w:val="en-US"/>
              </w:rPr>
              <w:t>Susținerea inovării deschise</w:t>
            </w:r>
          </w:p>
          <w:p w:rsidR="00351E4A" w:rsidRPr="00615B6C" w:rsidRDefault="00351E4A" w:rsidP="00351E4A">
            <w:pPr>
              <w:pStyle w:val="Listparagraf"/>
              <w:numPr>
                <w:ilvl w:val="0"/>
                <w:numId w:val="59"/>
              </w:numPr>
              <w:rPr>
                <w:rFonts w:eastAsia="Times New Roman"/>
                <w:i/>
                <w:noProof/>
                <w:sz w:val="20"/>
                <w:szCs w:val="20"/>
                <w:lang w:val="en-US"/>
              </w:rPr>
            </w:pPr>
            <w:r w:rsidRPr="00615B6C">
              <w:rPr>
                <w:rFonts w:eastAsia="Times New Roman"/>
                <w:i/>
                <w:noProof/>
                <w:sz w:val="20"/>
                <w:szCs w:val="20"/>
                <w:lang w:val="en-US"/>
              </w:rPr>
              <w:t>Dezvoltarea parcurilor științifice și tehnologice</w:t>
            </w:r>
          </w:p>
          <w:p w:rsidR="00351E4A" w:rsidRPr="00615B6C" w:rsidRDefault="00351E4A" w:rsidP="00351E4A">
            <w:pPr>
              <w:spacing w:after="0" w:line="240" w:lineRule="auto"/>
              <w:jc w:val="both"/>
              <w:rPr>
                <w:rFonts w:ascii="Times New Roman" w:eastAsia="Times New Roman" w:hAnsi="Times New Roman" w:cs="Times New Roman"/>
                <w:i/>
                <w:noProof/>
                <w:sz w:val="20"/>
                <w:szCs w:val="20"/>
                <w:lang w:val="en-US"/>
              </w:rPr>
            </w:pPr>
            <w:r w:rsidRPr="00615B6C">
              <w:rPr>
                <w:rFonts w:ascii="Times New Roman" w:eastAsia="Times New Roman" w:hAnsi="Times New Roman" w:cs="Times New Roman"/>
                <w:i/>
                <w:noProof/>
                <w:sz w:val="20"/>
                <w:szCs w:val="20"/>
                <w:lang w:val="en-US"/>
              </w:rPr>
              <w:t xml:space="preserve">Raționalitatea acestor interervenții este de a acționa </w:t>
            </w:r>
            <w:r>
              <w:rPr>
                <w:rFonts w:ascii="Times New Roman" w:eastAsia="Times New Roman" w:hAnsi="Times New Roman" w:cs="Times New Roman"/>
                <w:i/>
                <w:noProof/>
                <w:sz w:val="20"/>
                <w:szCs w:val="20"/>
                <w:lang w:val="en-US"/>
              </w:rPr>
              <w:t xml:space="preserve">pentru </w:t>
            </w:r>
            <w:r w:rsidRPr="00615B6C">
              <w:rPr>
                <w:rFonts w:ascii="Times New Roman" w:eastAsia="Times New Roman" w:hAnsi="Times New Roman" w:cs="Times New Roman"/>
                <w:i/>
                <w:noProof/>
                <w:sz w:val="20"/>
                <w:szCs w:val="20"/>
                <w:lang w:val="en-US"/>
              </w:rPr>
              <w:t xml:space="preserve"> structurarea unui ecosistem regional de cercetare dezvoltare inovare și susținerea cooperării internaționale a actorilor de CDI implicați. </w:t>
            </w:r>
          </w:p>
          <w:p w:rsidR="00351E4A" w:rsidRPr="00615B6C" w:rsidRDefault="00351E4A" w:rsidP="00351E4A">
            <w:pPr>
              <w:spacing w:after="0" w:line="240" w:lineRule="auto"/>
              <w:jc w:val="both"/>
              <w:rPr>
                <w:rFonts w:ascii="Times New Roman" w:eastAsia="Times New Roman" w:hAnsi="Times New Roman" w:cs="Times New Roman"/>
                <w:i/>
                <w:noProof/>
                <w:sz w:val="20"/>
                <w:szCs w:val="20"/>
                <w:lang w:val="en-US"/>
              </w:rPr>
            </w:pPr>
            <w:r w:rsidRPr="00615B6C">
              <w:rPr>
                <w:rFonts w:ascii="Times New Roman" w:eastAsia="Times New Roman" w:hAnsi="Times New Roman" w:cs="Times New Roman"/>
                <w:i/>
                <w:noProof/>
                <w:sz w:val="20"/>
                <w:szCs w:val="20"/>
                <w:lang w:val="en-US"/>
              </w:rPr>
              <w:t xml:space="preserve">Pentru primul palier, intervenția se adresează actorilor de CDI și organizațiilor suport din domeniul CDI și transfer tehnologic și nevoilor acestora de a investii în structuri de </w:t>
            </w:r>
            <w:r>
              <w:rPr>
                <w:rFonts w:ascii="Times New Roman" w:eastAsia="Times New Roman" w:hAnsi="Times New Roman" w:cs="Times New Roman"/>
                <w:i/>
                <w:noProof/>
                <w:sz w:val="20"/>
                <w:szCs w:val="20"/>
                <w:lang w:val="en-US"/>
              </w:rPr>
              <w:t>CDI si TT</w:t>
            </w:r>
            <w:r w:rsidRPr="00615B6C">
              <w:rPr>
                <w:rFonts w:ascii="Times New Roman" w:eastAsia="Times New Roman" w:hAnsi="Times New Roman" w:cs="Times New Roman"/>
                <w:i/>
                <w:noProof/>
                <w:sz w:val="20"/>
                <w:szCs w:val="20"/>
                <w:lang w:val="en-US"/>
              </w:rPr>
              <w:t>. Facilitarea acestor investiții răspunde</w:t>
            </w:r>
            <w:r>
              <w:rPr>
                <w:rFonts w:ascii="Times New Roman" w:eastAsia="Times New Roman" w:hAnsi="Times New Roman" w:cs="Times New Roman"/>
                <w:i/>
                <w:noProof/>
                <w:sz w:val="20"/>
                <w:szCs w:val="20"/>
                <w:lang w:val="en-US"/>
              </w:rPr>
              <w:t xml:space="preserve"> și</w:t>
            </w:r>
            <w:r w:rsidRPr="00615B6C">
              <w:rPr>
                <w:rFonts w:ascii="Times New Roman" w:eastAsia="Times New Roman" w:hAnsi="Times New Roman" w:cs="Times New Roman"/>
                <w:i/>
                <w:noProof/>
                <w:sz w:val="20"/>
                <w:szCs w:val="20"/>
                <w:lang w:val="en-US"/>
              </w:rPr>
              <w:t xml:space="preserve"> unei nevoi regionale de a crea și dezvolta mediul fizic necesar generării de cunoaștere și inovare,  de a valorifica potențialul regiona</w:t>
            </w:r>
            <w:r>
              <w:rPr>
                <w:rFonts w:ascii="Times New Roman" w:eastAsia="Times New Roman" w:hAnsi="Times New Roman" w:cs="Times New Roman"/>
                <w:i/>
                <w:noProof/>
                <w:sz w:val="20"/>
                <w:szCs w:val="20"/>
                <w:lang w:val="en-US"/>
              </w:rPr>
              <w:t>l</w:t>
            </w:r>
            <w:r w:rsidRPr="00615B6C">
              <w:rPr>
                <w:rFonts w:ascii="Times New Roman" w:eastAsia="Times New Roman" w:hAnsi="Times New Roman" w:cs="Times New Roman"/>
                <w:i/>
                <w:noProof/>
                <w:sz w:val="20"/>
                <w:szCs w:val="20"/>
                <w:lang w:val="en-US"/>
              </w:rPr>
              <w:t xml:space="preserve"> si de a compensa tendința de concentrare teritorială a infrastructurilor de CDI. O altă provocare este structurarea unei piețe regionale a cunoașterii. Componenta de cooperare între actori este încurajată atât ca interacțiune directă și nemijlocită, cât și prin utilizarea unor instrumente de intermediere a interacțiunilor, cum sunt entitățile punte de tip </w:t>
            </w:r>
            <w:r>
              <w:rPr>
                <w:rFonts w:ascii="Times New Roman" w:eastAsia="Times New Roman" w:hAnsi="Times New Roman" w:cs="Times New Roman"/>
                <w:i/>
                <w:noProof/>
                <w:sz w:val="20"/>
                <w:szCs w:val="20"/>
                <w:lang w:val="en-US"/>
              </w:rPr>
              <w:t>EITT</w:t>
            </w:r>
            <w:r w:rsidRPr="00615B6C">
              <w:rPr>
                <w:rFonts w:ascii="Times New Roman" w:eastAsia="Times New Roman" w:hAnsi="Times New Roman" w:cs="Times New Roman"/>
                <w:i/>
                <w:noProof/>
                <w:sz w:val="20"/>
                <w:szCs w:val="20"/>
                <w:lang w:val="en-US"/>
              </w:rPr>
              <w:t>. Acest palier de intervenție va susține, de asemenea, accelerarea inovării, precum și deschiderea spre colaborare a IMM-urilor inovative. Un alt aspect esențial în sprijinul  inovării este susținerea directă și indirectă a start-up-urilor și spin-off-urilor inovative</w:t>
            </w:r>
          </w:p>
          <w:p w:rsidR="00351E4A" w:rsidRPr="00615B6C" w:rsidRDefault="00351E4A" w:rsidP="00351E4A">
            <w:pPr>
              <w:spacing w:after="0" w:line="240" w:lineRule="auto"/>
              <w:jc w:val="both"/>
              <w:rPr>
                <w:rFonts w:ascii="Times New Roman" w:eastAsia="Times New Roman" w:hAnsi="Times New Roman" w:cs="Times New Roman"/>
                <w:i/>
                <w:noProof/>
                <w:sz w:val="20"/>
                <w:szCs w:val="20"/>
                <w:lang w:val="en-US"/>
              </w:rPr>
            </w:pPr>
            <w:r w:rsidRPr="00615B6C">
              <w:rPr>
                <w:rFonts w:ascii="Times New Roman" w:eastAsia="Times New Roman" w:hAnsi="Times New Roman" w:cs="Times New Roman"/>
                <w:i/>
                <w:noProof/>
                <w:sz w:val="20"/>
                <w:szCs w:val="20"/>
                <w:lang w:val="en-US"/>
              </w:rPr>
              <w:t xml:space="preserve">Pentru structurarea unui ecosistem regional de inovare, este necesar ca programul să se adreseze pilonului de organizații de sprijin cum sunt incubatoarele, acceleratoarele, clusterele de inovare și parcurile științifice și tehnologice, care </w:t>
            </w:r>
            <w:r>
              <w:rPr>
                <w:rFonts w:ascii="Times New Roman" w:eastAsia="Times New Roman" w:hAnsi="Times New Roman" w:cs="Times New Roman"/>
                <w:i/>
                <w:noProof/>
                <w:sz w:val="20"/>
                <w:szCs w:val="20"/>
                <w:lang w:val="en-US"/>
              </w:rPr>
              <w:t>pot</w:t>
            </w:r>
            <w:r w:rsidRPr="00615B6C">
              <w:rPr>
                <w:rFonts w:ascii="Times New Roman" w:eastAsia="Times New Roman" w:hAnsi="Times New Roman" w:cs="Times New Roman"/>
                <w:i/>
                <w:noProof/>
                <w:sz w:val="20"/>
                <w:szCs w:val="20"/>
                <w:lang w:val="en-US"/>
              </w:rPr>
              <w:t xml:space="preserve"> complimenta finanțările directe adresate actorilor de inovare prin servicii. De asemenea, este necesar ca facilitățile de mai sus să fie circuscrise teritorial pentru a acorda o mai mare șansă inițiativelor provenite din regiune. </w:t>
            </w:r>
          </w:p>
          <w:p w:rsidR="00351E4A" w:rsidRPr="00615B6C" w:rsidRDefault="00351E4A" w:rsidP="00351E4A">
            <w:pPr>
              <w:spacing w:after="0" w:line="240" w:lineRule="auto"/>
              <w:jc w:val="both"/>
              <w:rPr>
                <w:rFonts w:ascii="Times New Roman" w:eastAsia="Times New Roman" w:hAnsi="Times New Roman" w:cs="Times New Roman"/>
                <w:i/>
                <w:noProof/>
                <w:sz w:val="20"/>
                <w:szCs w:val="20"/>
                <w:lang w:val="en-US"/>
              </w:rPr>
            </w:pPr>
            <w:r w:rsidRPr="00615B6C">
              <w:rPr>
                <w:rFonts w:ascii="Times New Roman" w:eastAsia="Times New Roman" w:hAnsi="Times New Roman" w:cs="Times New Roman"/>
                <w:i/>
                <w:noProof/>
                <w:sz w:val="20"/>
                <w:szCs w:val="20"/>
                <w:lang w:val="en-US"/>
              </w:rPr>
              <w:t>Transferul unei idei în piață necesită o abordare conjugată a intregului ciclu de inovare</w:t>
            </w:r>
            <w:r>
              <w:rPr>
                <w:rFonts w:ascii="Times New Roman" w:eastAsia="Times New Roman" w:hAnsi="Times New Roman" w:cs="Times New Roman"/>
                <w:i/>
                <w:noProof/>
                <w:sz w:val="20"/>
                <w:szCs w:val="20"/>
                <w:lang w:val="en-US"/>
              </w:rPr>
              <w:t xml:space="preserve">, </w:t>
            </w:r>
            <w:r w:rsidRPr="00615B6C">
              <w:rPr>
                <w:rFonts w:ascii="Times New Roman" w:eastAsia="Times New Roman" w:hAnsi="Times New Roman" w:cs="Times New Roman"/>
                <w:i/>
                <w:noProof/>
                <w:sz w:val="20"/>
                <w:szCs w:val="20"/>
                <w:lang w:val="en-US"/>
              </w:rPr>
              <w:t>suficient de flexibil</w:t>
            </w:r>
            <w:r>
              <w:rPr>
                <w:rFonts w:ascii="Times New Roman" w:eastAsia="Times New Roman" w:hAnsi="Times New Roman" w:cs="Times New Roman"/>
                <w:i/>
                <w:noProof/>
                <w:sz w:val="20"/>
                <w:szCs w:val="20"/>
                <w:lang w:val="en-US"/>
              </w:rPr>
              <w:t>.</w:t>
            </w:r>
            <w:r w:rsidRPr="00615B6C">
              <w:rPr>
                <w:rFonts w:ascii="Times New Roman" w:eastAsia="Times New Roman" w:hAnsi="Times New Roman" w:cs="Times New Roman"/>
                <w:i/>
                <w:noProof/>
                <w:sz w:val="20"/>
                <w:szCs w:val="20"/>
                <w:lang w:val="en-US"/>
              </w:rPr>
              <w:t>. Programul va putea adresa aceste necesități prin</w:t>
            </w:r>
            <w:r>
              <w:rPr>
                <w:rFonts w:ascii="Times New Roman" w:eastAsia="Times New Roman" w:hAnsi="Times New Roman" w:cs="Times New Roman"/>
                <w:i/>
                <w:noProof/>
                <w:sz w:val="20"/>
                <w:szCs w:val="20"/>
                <w:lang w:val="en-US"/>
              </w:rPr>
              <w:t>tr-</w:t>
            </w:r>
            <w:r w:rsidRPr="00615B6C">
              <w:rPr>
                <w:rFonts w:ascii="Times New Roman" w:eastAsia="Times New Roman" w:hAnsi="Times New Roman" w:cs="Times New Roman"/>
                <w:i/>
                <w:noProof/>
                <w:sz w:val="20"/>
                <w:szCs w:val="20"/>
                <w:lang w:val="en-US"/>
              </w:rPr>
              <w:t>o abordare integrată, și o abordare în etape. IMM-urile mature ezită să inoveze în sensul tare deoarece piaţa este dominată de companiile mari şi administraţie, care nu sunt orientate spre inovare deschisă (ceea ce ar duce la diminuara riscurilor) şi preferă să inoveze incremental, la solicitarea clienţilor sau ca urmare a achiziţiilor de tehnologie modernă.</w:t>
            </w:r>
          </w:p>
          <w:p w:rsidR="00351E4A" w:rsidRDefault="00351E4A" w:rsidP="00351E4A">
            <w:pPr>
              <w:spacing w:after="0" w:line="240" w:lineRule="auto"/>
              <w:jc w:val="both"/>
              <w:rPr>
                <w:rFonts w:ascii="Times New Roman" w:eastAsia="Times New Roman" w:hAnsi="Times New Roman" w:cs="Times New Roman"/>
                <w:i/>
                <w:noProof/>
                <w:sz w:val="20"/>
                <w:szCs w:val="20"/>
                <w:lang w:val="en-US"/>
              </w:rPr>
            </w:pPr>
            <w:r w:rsidRPr="00615B6C">
              <w:rPr>
                <w:rFonts w:ascii="Times New Roman" w:eastAsia="Times New Roman" w:hAnsi="Times New Roman" w:cs="Times New Roman"/>
                <w:i/>
                <w:noProof/>
                <w:sz w:val="20"/>
                <w:szCs w:val="20"/>
                <w:lang w:val="en-US"/>
              </w:rPr>
              <w:t>Cel de al doilea palier de intervenție este susținerea cooperării internaționale între actorii de CDI</w:t>
            </w:r>
            <w:r>
              <w:rPr>
                <w:rFonts w:ascii="Times New Roman" w:eastAsia="Times New Roman" w:hAnsi="Times New Roman" w:cs="Times New Roman"/>
                <w:i/>
                <w:noProof/>
                <w:sz w:val="20"/>
                <w:szCs w:val="20"/>
                <w:lang w:val="en-US"/>
              </w:rPr>
              <w:t xml:space="preserve"> </w:t>
            </w:r>
            <w:r w:rsidRPr="00615B6C">
              <w:rPr>
                <w:rFonts w:ascii="Times New Roman" w:eastAsia="Times New Roman" w:hAnsi="Times New Roman" w:cs="Times New Roman"/>
                <w:i/>
                <w:noProof/>
                <w:sz w:val="20"/>
                <w:szCs w:val="20"/>
                <w:lang w:val="en-US"/>
              </w:rPr>
              <w:t>prin crearea de sinergii cu programe similare din alte state membre, susținerea participării entităților regionale în parteneriate și comunități de cunoaștere europene, inclusiv prin susținerea înrolării ca parteneri fără finanțare în proiecte de CDI internaționale, scopul fiind acumularea de capital social și deschiderea spre zonele de vârf ale cercetării europene.</w:t>
            </w:r>
          </w:p>
          <w:p w:rsidR="00351E4A" w:rsidRDefault="00351E4A" w:rsidP="00351E4A">
            <w:pPr>
              <w:spacing w:after="0" w:line="240" w:lineRule="auto"/>
              <w:jc w:val="both"/>
              <w:rPr>
                <w:rFonts w:ascii="Times New Roman" w:eastAsia="Times New Roman" w:hAnsi="Times New Roman" w:cs="Times New Roman"/>
                <w:i/>
                <w:noProof/>
                <w:sz w:val="20"/>
                <w:szCs w:val="20"/>
                <w:lang w:val="en-US"/>
              </w:rPr>
            </w:pPr>
          </w:p>
          <w:p w:rsidR="00351E4A" w:rsidRPr="00B360DA" w:rsidRDefault="00351E4A" w:rsidP="00351E4A">
            <w:pPr>
              <w:spacing w:after="0" w:line="240" w:lineRule="auto"/>
              <w:jc w:val="both"/>
              <w:rPr>
                <w:rFonts w:ascii="Times New Roman" w:eastAsia="Times New Roman" w:hAnsi="Times New Roman" w:cs="Times New Roman"/>
                <w:i/>
                <w:noProof/>
                <w:sz w:val="20"/>
                <w:szCs w:val="20"/>
                <w:lang w:val="en-US"/>
              </w:rPr>
            </w:pPr>
            <w:r w:rsidRPr="008264F6">
              <w:rPr>
                <w:rFonts w:ascii="Times New Roman" w:eastAsia="Times New Roman" w:hAnsi="Times New Roman" w:cs="Times New Roman"/>
                <w:i/>
                <w:iCs/>
                <w:noProof/>
                <w:sz w:val="20"/>
                <w:szCs w:val="20"/>
              </w:rPr>
              <w:t xml:space="preserve">Intervențiile prevăzute prin POR Centru sunt complementare celor realizate prin </w:t>
            </w:r>
            <w:r w:rsidRPr="008264F6">
              <w:rPr>
                <w:rFonts w:ascii="Times New Roman" w:eastAsia="Times New Roman" w:hAnsi="Times New Roman" w:cs="Times New Roman"/>
                <w:b/>
                <w:bCs/>
                <w:i/>
                <w:iCs/>
                <w:noProof/>
                <w:sz w:val="20"/>
                <w:szCs w:val="20"/>
              </w:rPr>
              <w:t>POCID 2021-2027</w:t>
            </w:r>
            <w:r w:rsidRPr="008264F6">
              <w:rPr>
                <w:rFonts w:ascii="Times New Roman" w:eastAsia="Times New Roman" w:hAnsi="Times New Roman" w:cs="Times New Roman"/>
                <w:i/>
                <w:iCs/>
                <w:noProof/>
                <w:sz w:val="20"/>
                <w:szCs w:val="20"/>
              </w:rPr>
              <w:t>. Demarcația între cel</w:t>
            </w:r>
            <w:r w:rsidRPr="00B360DA">
              <w:rPr>
                <w:rFonts w:ascii="Times New Roman" w:eastAsia="Times New Roman" w:hAnsi="Times New Roman" w:cs="Times New Roman"/>
                <w:i/>
                <w:iCs/>
                <w:noProof/>
                <w:sz w:val="20"/>
                <w:szCs w:val="20"/>
              </w:rPr>
              <w:t>e două programe este asigurată</w:t>
            </w:r>
            <w:r>
              <w:rPr>
                <w:rFonts w:ascii="Times New Roman" w:eastAsia="Times New Roman" w:hAnsi="Times New Roman" w:cs="Times New Roman"/>
                <w:i/>
                <w:iCs/>
                <w:noProof/>
                <w:sz w:val="20"/>
                <w:szCs w:val="20"/>
              </w:rPr>
              <w:t xml:space="preserve"> </w:t>
            </w:r>
            <w:r w:rsidRPr="008264F6">
              <w:rPr>
                <w:rFonts w:ascii="Times New Roman" w:eastAsia="Times New Roman" w:hAnsi="Times New Roman" w:cs="Times New Roman"/>
                <w:i/>
                <w:iCs/>
                <w:noProof/>
                <w:sz w:val="20"/>
                <w:szCs w:val="20"/>
              </w:rPr>
              <w:t xml:space="preserve">prin dimensiunea teritorială. POCID </w:t>
            </w:r>
            <w:r>
              <w:rPr>
                <w:rFonts w:ascii="Times New Roman" w:eastAsia="Times New Roman" w:hAnsi="Times New Roman" w:cs="Times New Roman"/>
                <w:i/>
                <w:iCs/>
                <w:noProof/>
                <w:sz w:val="20"/>
                <w:szCs w:val="20"/>
              </w:rPr>
              <w:t>va finanța</w:t>
            </w:r>
            <w:r w:rsidRPr="008264F6">
              <w:rPr>
                <w:rFonts w:ascii="Times New Roman" w:eastAsia="Times New Roman" w:hAnsi="Times New Roman" w:cs="Times New Roman"/>
                <w:i/>
                <w:iCs/>
                <w:noProof/>
                <w:sz w:val="20"/>
                <w:szCs w:val="20"/>
              </w:rPr>
              <w:t xml:space="preserve"> proiecte de importanță națională și inter-regională, inclusiv asigurarea sinergiilor cu programele europene, sprijin pentru participarea la proiectele de cercetare internaționale, susținerea marilor infrastructuri CDI prioritizate prin Roadmap. De asemenea, POCID va finanța proiectele de parteneriate pentru transferul de cunoștințe (PTI și KTP) POR Centru va asigura finanțare pentru inițiative cu relevanță la </w:t>
            </w:r>
            <w:r>
              <w:rPr>
                <w:rFonts w:ascii="Times New Roman" w:eastAsia="Times New Roman" w:hAnsi="Times New Roman" w:cs="Times New Roman"/>
                <w:i/>
                <w:iCs/>
                <w:noProof/>
                <w:sz w:val="20"/>
                <w:szCs w:val="20"/>
              </w:rPr>
              <w:t>regionala</w:t>
            </w:r>
            <w:r w:rsidRPr="008264F6">
              <w:rPr>
                <w:rFonts w:ascii="Times New Roman" w:eastAsia="Times New Roman" w:hAnsi="Times New Roman" w:cs="Times New Roman"/>
                <w:i/>
                <w:iCs/>
                <w:noProof/>
                <w:sz w:val="20"/>
                <w:szCs w:val="20"/>
              </w:rPr>
              <w:t xml:space="preserve">, în linie cu prioritățile </w:t>
            </w:r>
            <w:r>
              <w:rPr>
                <w:rFonts w:ascii="Times New Roman" w:eastAsia="Times New Roman" w:hAnsi="Times New Roman" w:cs="Times New Roman"/>
                <w:i/>
                <w:iCs/>
                <w:noProof/>
                <w:sz w:val="20"/>
                <w:szCs w:val="20"/>
              </w:rPr>
              <w:t>S3 Centru</w:t>
            </w:r>
            <w:r w:rsidRPr="008264F6">
              <w:rPr>
                <w:rFonts w:ascii="Times New Roman" w:eastAsia="Times New Roman" w:hAnsi="Times New Roman" w:cs="Times New Roman"/>
                <w:i/>
                <w:iCs/>
                <w:noProof/>
                <w:sz w:val="20"/>
                <w:szCs w:val="20"/>
              </w:rPr>
              <w:t xml:space="preserve">, inclusiv activități de inovare în IMM-uri, brevetare, investitii in infrastructurile  proprii de CDI ale organizațiilor de CDI/ întreprinderilor din regiune, proiecte CDI aferente specializării inteligente la nivel regional, </w:t>
            </w:r>
            <w:r w:rsidRPr="00BE3E68">
              <w:rPr>
                <w:rFonts w:ascii="Times New Roman" w:eastAsia="Times New Roman" w:hAnsi="Times New Roman" w:cs="Times New Roman"/>
                <w:i/>
                <w:iCs/>
                <w:noProof/>
                <w:sz w:val="20"/>
                <w:szCs w:val="20"/>
              </w:rPr>
              <w:t>proiecte de transfer tehnologic</w:t>
            </w:r>
            <w:r w:rsidRPr="008264F6">
              <w:rPr>
                <w:rFonts w:ascii="Times New Roman" w:eastAsia="Times New Roman" w:hAnsi="Times New Roman" w:cs="Times New Roman"/>
                <w:i/>
                <w:iCs/>
                <w:noProof/>
                <w:sz w:val="20"/>
                <w:szCs w:val="20"/>
              </w:rPr>
              <w:t>.</w:t>
            </w:r>
          </w:p>
          <w:p w:rsidR="00351E4A" w:rsidRPr="00615B6C" w:rsidRDefault="00351E4A" w:rsidP="00351E4A">
            <w:pPr>
              <w:spacing w:after="0" w:line="240" w:lineRule="auto"/>
              <w:jc w:val="both"/>
              <w:rPr>
                <w:rFonts w:ascii="Times New Roman" w:eastAsia="Times New Roman" w:hAnsi="Times New Roman" w:cs="Times New Roman"/>
                <w:i/>
                <w:noProof/>
                <w:sz w:val="20"/>
                <w:szCs w:val="20"/>
                <w:lang w:val="en-US"/>
              </w:rPr>
            </w:pPr>
          </w:p>
          <w:p w:rsidR="00351E4A" w:rsidRPr="00615B6C" w:rsidRDefault="00351E4A" w:rsidP="00351E4A">
            <w:pPr>
              <w:spacing w:after="0" w:line="240" w:lineRule="auto"/>
              <w:jc w:val="both"/>
              <w:rPr>
                <w:rFonts w:ascii="Times New Roman" w:eastAsia="Times New Roman" w:hAnsi="Times New Roman" w:cs="Times New Roman"/>
                <w:i/>
                <w:noProof/>
                <w:sz w:val="20"/>
                <w:szCs w:val="20"/>
                <w:lang w:val="en-US"/>
              </w:rPr>
            </w:pPr>
            <w:r w:rsidRPr="00615B6C">
              <w:rPr>
                <w:rFonts w:ascii="Times New Roman" w:eastAsia="Times New Roman" w:hAnsi="Times New Roman" w:cs="Times New Roman"/>
                <w:i/>
                <w:noProof/>
                <w:sz w:val="20"/>
                <w:szCs w:val="20"/>
                <w:lang w:val="en-US"/>
              </w:rPr>
              <w:t xml:space="preserve">Domeniile vizate sunt domeniile cuprinse în </w:t>
            </w:r>
            <w:r>
              <w:rPr>
                <w:rFonts w:ascii="Times New Roman" w:eastAsia="Times New Roman" w:hAnsi="Times New Roman" w:cs="Times New Roman"/>
                <w:i/>
                <w:noProof/>
                <w:sz w:val="20"/>
                <w:szCs w:val="20"/>
                <w:lang w:val="en-US"/>
              </w:rPr>
              <w:t>S3</w:t>
            </w:r>
            <w:r w:rsidRPr="00615B6C">
              <w:rPr>
                <w:rFonts w:ascii="Times New Roman" w:eastAsia="Times New Roman" w:hAnsi="Times New Roman" w:cs="Times New Roman"/>
                <w:i/>
                <w:noProof/>
                <w:sz w:val="20"/>
                <w:szCs w:val="20"/>
                <w:lang w:val="en-US"/>
              </w:rPr>
              <w:t xml:space="preserve"> Centru.</w:t>
            </w:r>
          </w:p>
          <w:p w:rsidR="00F8597A" w:rsidRPr="00473B40" w:rsidRDefault="00F8597A" w:rsidP="0002745C">
            <w:pPr>
              <w:spacing w:after="0" w:line="240" w:lineRule="auto"/>
              <w:jc w:val="both"/>
              <w:rPr>
                <w:rFonts w:ascii="Times New Roman" w:eastAsia="Times New Roman" w:hAnsi="Times New Roman" w:cs="Times New Roman"/>
                <w:i/>
                <w:noProof/>
                <w:sz w:val="20"/>
                <w:szCs w:val="20"/>
                <w:lang w:val="en-US"/>
              </w:rPr>
            </w:pPr>
          </w:p>
        </w:tc>
      </w:tr>
    </w:tbl>
    <w:p w:rsidR="00F8597A" w:rsidRPr="002E744B" w:rsidRDefault="00F8597A" w:rsidP="00F8597A">
      <w:pPr>
        <w:spacing w:before="120" w:after="120" w:line="360" w:lineRule="auto"/>
        <w:jc w:val="both"/>
        <w:rPr>
          <w:rFonts w:ascii="Times New Roman" w:eastAsia="Times New Roman" w:hAnsi="Times New Roman" w:cs="Times New Roman"/>
          <w:b/>
          <w:i/>
          <w:iCs/>
          <w:noProof/>
          <w:sz w:val="24"/>
          <w:szCs w:val="24"/>
          <w:lang w:val="en-GB"/>
        </w:rPr>
      </w:pPr>
      <w:r w:rsidRPr="002E744B">
        <w:rPr>
          <w:rFonts w:ascii="Times New Roman" w:eastAsia="Times New Roman" w:hAnsi="Times New Roman" w:cs="Times New Roman"/>
          <w:i/>
          <w:noProof/>
          <w:sz w:val="24"/>
          <w:szCs w:val="24"/>
          <w:lang w:val="en-GB"/>
        </w:rPr>
        <w:lastRenderedPageBreak/>
        <w:t>The main target groups - Article 17(3)(d)(iii):</w:t>
      </w:r>
    </w:p>
    <w:p w:rsidR="00F8597A" w:rsidRDefault="00F8597A" w:rsidP="00F8597A">
      <w:pPr>
        <w:pBdr>
          <w:top w:val="single" w:sz="4" w:space="1" w:color="auto"/>
          <w:left w:val="single" w:sz="4" w:space="4" w:color="auto"/>
          <w:bottom w:val="single" w:sz="4" w:space="1" w:color="auto"/>
          <w:right w:val="single" w:sz="4" w:space="4" w:color="auto"/>
        </w:pBdr>
        <w:spacing w:before="120" w:after="120" w:line="360" w:lineRule="auto"/>
        <w:jc w:val="both"/>
        <w:rPr>
          <w:rFonts w:ascii="Times New Roman" w:eastAsia="Times New Roman" w:hAnsi="Times New Roman" w:cs="Times New Roman"/>
          <w:i/>
          <w:iCs/>
          <w:noProof/>
          <w:sz w:val="24"/>
          <w:szCs w:val="24"/>
          <w:lang w:val="en-GB"/>
        </w:rPr>
      </w:pPr>
      <w:r w:rsidRPr="002E744B">
        <w:rPr>
          <w:rFonts w:ascii="Times New Roman" w:eastAsia="Times New Roman" w:hAnsi="Times New Roman" w:cs="Times New Roman"/>
          <w:i/>
          <w:iCs/>
          <w:noProof/>
          <w:sz w:val="24"/>
          <w:szCs w:val="24"/>
          <w:lang w:val="en-GB"/>
        </w:rPr>
        <w:t>Text field [1 000]</w:t>
      </w:r>
    </w:p>
    <w:p w:rsidR="00F8597A" w:rsidRPr="0027074A" w:rsidRDefault="00F8597A" w:rsidP="00F8597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i/>
          <w:iCs/>
          <w:noProof/>
          <w:sz w:val="20"/>
          <w:szCs w:val="20"/>
        </w:rPr>
      </w:pPr>
      <w:bookmarkStart w:id="7" w:name="_Hlk38873679"/>
      <w:r w:rsidRPr="0027074A">
        <w:rPr>
          <w:rFonts w:ascii="Times New Roman" w:eastAsia="Times New Roman" w:hAnsi="Times New Roman" w:cs="Times New Roman"/>
          <w:i/>
          <w:iCs/>
          <w:noProof/>
          <w:sz w:val="20"/>
          <w:szCs w:val="20"/>
        </w:rPr>
        <w:lastRenderedPageBreak/>
        <w:t>Centre de cercetare dezvoltare inovare publice și private</w:t>
      </w:r>
    </w:p>
    <w:p w:rsidR="00F8597A" w:rsidRPr="0027074A" w:rsidRDefault="00F8597A" w:rsidP="00F8597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i/>
          <w:noProof/>
          <w:sz w:val="20"/>
          <w:szCs w:val="20"/>
        </w:rPr>
      </w:pPr>
      <w:r w:rsidRPr="0027074A">
        <w:rPr>
          <w:rFonts w:ascii="Times New Roman" w:eastAsia="Times New Roman" w:hAnsi="Times New Roman" w:cs="Times New Roman"/>
          <w:i/>
          <w:noProof/>
          <w:sz w:val="20"/>
          <w:szCs w:val="20"/>
        </w:rPr>
        <w:t>Universități</w:t>
      </w:r>
    </w:p>
    <w:p w:rsidR="00F8597A" w:rsidRPr="0027074A" w:rsidRDefault="00F8597A" w:rsidP="00F8597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i/>
          <w:noProof/>
          <w:sz w:val="20"/>
          <w:szCs w:val="20"/>
        </w:rPr>
      </w:pPr>
      <w:r w:rsidRPr="0027074A">
        <w:rPr>
          <w:rFonts w:ascii="Times New Roman" w:eastAsia="Times New Roman" w:hAnsi="Times New Roman" w:cs="Times New Roman"/>
          <w:i/>
          <w:noProof/>
          <w:sz w:val="20"/>
          <w:szCs w:val="20"/>
        </w:rPr>
        <w:t>Centre de transfer tehnologic</w:t>
      </w:r>
    </w:p>
    <w:p w:rsidR="00F8597A" w:rsidRPr="0027074A" w:rsidRDefault="00F8597A" w:rsidP="00F8597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i/>
          <w:noProof/>
          <w:sz w:val="20"/>
          <w:szCs w:val="20"/>
        </w:rPr>
      </w:pPr>
      <w:r w:rsidRPr="0027074A">
        <w:rPr>
          <w:rFonts w:ascii="Times New Roman" w:eastAsia="Times New Roman" w:hAnsi="Times New Roman" w:cs="Times New Roman"/>
          <w:i/>
          <w:noProof/>
          <w:sz w:val="20"/>
          <w:szCs w:val="20"/>
        </w:rPr>
        <w:t>Administrație publică locală</w:t>
      </w:r>
    </w:p>
    <w:p w:rsidR="00F8597A" w:rsidRPr="0027074A" w:rsidRDefault="00F8597A" w:rsidP="00F8597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i/>
          <w:noProof/>
          <w:sz w:val="20"/>
          <w:szCs w:val="20"/>
        </w:rPr>
      </w:pPr>
      <w:r w:rsidRPr="0027074A">
        <w:rPr>
          <w:rFonts w:ascii="Times New Roman" w:eastAsia="Times New Roman" w:hAnsi="Times New Roman" w:cs="Times New Roman"/>
          <w:i/>
          <w:noProof/>
          <w:sz w:val="20"/>
          <w:szCs w:val="20"/>
        </w:rPr>
        <w:t>Companii</w:t>
      </w:r>
    </w:p>
    <w:p w:rsidR="00F8597A" w:rsidRPr="0027074A" w:rsidRDefault="00F8597A" w:rsidP="00F8597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i/>
          <w:noProof/>
          <w:sz w:val="20"/>
          <w:szCs w:val="20"/>
        </w:rPr>
      </w:pPr>
      <w:r w:rsidRPr="0027074A">
        <w:rPr>
          <w:rFonts w:ascii="Times New Roman" w:eastAsia="Times New Roman" w:hAnsi="Times New Roman" w:cs="Times New Roman"/>
          <w:i/>
          <w:noProof/>
          <w:sz w:val="20"/>
          <w:szCs w:val="20"/>
        </w:rPr>
        <w:t>ONG</w:t>
      </w:r>
    </w:p>
    <w:p w:rsidR="00F8597A" w:rsidRPr="0027074A" w:rsidRDefault="00F8597A" w:rsidP="00F8597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i/>
          <w:noProof/>
          <w:sz w:val="20"/>
          <w:szCs w:val="20"/>
        </w:rPr>
      </w:pPr>
      <w:r w:rsidRPr="0027074A">
        <w:rPr>
          <w:rFonts w:ascii="Times New Roman" w:eastAsia="Times New Roman" w:hAnsi="Times New Roman" w:cs="Times New Roman"/>
          <w:i/>
          <w:noProof/>
          <w:sz w:val="20"/>
          <w:szCs w:val="20"/>
        </w:rPr>
        <w:t>Cluster-e</w:t>
      </w:r>
    </w:p>
    <w:p w:rsidR="00F8597A" w:rsidRPr="0027074A" w:rsidRDefault="00F8597A" w:rsidP="00F8597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i/>
          <w:noProof/>
          <w:sz w:val="20"/>
          <w:szCs w:val="20"/>
        </w:rPr>
      </w:pPr>
      <w:r w:rsidRPr="0027074A">
        <w:rPr>
          <w:rFonts w:ascii="Times New Roman" w:eastAsia="Times New Roman" w:hAnsi="Times New Roman" w:cs="Times New Roman"/>
          <w:i/>
          <w:noProof/>
          <w:sz w:val="20"/>
          <w:szCs w:val="20"/>
        </w:rPr>
        <w:t>Angații din entitătile enumerate mai sus, activi în sectoarele / ariile de specializare inteligentă</w:t>
      </w:r>
    </w:p>
    <w:bookmarkEnd w:id="7"/>
    <w:p w:rsidR="00F8597A" w:rsidRPr="0027074A" w:rsidRDefault="00F8597A" w:rsidP="00F8597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i/>
          <w:noProof/>
          <w:sz w:val="20"/>
          <w:szCs w:val="20"/>
          <w:lang w:val="en-GB"/>
        </w:rPr>
      </w:pPr>
    </w:p>
    <w:p w:rsidR="00F8597A" w:rsidRPr="002E744B" w:rsidRDefault="00F8597A" w:rsidP="00F8597A">
      <w:pPr>
        <w:spacing w:before="120" w:after="120" w:line="360" w:lineRule="auto"/>
        <w:rPr>
          <w:rFonts w:ascii="Times New Roman" w:eastAsia="Times New Roman" w:hAnsi="Times New Roman" w:cs="Times New Roman"/>
          <w:i/>
          <w:noProof/>
          <w:sz w:val="24"/>
          <w:szCs w:val="24"/>
          <w:lang w:val="en-GB"/>
        </w:rPr>
      </w:pPr>
      <w:r w:rsidRPr="002E744B">
        <w:rPr>
          <w:rFonts w:ascii="Times New Roman" w:eastAsia="Times New Roman" w:hAnsi="Times New Roman" w:cs="Times New Roman"/>
          <w:i/>
          <w:noProof/>
          <w:sz w:val="24"/>
          <w:szCs w:val="24"/>
          <w:lang w:val="en-GB"/>
        </w:rPr>
        <w:t>Specific territories tageted, including the planned use of territorial tools – Article 17(3)(d)(iv)</w:t>
      </w:r>
    </w:p>
    <w:p w:rsidR="00F8597A" w:rsidRDefault="00F8597A" w:rsidP="00F8597A">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iCs/>
          <w:noProof/>
          <w:sz w:val="24"/>
          <w:szCs w:val="24"/>
          <w:lang w:val="en-GB"/>
        </w:rPr>
      </w:pPr>
      <w:r w:rsidRPr="002E744B">
        <w:rPr>
          <w:rFonts w:ascii="Times New Roman" w:eastAsia="Times New Roman" w:hAnsi="Times New Roman" w:cs="Times New Roman"/>
          <w:i/>
          <w:iCs/>
          <w:noProof/>
          <w:sz w:val="24"/>
          <w:szCs w:val="24"/>
          <w:lang w:val="en-GB"/>
        </w:rPr>
        <w:t>Text field [2 000]</w:t>
      </w:r>
    </w:p>
    <w:p w:rsidR="00F8597A" w:rsidRPr="004D0F1C" w:rsidRDefault="00F8597A" w:rsidP="00F8597A">
      <w:pPr>
        <w:pBdr>
          <w:top w:val="single" w:sz="4" w:space="1" w:color="auto"/>
          <w:left w:val="single" w:sz="4" w:space="4" w:color="auto"/>
          <w:bottom w:val="single" w:sz="4" w:space="1" w:color="auto"/>
          <w:right w:val="single" w:sz="4" w:space="4" w:color="auto"/>
        </w:pBdr>
        <w:spacing w:before="120" w:after="120" w:line="360" w:lineRule="auto"/>
        <w:rPr>
          <w:rFonts w:eastAsia="Times New Roman" w:cstheme="minorHAnsi"/>
          <w:i/>
          <w:noProof/>
          <w:lang w:val="en-GB"/>
        </w:rPr>
      </w:pPr>
      <w:r w:rsidRPr="004D0F1C">
        <w:rPr>
          <w:rFonts w:eastAsia="Times New Roman" w:cstheme="minorHAnsi"/>
          <w:i/>
          <w:iCs/>
          <w:noProof/>
          <w:lang w:val="en-GB"/>
        </w:rPr>
        <w:t>Regiunea Centru, spațiul urban și rural</w:t>
      </w:r>
    </w:p>
    <w:p w:rsidR="00F8597A" w:rsidRPr="002E744B" w:rsidRDefault="00F8597A" w:rsidP="00F8597A">
      <w:pPr>
        <w:spacing w:before="120" w:after="120" w:line="360" w:lineRule="auto"/>
        <w:rPr>
          <w:rFonts w:ascii="Times New Roman" w:eastAsia="Times New Roman" w:hAnsi="Times New Roman" w:cs="Times New Roman"/>
          <w:b/>
          <w:i/>
          <w:iCs/>
          <w:noProof/>
          <w:sz w:val="24"/>
          <w:szCs w:val="24"/>
          <w:lang w:val="en-GB"/>
        </w:rPr>
      </w:pPr>
      <w:r w:rsidRPr="002E744B">
        <w:rPr>
          <w:rFonts w:ascii="Times New Roman" w:eastAsia="Times New Roman" w:hAnsi="Times New Roman" w:cs="Times New Roman"/>
          <w:i/>
          <w:noProof/>
          <w:sz w:val="24"/>
          <w:szCs w:val="24"/>
          <w:lang w:val="en-GB"/>
        </w:rPr>
        <w:t>The interregional and transnational actions  –Article – 17(3)(d)(v)</w:t>
      </w:r>
    </w:p>
    <w:p w:rsidR="00F8597A" w:rsidRDefault="00F8597A" w:rsidP="00F8597A">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iCs/>
          <w:noProof/>
          <w:sz w:val="24"/>
          <w:szCs w:val="24"/>
          <w:lang w:val="en-GB"/>
        </w:rPr>
      </w:pPr>
      <w:r w:rsidRPr="002E744B">
        <w:rPr>
          <w:rFonts w:ascii="Times New Roman" w:eastAsia="Times New Roman" w:hAnsi="Times New Roman" w:cs="Times New Roman"/>
          <w:i/>
          <w:iCs/>
          <w:noProof/>
          <w:sz w:val="24"/>
          <w:szCs w:val="24"/>
          <w:lang w:val="en-GB"/>
        </w:rPr>
        <w:t>Text field [2 000]</w:t>
      </w:r>
    </w:p>
    <w:p w:rsidR="00F8597A" w:rsidRPr="0027074A" w:rsidRDefault="00F8597A" w:rsidP="00F8597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i/>
          <w:iCs/>
          <w:noProof/>
          <w:sz w:val="20"/>
          <w:szCs w:val="20"/>
        </w:rPr>
      </w:pPr>
      <w:bookmarkStart w:id="8" w:name="_Hlk38816155"/>
      <w:r w:rsidRPr="0027074A">
        <w:rPr>
          <w:rFonts w:ascii="Times New Roman" w:eastAsia="Times New Roman" w:hAnsi="Times New Roman" w:cs="Times New Roman"/>
          <w:i/>
          <w:iCs/>
          <w:noProof/>
          <w:sz w:val="20"/>
          <w:szCs w:val="20"/>
        </w:rPr>
        <w:t>Acțiunile și intervențiile prevăzute la acest obiectiv specific ating parțial și componen</w:t>
      </w:r>
      <w:r>
        <w:rPr>
          <w:rFonts w:ascii="Times New Roman" w:eastAsia="Times New Roman" w:hAnsi="Times New Roman" w:cs="Times New Roman"/>
          <w:i/>
          <w:iCs/>
          <w:noProof/>
          <w:sz w:val="20"/>
          <w:szCs w:val="20"/>
        </w:rPr>
        <w:t>ț</w:t>
      </w:r>
      <w:r w:rsidRPr="0027074A">
        <w:rPr>
          <w:rFonts w:ascii="Times New Roman" w:eastAsia="Times New Roman" w:hAnsi="Times New Roman" w:cs="Times New Roman"/>
          <w:i/>
          <w:iCs/>
          <w:noProof/>
          <w:sz w:val="20"/>
          <w:szCs w:val="20"/>
        </w:rPr>
        <w:t xml:space="preserve">a interregională și transnațională. </w:t>
      </w:r>
    </w:p>
    <w:p w:rsidR="00F8597A" w:rsidRPr="0027074A" w:rsidRDefault="00F8597A" w:rsidP="00F8597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i/>
          <w:iCs/>
          <w:noProof/>
          <w:sz w:val="20"/>
          <w:szCs w:val="20"/>
        </w:rPr>
      </w:pPr>
      <w:r w:rsidRPr="0027074A">
        <w:rPr>
          <w:rFonts w:ascii="Times New Roman" w:eastAsia="Times New Roman" w:hAnsi="Times New Roman" w:cs="Times New Roman"/>
          <w:i/>
          <w:iCs/>
          <w:noProof/>
          <w:sz w:val="20"/>
          <w:szCs w:val="20"/>
        </w:rPr>
        <w:t>Componenta interregională - participarea IMM-urilor și organizațiilor CDI în structuri, parteneriate și programe de colaborare</w:t>
      </w:r>
    </w:p>
    <w:p w:rsidR="00F8597A" w:rsidRPr="0027074A" w:rsidRDefault="00F8597A" w:rsidP="00F8597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i/>
          <w:iCs/>
          <w:noProof/>
          <w:sz w:val="20"/>
          <w:szCs w:val="20"/>
        </w:rPr>
      </w:pPr>
      <w:r w:rsidRPr="0027074A">
        <w:rPr>
          <w:rFonts w:ascii="Times New Roman" w:eastAsia="Times New Roman" w:hAnsi="Times New Roman" w:cs="Times New Roman"/>
          <w:i/>
          <w:iCs/>
          <w:noProof/>
          <w:sz w:val="20"/>
          <w:szCs w:val="20"/>
        </w:rPr>
        <w:t>Componenta transnatională</w:t>
      </w:r>
      <w:r>
        <w:rPr>
          <w:rFonts w:ascii="Times New Roman" w:eastAsia="Times New Roman" w:hAnsi="Times New Roman" w:cs="Times New Roman"/>
          <w:i/>
          <w:iCs/>
          <w:noProof/>
          <w:sz w:val="20"/>
          <w:szCs w:val="20"/>
        </w:rPr>
        <w:t>:</w:t>
      </w:r>
    </w:p>
    <w:p w:rsidR="00F8597A" w:rsidRPr="0027074A" w:rsidRDefault="00F8597A" w:rsidP="00F8597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i/>
          <w:iCs/>
          <w:noProof/>
          <w:sz w:val="20"/>
          <w:szCs w:val="20"/>
        </w:rPr>
      </w:pPr>
      <w:r w:rsidRPr="0027074A">
        <w:rPr>
          <w:rFonts w:ascii="Times New Roman" w:eastAsia="Times New Roman" w:hAnsi="Times New Roman" w:cs="Times New Roman"/>
          <w:i/>
          <w:iCs/>
          <w:noProof/>
          <w:sz w:val="20"/>
          <w:szCs w:val="20"/>
        </w:rPr>
        <w:t>•</w:t>
      </w:r>
      <w:r w:rsidRPr="0027074A">
        <w:rPr>
          <w:rFonts w:ascii="Times New Roman" w:eastAsia="Times New Roman" w:hAnsi="Times New Roman" w:cs="Times New Roman"/>
          <w:i/>
          <w:iCs/>
          <w:noProof/>
          <w:sz w:val="20"/>
          <w:szCs w:val="20"/>
        </w:rPr>
        <w:tab/>
        <w:t>participarea IMM-urilor și organizațiilor CDI în structuri, parteneriate și programe de colaborare</w:t>
      </w:r>
      <w:r>
        <w:rPr>
          <w:rFonts w:ascii="Times New Roman" w:eastAsia="Times New Roman" w:hAnsi="Times New Roman" w:cs="Times New Roman"/>
          <w:i/>
          <w:iCs/>
          <w:noProof/>
          <w:sz w:val="20"/>
          <w:szCs w:val="20"/>
        </w:rPr>
        <w:t>;</w:t>
      </w:r>
    </w:p>
    <w:p w:rsidR="00F8597A" w:rsidRPr="0027074A" w:rsidRDefault="00F8597A" w:rsidP="00F8597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i/>
          <w:iCs/>
          <w:noProof/>
          <w:sz w:val="20"/>
          <w:szCs w:val="20"/>
        </w:rPr>
      </w:pPr>
      <w:r w:rsidRPr="0027074A">
        <w:rPr>
          <w:rFonts w:ascii="Times New Roman" w:eastAsia="Times New Roman" w:hAnsi="Times New Roman" w:cs="Times New Roman"/>
          <w:i/>
          <w:iCs/>
          <w:noProof/>
          <w:sz w:val="20"/>
          <w:szCs w:val="20"/>
        </w:rPr>
        <w:t>•</w:t>
      </w:r>
      <w:r w:rsidRPr="0027074A">
        <w:rPr>
          <w:rFonts w:ascii="Times New Roman" w:eastAsia="Times New Roman" w:hAnsi="Times New Roman" w:cs="Times New Roman"/>
          <w:i/>
          <w:iCs/>
          <w:noProof/>
          <w:sz w:val="20"/>
          <w:szCs w:val="20"/>
        </w:rPr>
        <w:tab/>
      </w:r>
      <w:r>
        <w:rPr>
          <w:rFonts w:ascii="Times New Roman" w:eastAsia="Times New Roman" w:hAnsi="Times New Roman" w:cs="Times New Roman"/>
          <w:i/>
          <w:iCs/>
          <w:noProof/>
          <w:sz w:val="20"/>
          <w:szCs w:val="20"/>
        </w:rPr>
        <w:t>s</w:t>
      </w:r>
      <w:r w:rsidRPr="0027074A">
        <w:rPr>
          <w:rFonts w:ascii="Times New Roman" w:eastAsia="Times New Roman" w:hAnsi="Times New Roman" w:cs="Times New Roman"/>
          <w:i/>
          <w:iCs/>
          <w:noProof/>
          <w:sz w:val="20"/>
          <w:szCs w:val="20"/>
        </w:rPr>
        <w:t>inergii cu programe similare din alte State Membre sau State Asociate</w:t>
      </w:r>
      <w:r>
        <w:rPr>
          <w:rFonts w:ascii="Times New Roman" w:eastAsia="Times New Roman" w:hAnsi="Times New Roman" w:cs="Times New Roman"/>
          <w:i/>
          <w:iCs/>
          <w:noProof/>
          <w:sz w:val="20"/>
          <w:szCs w:val="20"/>
        </w:rPr>
        <w:t>;</w:t>
      </w:r>
    </w:p>
    <w:p w:rsidR="00F8597A" w:rsidRPr="0027074A" w:rsidRDefault="00F8597A" w:rsidP="00F8597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i/>
          <w:iCs/>
          <w:noProof/>
          <w:sz w:val="20"/>
          <w:szCs w:val="20"/>
        </w:rPr>
      </w:pPr>
      <w:r w:rsidRPr="0027074A">
        <w:rPr>
          <w:rFonts w:ascii="Times New Roman" w:eastAsia="Times New Roman" w:hAnsi="Times New Roman" w:cs="Times New Roman"/>
          <w:i/>
          <w:iCs/>
          <w:noProof/>
          <w:sz w:val="20"/>
          <w:szCs w:val="20"/>
        </w:rPr>
        <w:t>•</w:t>
      </w:r>
      <w:r w:rsidRPr="0027074A">
        <w:rPr>
          <w:rFonts w:ascii="Times New Roman" w:eastAsia="Times New Roman" w:hAnsi="Times New Roman" w:cs="Times New Roman"/>
          <w:i/>
          <w:iCs/>
          <w:noProof/>
          <w:sz w:val="20"/>
          <w:szCs w:val="20"/>
        </w:rPr>
        <w:tab/>
        <w:t>intervenții aliniate la KIC-urile (Knowledge Innovation Community) în relație cu sectoarele/ ariile de specializare inteligentă regionale</w:t>
      </w:r>
      <w:r>
        <w:rPr>
          <w:rFonts w:ascii="Times New Roman" w:eastAsia="Times New Roman" w:hAnsi="Times New Roman" w:cs="Times New Roman"/>
          <w:i/>
          <w:iCs/>
          <w:noProof/>
          <w:sz w:val="20"/>
          <w:szCs w:val="20"/>
        </w:rPr>
        <w:t>;</w:t>
      </w:r>
    </w:p>
    <w:p w:rsidR="00F8597A" w:rsidRPr="0027074A" w:rsidRDefault="00F8597A" w:rsidP="00F8597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i/>
          <w:iCs/>
          <w:noProof/>
          <w:sz w:val="20"/>
          <w:szCs w:val="20"/>
        </w:rPr>
      </w:pPr>
      <w:r w:rsidRPr="0027074A">
        <w:rPr>
          <w:rFonts w:ascii="Times New Roman" w:eastAsia="Times New Roman" w:hAnsi="Times New Roman" w:cs="Times New Roman"/>
          <w:i/>
          <w:iCs/>
          <w:noProof/>
          <w:sz w:val="20"/>
          <w:szCs w:val="20"/>
        </w:rPr>
        <w:t>•</w:t>
      </w:r>
      <w:r w:rsidRPr="0027074A">
        <w:rPr>
          <w:rFonts w:ascii="Times New Roman" w:eastAsia="Times New Roman" w:hAnsi="Times New Roman" w:cs="Times New Roman"/>
          <w:i/>
          <w:iCs/>
          <w:noProof/>
          <w:sz w:val="20"/>
          <w:szCs w:val="20"/>
        </w:rPr>
        <w:tab/>
        <w:t>aderarea, afilierea, apartenența la rețele de inovare europene pentru IMM</w:t>
      </w:r>
      <w:r>
        <w:rPr>
          <w:rFonts w:ascii="Times New Roman" w:eastAsia="Times New Roman" w:hAnsi="Times New Roman" w:cs="Times New Roman"/>
          <w:i/>
          <w:iCs/>
          <w:noProof/>
          <w:sz w:val="20"/>
          <w:szCs w:val="20"/>
        </w:rPr>
        <w:t>-uri</w:t>
      </w:r>
      <w:r w:rsidRPr="0027074A">
        <w:rPr>
          <w:rFonts w:ascii="Times New Roman" w:eastAsia="Times New Roman" w:hAnsi="Times New Roman" w:cs="Times New Roman"/>
          <w:i/>
          <w:iCs/>
          <w:noProof/>
          <w:sz w:val="20"/>
          <w:szCs w:val="20"/>
        </w:rPr>
        <w:t xml:space="preserve"> sau alte organizații</w:t>
      </w:r>
      <w:r>
        <w:rPr>
          <w:rFonts w:ascii="Times New Roman" w:eastAsia="Times New Roman" w:hAnsi="Times New Roman" w:cs="Times New Roman"/>
          <w:i/>
          <w:iCs/>
          <w:noProof/>
          <w:sz w:val="20"/>
          <w:szCs w:val="20"/>
        </w:rPr>
        <w:t>.</w:t>
      </w:r>
    </w:p>
    <w:p w:rsidR="00F8597A" w:rsidRPr="004D0F1C" w:rsidRDefault="00F8597A" w:rsidP="00F8597A">
      <w:pPr>
        <w:pBdr>
          <w:top w:val="single" w:sz="4" w:space="1" w:color="auto"/>
          <w:left w:val="single" w:sz="4" w:space="4" w:color="auto"/>
          <w:bottom w:val="single" w:sz="4" w:space="1" w:color="auto"/>
          <w:right w:val="single" w:sz="4" w:space="4" w:color="auto"/>
        </w:pBdr>
        <w:spacing w:before="120" w:after="120" w:line="240" w:lineRule="auto"/>
        <w:jc w:val="both"/>
        <w:rPr>
          <w:rFonts w:eastAsia="Times New Roman" w:cstheme="minorHAnsi"/>
          <w:i/>
          <w:iCs/>
          <w:noProof/>
          <w:lang w:val="en-GB"/>
        </w:rPr>
      </w:pPr>
      <w:r w:rsidRPr="0027074A">
        <w:rPr>
          <w:rFonts w:ascii="Times New Roman" w:eastAsia="Times New Roman" w:hAnsi="Times New Roman" w:cs="Times New Roman"/>
          <w:i/>
          <w:iCs/>
          <w:noProof/>
          <w:sz w:val="20"/>
          <w:szCs w:val="20"/>
        </w:rPr>
        <w:t>Penetrarea reţelelor de inovare constituite în timp, mai ales pentru a concura pentru grant-urile de cercetare şi inovare oferite în cadrul programelor de profil ale UE (în special Horizon 2020) este dificilă, mai ales pentru no</w:t>
      </w:r>
      <w:r>
        <w:rPr>
          <w:rFonts w:ascii="Times New Roman" w:eastAsia="Times New Roman" w:hAnsi="Times New Roman" w:cs="Times New Roman"/>
          <w:i/>
          <w:iCs/>
          <w:noProof/>
          <w:sz w:val="20"/>
          <w:szCs w:val="20"/>
        </w:rPr>
        <w:t>i</w:t>
      </w:r>
      <w:r w:rsidRPr="0027074A">
        <w:rPr>
          <w:rFonts w:ascii="Times New Roman" w:eastAsia="Times New Roman" w:hAnsi="Times New Roman" w:cs="Times New Roman"/>
          <w:i/>
          <w:iCs/>
          <w:noProof/>
          <w:sz w:val="20"/>
          <w:szCs w:val="20"/>
        </w:rPr>
        <w:t xml:space="preserve">i actori </w:t>
      </w:r>
      <w:r>
        <w:rPr>
          <w:rFonts w:ascii="Times New Roman" w:eastAsia="Times New Roman" w:hAnsi="Times New Roman" w:cs="Times New Roman"/>
          <w:i/>
          <w:iCs/>
          <w:noProof/>
          <w:sz w:val="20"/>
          <w:szCs w:val="20"/>
        </w:rPr>
        <w:t>în special</w:t>
      </w:r>
      <w:r w:rsidRPr="0027074A">
        <w:rPr>
          <w:rFonts w:ascii="Times New Roman" w:eastAsia="Times New Roman" w:hAnsi="Times New Roman" w:cs="Times New Roman"/>
          <w:i/>
          <w:iCs/>
          <w:noProof/>
          <w:sz w:val="20"/>
          <w:szCs w:val="20"/>
        </w:rPr>
        <w:t xml:space="preserve"> pentru cei proveniţi din noile state membre. Pentru a contracara acest deficit, a cărui sursă o identificăm în lipsa unui capital de încredere al noilor actori (capital care nici nu poate fi acumulat fără integrarea în aceste reţele, creându-se, astfel un cerc vicios) considerăm că este necesară facilitarea şi susţinerea asocierii actorilor locali la aceste reţele, printr-un program pilot care să finanţeze </w:t>
      </w:r>
      <w:r>
        <w:rPr>
          <w:rFonts w:ascii="Times New Roman" w:eastAsia="Times New Roman" w:hAnsi="Times New Roman" w:cs="Times New Roman"/>
          <w:i/>
          <w:iCs/>
          <w:noProof/>
          <w:sz w:val="20"/>
          <w:szCs w:val="20"/>
        </w:rPr>
        <w:t>î</w:t>
      </w:r>
      <w:r w:rsidRPr="0027074A">
        <w:rPr>
          <w:rFonts w:ascii="Times New Roman" w:eastAsia="Times New Roman" w:hAnsi="Times New Roman" w:cs="Times New Roman"/>
          <w:i/>
          <w:iCs/>
          <w:noProof/>
          <w:sz w:val="20"/>
          <w:szCs w:val="20"/>
        </w:rPr>
        <w:t>nrolarea ca testeri, third party sau alte forme de participare în proiecte de tip Horizon.</w:t>
      </w:r>
    </w:p>
    <w:bookmarkEnd w:id="8"/>
    <w:p w:rsidR="00F8597A" w:rsidRPr="002E744B" w:rsidRDefault="00F8597A" w:rsidP="00F8597A">
      <w:pPr>
        <w:spacing w:before="120" w:after="120" w:line="360" w:lineRule="auto"/>
        <w:jc w:val="both"/>
        <w:rPr>
          <w:rFonts w:ascii="Times New Roman" w:eastAsia="Times New Roman" w:hAnsi="Times New Roman" w:cs="Times New Roman"/>
          <w:b/>
          <w:i/>
          <w:iCs/>
          <w:noProof/>
          <w:sz w:val="24"/>
          <w:szCs w:val="24"/>
          <w:lang w:val="en-GB"/>
        </w:rPr>
      </w:pPr>
      <w:r w:rsidRPr="002E744B">
        <w:rPr>
          <w:rFonts w:ascii="Times New Roman" w:eastAsia="Times New Roman" w:hAnsi="Times New Roman" w:cs="Times New Roman"/>
          <w:i/>
          <w:noProof/>
          <w:sz w:val="24"/>
          <w:szCs w:val="24"/>
          <w:lang w:val="en-GB"/>
        </w:rPr>
        <w:t>The planned use of financial instruments – Article – 17(3)(d)(vi)</w:t>
      </w:r>
    </w:p>
    <w:p w:rsidR="00F8597A" w:rsidRDefault="00F8597A" w:rsidP="00F8597A">
      <w:pPr>
        <w:pBdr>
          <w:top w:val="single" w:sz="4" w:space="1" w:color="auto"/>
          <w:left w:val="single" w:sz="4" w:space="4" w:color="auto"/>
          <w:bottom w:val="single" w:sz="4" w:space="1" w:color="auto"/>
          <w:right w:val="single" w:sz="4" w:space="4" w:color="auto"/>
        </w:pBdr>
        <w:spacing w:before="120" w:after="120" w:line="360" w:lineRule="auto"/>
        <w:jc w:val="both"/>
        <w:rPr>
          <w:rFonts w:ascii="Times New Roman" w:eastAsia="Times New Roman" w:hAnsi="Times New Roman" w:cs="Times New Roman"/>
          <w:i/>
          <w:iCs/>
          <w:noProof/>
          <w:sz w:val="24"/>
          <w:szCs w:val="24"/>
          <w:lang w:val="en-GB"/>
        </w:rPr>
      </w:pPr>
      <w:r w:rsidRPr="002E744B">
        <w:rPr>
          <w:rFonts w:ascii="Times New Roman" w:eastAsia="Times New Roman" w:hAnsi="Times New Roman" w:cs="Times New Roman"/>
          <w:i/>
          <w:iCs/>
          <w:noProof/>
          <w:sz w:val="24"/>
          <w:szCs w:val="24"/>
          <w:lang w:val="en-GB"/>
        </w:rPr>
        <w:t>Text field [1 000]</w:t>
      </w:r>
    </w:p>
    <w:p w:rsidR="00790816" w:rsidRDefault="00790816" w:rsidP="00F8597A">
      <w:pPr>
        <w:spacing w:before="240" w:after="240" w:line="360" w:lineRule="auto"/>
        <w:rPr>
          <w:rFonts w:ascii="Times New Roman" w:eastAsia="Times New Roman" w:hAnsi="Times New Roman" w:cs="Times New Roman"/>
          <w:b/>
          <w:iCs/>
          <w:noProof/>
          <w:sz w:val="24"/>
          <w:szCs w:val="24"/>
          <w:lang w:val="en-GB"/>
        </w:rPr>
      </w:pPr>
    </w:p>
    <w:p w:rsidR="00F8597A" w:rsidRDefault="00F8597A" w:rsidP="00F8597A">
      <w:pPr>
        <w:spacing w:before="240" w:after="240" w:line="360" w:lineRule="auto"/>
        <w:rPr>
          <w:rFonts w:ascii="Times New Roman" w:eastAsia="Times New Roman" w:hAnsi="Times New Roman" w:cs="Times New Roman"/>
          <w:b/>
          <w:iCs/>
          <w:noProof/>
          <w:sz w:val="24"/>
          <w:szCs w:val="24"/>
          <w:lang w:val="en-GB"/>
        </w:rPr>
      </w:pPr>
      <w:r w:rsidRPr="002E744B">
        <w:rPr>
          <w:rFonts w:ascii="Times New Roman" w:eastAsia="Times New Roman" w:hAnsi="Times New Roman" w:cs="Times New Roman"/>
          <w:b/>
          <w:iCs/>
          <w:noProof/>
          <w:sz w:val="24"/>
          <w:szCs w:val="24"/>
          <w:lang w:val="en-GB"/>
        </w:rPr>
        <w:t>2.A.3 Specific objective</w:t>
      </w:r>
      <w:r w:rsidRPr="002E744B">
        <w:rPr>
          <w:rFonts w:ascii="Times New Roman" w:eastAsia="Times New Roman" w:hAnsi="Times New Roman" w:cs="Times New Roman"/>
          <w:b/>
          <w:bCs/>
          <w:iCs/>
          <w:noProof/>
          <w:sz w:val="24"/>
          <w:szCs w:val="24"/>
          <w:vertAlign w:val="superscript"/>
          <w:lang w:val="en-GB"/>
        </w:rPr>
        <w:footnoteReference w:id="24"/>
      </w:r>
      <w:r w:rsidRPr="002E744B">
        <w:rPr>
          <w:rFonts w:ascii="Times New Roman" w:eastAsia="Times New Roman" w:hAnsi="Times New Roman" w:cs="Times New Roman"/>
          <w:b/>
          <w:iCs/>
          <w:noProof/>
          <w:sz w:val="24"/>
          <w:szCs w:val="24"/>
          <w:lang w:val="en-GB"/>
        </w:rPr>
        <w:t xml:space="preserve">  (Investment for Jobs and Growth goal) repeated for each selected specific objective for priorities other than technical assistance</w:t>
      </w:r>
    </w:p>
    <w:p w:rsidR="00F8597A" w:rsidRPr="00615B6C" w:rsidRDefault="00F8597A" w:rsidP="00F8597A">
      <w:pPr>
        <w:spacing w:after="0" w:line="240" w:lineRule="auto"/>
        <w:rPr>
          <w:rFonts w:ascii="Times New Roman" w:eastAsia="Times New Roman" w:hAnsi="Times New Roman" w:cs="Times New Roman"/>
          <w:b/>
          <w:iCs/>
          <w:noProof/>
          <w:sz w:val="24"/>
          <w:szCs w:val="24"/>
          <w:lang w:val="en-GB"/>
        </w:rPr>
      </w:pPr>
      <w:r w:rsidRPr="00615B6C">
        <w:rPr>
          <w:rFonts w:ascii="Times New Roman" w:eastAsia="Times New Roman" w:hAnsi="Times New Roman" w:cs="Times New Roman"/>
          <w:b/>
          <w:iCs/>
          <w:noProof/>
          <w:sz w:val="24"/>
          <w:szCs w:val="24"/>
          <w:lang w:val="en-GB"/>
        </w:rPr>
        <w:lastRenderedPageBreak/>
        <w:t xml:space="preserve">OS </w:t>
      </w:r>
      <w:bookmarkStart w:id="9" w:name="_Hlk40199999"/>
      <w:r w:rsidRPr="00615B6C">
        <w:rPr>
          <w:rFonts w:ascii="Times New Roman" w:eastAsia="Times New Roman" w:hAnsi="Times New Roman" w:cs="Times New Roman"/>
          <w:b/>
          <w:iCs/>
          <w:noProof/>
          <w:sz w:val="24"/>
          <w:szCs w:val="24"/>
          <w:lang w:val="en-GB"/>
        </w:rPr>
        <w:t>a (iii) Impulsionarea creșterii și competitivității IMM-urilor</w:t>
      </w:r>
      <w:bookmarkEnd w:id="9"/>
      <w:r w:rsidRPr="00615B6C">
        <w:rPr>
          <w:rFonts w:ascii="Times New Roman" w:eastAsia="Times New Roman" w:hAnsi="Times New Roman" w:cs="Times New Roman"/>
          <w:b/>
          <w:iCs/>
          <w:noProof/>
          <w:sz w:val="24"/>
          <w:szCs w:val="24"/>
          <w:lang w:val="en-GB"/>
        </w:rPr>
        <w:t xml:space="preserve"> , inclusiv prin investitii productive si crearea de noi locuri de munca in IMM</w:t>
      </w:r>
    </w:p>
    <w:p w:rsidR="00F8597A" w:rsidRPr="002E744B" w:rsidRDefault="00F8597A" w:rsidP="00F8597A">
      <w:pPr>
        <w:spacing w:before="240" w:after="240" w:line="360" w:lineRule="auto"/>
        <w:rPr>
          <w:rFonts w:ascii="Times New Roman" w:eastAsia="Times New Roman" w:hAnsi="Times New Roman" w:cs="Times New Roman"/>
          <w:b/>
          <w:iCs/>
          <w:noProof/>
          <w:sz w:val="24"/>
          <w:szCs w:val="24"/>
          <w:lang w:val="en-GB"/>
        </w:rPr>
      </w:pPr>
      <w:r w:rsidRPr="002E744B">
        <w:rPr>
          <w:rFonts w:ascii="Times New Roman" w:eastAsia="Times New Roman" w:hAnsi="Times New Roman" w:cs="Times New Roman"/>
          <w:b/>
          <w:iCs/>
          <w:noProof/>
          <w:sz w:val="24"/>
          <w:szCs w:val="24"/>
          <w:lang w:val="en-GB"/>
        </w:rPr>
        <w:t>2.A.3.1 Interventions of the Funds</w:t>
      </w:r>
    </w:p>
    <w:p w:rsidR="00F8597A" w:rsidRPr="002E744B" w:rsidRDefault="00F8597A" w:rsidP="00F8597A">
      <w:pPr>
        <w:spacing w:before="120" w:after="120" w:line="360" w:lineRule="auto"/>
        <w:rPr>
          <w:rFonts w:ascii="Times New Roman" w:eastAsia="Times New Roman" w:hAnsi="Times New Roman" w:cs="Times New Roman"/>
          <w:i/>
          <w:noProof/>
          <w:sz w:val="24"/>
          <w:szCs w:val="24"/>
          <w:lang w:val="en-GB"/>
        </w:rPr>
      </w:pPr>
      <w:r w:rsidRPr="002E744B">
        <w:rPr>
          <w:rFonts w:ascii="Times New Roman" w:eastAsia="Times New Roman" w:hAnsi="Times New Roman" w:cs="Times New Roman"/>
          <w:i/>
          <w:noProof/>
          <w:sz w:val="24"/>
          <w:szCs w:val="24"/>
          <w:lang w:val="en-GB"/>
        </w:rPr>
        <w:t>Reference: Article 17(3)(d)(i),(iii),(iv),(v),(vi);</w:t>
      </w:r>
    </w:p>
    <w:p w:rsidR="00F8597A" w:rsidRPr="002E744B" w:rsidRDefault="00F8597A" w:rsidP="00F8597A">
      <w:pPr>
        <w:bidi/>
        <w:spacing w:before="120" w:after="120" w:line="360" w:lineRule="auto"/>
        <w:jc w:val="right"/>
        <w:rPr>
          <w:rFonts w:ascii="Times New Roman" w:eastAsia="Times New Roman" w:hAnsi="Times New Roman" w:cs="Times New Roman"/>
          <w:b/>
          <w:bCs/>
          <w:i/>
          <w:iCs/>
          <w:noProof/>
          <w:sz w:val="24"/>
          <w:szCs w:val="24"/>
          <w:u w:val="single"/>
          <w:lang w:val="en-GB"/>
        </w:rPr>
      </w:pPr>
      <w:r w:rsidRPr="002E744B">
        <w:rPr>
          <w:rFonts w:ascii="Times New Roman" w:eastAsia="Times New Roman" w:hAnsi="Times New Roman" w:cs="Times New Roman"/>
          <w:i/>
          <w:noProof/>
          <w:sz w:val="24"/>
          <w:szCs w:val="24"/>
          <w:lang w:val="en-GB"/>
        </w:rPr>
        <w:t>The related types of actions – Article 17(3)(d)(i) CPR; Article 6(2) ESF+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F8597A" w:rsidRPr="002E744B" w:rsidTr="0002745C">
        <w:tc>
          <w:tcPr>
            <w:tcW w:w="9288" w:type="dxa"/>
            <w:tcBorders>
              <w:top w:val="single" w:sz="4" w:space="0" w:color="auto"/>
              <w:left w:val="single" w:sz="4" w:space="0" w:color="auto"/>
              <w:bottom w:val="single" w:sz="4" w:space="0" w:color="auto"/>
              <w:right w:val="single" w:sz="4" w:space="0" w:color="auto"/>
            </w:tcBorders>
            <w:hideMark/>
          </w:tcPr>
          <w:p w:rsidR="00F8597A" w:rsidRDefault="00F8597A" w:rsidP="0002745C">
            <w:pPr>
              <w:spacing w:before="120" w:after="120" w:line="360" w:lineRule="auto"/>
              <w:jc w:val="both"/>
              <w:rPr>
                <w:rFonts w:ascii="Times New Roman" w:eastAsia="Times New Roman" w:hAnsi="Times New Roman" w:cs="Times New Roman"/>
                <w:i/>
                <w:iCs/>
                <w:noProof/>
                <w:szCs w:val="24"/>
                <w:lang w:val="en-US"/>
              </w:rPr>
            </w:pPr>
            <w:bookmarkStart w:id="10" w:name="_Hlk38882734"/>
            <w:r w:rsidRPr="002E744B">
              <w:rPr>
                <w:rFonts w:ascii="Times New Roman" w:eastAsia="Times New Roman" w:hAnsi="Times New Roman" w:cs="Times New Roman"/>
                <w:i/>
                <w:iCs/>
                <w:noProof/>
                <w:szCs w:val="24"/>
                <w:lang w:val="en-US"/>
              </w:rPr>
              <w:t>Text field [8 000]</w:t>
            </w:r>
          </w:p>
          <w:p w:rsidR="005C75DF" w:rsidRPr="00615B6C" w:rsidRDefault="005C75DF" w:rsidP="005C75DF">
            <w:pPr>
              <w:spacing w:after="0" w:line="240" w:lineRule="auto"/>
              <w:jc w:val="both"/>
              <w:rPr>
                <w:rFonts w:ascii="Times New Roman" w:eastAsia="Times New Roman" w:hAnsi="Times New Roman" w:cs="Times New Roman"/>
                <w:i/>
                <w:noProof/>
                <w:sz w:val="20"/>
                <w:szCs w:val="20"/>
                <w:lang w:val="en-US"/>
              </w:rPr>
            </w:pPr>
            <w:r w:rsidRPr="00615B6C">
              <w:rPr>
                <w:rFonts w:ascii="Times New Roman" w:eastAsia="Times New Roman" w:hAnsi="Times New Roman" w:cs="Times New Roman"/>
                <w:i/>
                <w:noProof/>
                <w:sz w:val="20"/>
                <w:szCs w:val="20"/>
                <w:lang w:val="en-US"/>
              </w:rPr>
              <w:t>Acest obiectiv specific se regaseste in Axa 1 O regiune competitivă prin inovare si intreprinderi dinamice pentru o economie inteligenta prin 2 obiective specifice la nivel regional: (1) Crestererea IMM prin investitii, modernizare industriala,avans tehnologic si o economie regională sustenabilă, (2)</w:t>
            </w:r>
            <w:r w:rsidRPr="00615B6C">
              <w:rPr>
                <w:sz w:val="20"/>
                <w:szCs w:val="20"/>
              </w:rPr>
              <w:t xml:space="preserve"> </w:t>
            </w:r>
            <w:r w:rsidRPr="00615B6C">
              <w:rPr>
                <w:rFonts w:ascii="Times New Roman" w:eastAsia="Times New Roman" w:hAnsi="Times New Roman" w:cs="Times New Roman"/>
                <w:i/>
                <w:noProof/>
                <w:sz w:val="20"/>
                <w:szCs w:val="20"/>
                <w:lang w:val="en-US"/>
              </w:rPr>
              <w:t xml:space="preserve">Structuri de sprijin pentru dezvoltare IMM. </w:t>
            </w:r>
          </w:p>
          <w:p w:rsidR="005C75DF" w:rsidRPr="00615B6C" w:rsidRDefault="005C75DF" w:rsidP="005C75DF">
            <w:pPr>
              <w:spacing w:after="0" w:line="240" w:lineRule="auto"/>
              <w:jc w:val="both"/>
              <w:rPr>
                <w:rFonts w:ascii="Times New Roman" w:eastAsia="Times New Roman" w:hAnsi="Times New Roman" w:cs="Times New Roman"/>
                <w:i/>
                <w:noProof/>
                <w:sz w:val="20"/>
                <w:szCs w:val="20"/>
                <w:lang w:val="en-US"/>
              </w:rPr>
            </w:pPr>
          </w:p>
          <w:p w:rsidR="005C75DF" w:rsidRPr="00615B6C" w:rsidRDefault="005C75DF" w:rsidP="005C75DF">
            <w:pPr>
              <w:spacing w:after="0" w:line="240" w:lineRule="auto"/>
              <w:jc w:val="both"/>
              <w:rPr>
                <w:rFonts w:ascii="Times New Roman" w:eastAsia="Times New Roman" w:hAnsi="Times New Roman" w:cs="Times New Roman"/>
                <w:i/>
                <w:noProof/>
                <w:sz w:val="20"/>
                <w:szCs w:val="20"/>
                <w:lang w:val="en-US"/>
              </w:rPr>
            </w:pPr>
            <w:r w:rsidRPr="00615B6C">
              <w:rPr>
                <w:rFonts w:ascii="Times New Roman" w:eastAsia="Times New Roman" w:hAnsi="Times New Roman" w:cs="Times New Roman"/>
                <w:i/>
                <w:noProof/>
                <w:sz w:val="20"/>
                <w:szCs w:val="20"/>
                <w:lang w:val="en-US"/>
              </w:rPr>
              <w:t>Raportul privind Semestrul European identifică creşterea rapidă a costului cu forţa de muncă drept o ameninţare la adresa competitivităţii. Un alt factor care afectează competitivitatea este lipsa îmbunătăţirilor în ceea ce priveşte abilităţile forţei de muncă, criza de talente şi personal calificat afectând, în primul rând, IMM. Conform Raportului de ţară, firmele autohtone sunt, în medie, mai mici, mai puţin productive şi mai puţin inovative decât companiile mari, în majoritate cu capital străin. Firmele mici tind să investească mai puţin în noi tehnologii, chiar şi în sectoarele knowledge intensive, utilizarea roboţilor, spre exemplu, fiind de 5 ori mai scăzută decât în firmele mari.</w:t>
            </w:r>
            <w:r w:rsidRPr="00615B6C">
              <w:rPr>
                <w:sz w:val="20"/>
                <w:szCs w:val="20"/>
              </w:rPr>
              <w:t xml:space="preserve"> </w:t>
            </w:r>
            <w:r w:rsidRPr="00615B6C">
              <w:rPr>
                <w:rFonts w:ascii="Times New Roman" w:eastAsia="Times New Roman" w:hAnsi="Times New Roman" w:cs="Times New Roman"/>
                <w:i/>
                <w:noProof/>
                <w:sz w:val="20"/>
                <w:szCs w:val="20"/>
                <w:lang w:val="en-US"/>
              </w:rPr>
              <w:t xml:space="preserve">Valoarea foarte scăzută a cheltuielilor de inovare fără CDI în Regiunea Centru (conform RIS 2019) arată necesitatea de susținere a investițiilor de gen în IMM regionale și este evident că în lipsa susținerii, difuzarea inovării în companii, în special IMM, va fi mult încetinită. IMM sunt defavorizate față de companiile mari în accesul la resurse, în special financiare, pentru modernizare tehnologică și adoptarea de tehnici avansate de manufacturare. Fără o susținere publică, nivelul de competitivitate al IMM regionale va fi erodat accelerat prin adâncirea diferențelor tehnologice, ceea ce va afecta fundamental nivelul de dezvoltare al regiunii. De asemenea, susținerea generării de cunoaștere, sub forma cercetării și inovării, trebuie să fie însoțită de formarea unei piețe pentru cunoaștere iar în această privință intervenția publică este esențială. In regiunea Centru, intreprinderi cu rata mare de crestere reprezinta 3% Regiunea Centru are o bază industrială solidă, cu un sector manufacturier mediu tehnologizat și cu elemente încurajatoare de înaltă tehnologie, există o tendință puternică de scădere a sectoarelor manufacturiere care se bazează pe utilizarea intensivă a muncii în detrimentul tehnologiei. Nivelul de sofisticare tehnologică a proceselor de producție este în creștere iar nivelul de sofisticare tehnologică a produselor este și el în creștere (posibil, ca urmare a avansului tehnologic). </w:t>
            </w:r>
          </w:p>
          <w:p w:rsidR="005C75DF" w:rsidRPr="00615B6C" w:rsidRDefault="005C75DF" w:rsidP="005C75DF">
            <w:pPr>
              <w:spacing w:after="0" w:line="240" w:lineRule="auto"/>
              <w:jc w:val="both"/>
              <w:rPr>
                <w:rFonts w:ascii="Times New Roman" w:eastAsia="Times New Roman" w:hAnsi="Times New Roman" w:cs="Times New Roman"/>
                <w:i/>
                <w:noProof/>
                <w:sz w:val="20"/>
                <w:szCs w:val="20"/>
                <w:lang w:val="en-US"/>
              </w:rPr>
            </w:pPr>
          </w:p>
          <w:p w:rsidR="005C75DF" w:rsidRPr="00615B6C" w:rsidRDefault="005C75DF" w:rsidP="005C75DF">
            <w:pPr>
              <w:spacing w:after="0" w:line="240" w:lineRule="auto"/>
              <w:jc w:val="both"/>
              <w:rPr>
                <w:rFonts w:ascii="Times New Roman" w:eastAsia="Times New Roman" w:hAnsi="Times New Roman" w:cs="Times New Roman"/>
                <w:bCs/>
                <w:i/>
                <w:noProof/>
                <w:sz w:val="20"/>
                <w:szCs w:val="20"/>
                <w:lang w:val="en-US"/>
              </w:rPr>
            </w:pPr>
            <w:r w:rsidRPr="00615B6C">
              <w:rPr>
                <w:rFonts w:ascii="Times New Roman" w:eastAsia="Times New Roman" w:hAnsi="Times New Roman" w:cs="Times New Roman"/>
                <w:bCs/>
                <w:i/>
                <w:noProof/>
                <w:sz w:val="20"/>
                <w:szCs w:val="20"/>
                <w:lang w:val="en-US"/>
              </w:rPr>
              <w:t>În cadrul POR 2014-2020, axa 2 este dedicată îmbunătățirii competitivității IMM. În privința susținerii activităților inovative ale întreprinderilor, sunt relevante prioritățile de investiții 2.1A şi 2.2. Numărul total de cereri de finanțare depuse în cadrul apelurilor PI 2.1A şi 2.2 este 716. Dintre acestea, 493 cereri de finanțare au fost înaintate de microîntreprinderi şi 223 de întreprinderi mici şi mijlocii. Totalul ajutorului nerambursabil solicitat a fost de aproape 970 milioane lei, din care peste 325 milioane lei au fost solicitate de microîntreprinderi şi peste 644 milioane lei au revenit apelului aferent PI 2.2. Aceste cifre arată un interes sporit din partea companiilor de a investi în tehnologie. Prin orientarea acestui interes spre cele mai noi tehnologii efectul în economia regională se va maximiza. În raportul An analysis of drivers, barriers and readiness factors of EU companies for adopting advanced manufacturing products and technologies, un grup de lucru condus de Institutul Fraunhofer a conceput o listă a principalelor tehnologii: Tehnologii de Manufacturare de Înaltă Performanță, Tehnologii cu suport IT, Tehnologii de manufacturare sustenabilă. Este evident faptul că orientarea investițiilor în modernizarea industrială a IMM-urilor din Regiune nu se poate referi doar la aceste</w:t>
            </w:r>
            <w:r>
              <w:rPr>
                <w:rFonts w:ascii="Times New Roman" w:eastAsia="Times New Roman" w:hAnsi="Times New Roman" w:cs="Times New Roman"/>
                <w:bCs/>
                <w:i/>
                <w:noProof/>
                <w:sz w:val="20"/>
                <w:szCs w:val="20"/>
                <w:lang w:val="en-US"/>
              </w:rPr>
              <w:t>a</w:t>
            </w:r>
            <w:r w:rsidRPr="00615B6C">
              <w:rPr>
                <w:rFonts w:ascii="Times New Roman" w:eastAsia="Times New Roman" w:hAnsi="Times New Roman" w:cs="Times New Roman"/>
                <w:bCs/>
                <w:i/>
                <w:noProof/>
                <w:sz w:val="20"/>
                <w:szCs w:val="20"/>
                <w:lang w:val="en-US"/>
              </w:rPr>
              <w:t>, însă țintirea celor mai avansate echipamente și tehnologii este un obiectiv legitim, fără a exclude de la finanțare tehnologiile mature, dar care au capacitatea de a susține progresul tehnologic al utilizatorilor</w:t>
            </w:r>
            <w:r>
              <w:rPr>
                <w:rFonts w:ascii="Times New Roman" w:eastAsia="Times New Roman" w:hAnsi="Times New Roman" w:cs="Times New Roman"/>
                <w:bCs/>
                <w:i/>
                <w:noProof/>
                <w:sz w:val="20"/>
                <w:szCs w:val="20"/>
                <w:lang w:val="en-US"/>
              </w:rPr>
              <w:t xml:space="preserve"> și inovarea în sens larg</w:t>
            </w:r>
            <w:r w:rsidRPr="00615B6C">
              <w:rPr>
                <w:rFonts w:ascii="Times New Roman" w:eastAsia="Times New Roman" w:hAnsi="Times New Roman" w:cs="Times New Roman"/>
                <w:bCs/>
                <w:i/>
                <w:noProof/>
                <w:sz w:val="20"/>
                <w:szCs w:val="20"/>
                <w:lang w:val="en-US"/>
              </w:rPr>
              <w:t xml:space="preserve">. Sunt vizate aici facilitarea investițiilor tehnologice în IMM-uri, inclusiv tehnologii IT&amp;C, IoT, automatizare, robotică, inteligență artificială, customizare de masă, linii pilot, testare prototipuri, certificare produse/ servicii, instruire pentru angajați – în sectoarele de specializare inteligentă, Tehnici avansate de manufacturare - investiții în active corporale și necorporale în legătură cu modernizarea industrială pentru sectoarele de specializare inteligentă, investiții în active corporale și necorporale în microîntreprinderi și IMM-uri, inclusiv scale-up. Facilitarea modernizării industriale a IMM </w:t>
            </w:r>
            <w:r>
              <w:rPr>
                <w:rFonts w:ascii="Times New Roman" w:eastAsia="Times New Roman" w:hAnsi="Times New Roman" w:cs="Times New Roman"/>
                <w:bCs/>
                <w:i/>
                <w:noProof/>
                <w:sz w:val="20"/>
                <w:szCs w:val="20"/>
                <w:lang w:val="en-US"/>
              </w:rPr>
              <w:t>v</w:t>
            </w:r>
            <w:r w:rsidRPr="00615B6C">
              <w:rPr>
                <w:rFonts w:ascii="Times New Roman" w:eastAsia="Times New Roman" w:hAnsi="Times New Roman" w:cs="Times New Roman"/>
                <w:bCs/>
                <w:i/>
                <w:noProof/>
                <w:sz w:val="20"/>
                <w:szCs w:val="20"/>
                <w:lang w:val="en-US"/>
              </w:rPr>
              <w:t xml:space="preserve">a fi realizată și prin susținerea dezvoltării parcurilor industriale de tip smart (în domeniile de specializare inteligentă). Aceste structuri favorizează o concentrare economică sectorială în care companii mari colaborează pe lanțurile de furnizori cu IMM, intermediind inclusiv un transfer de cunoaștere pe lanțul valoric.  </w:t>
            </w:r>
          </w:p>
          <w:p w:rsidR="005C75DF" w:rsidRPr="00615B6C" w:rsidRDefault="005C75DF" w:rsidP="005C75DF">
            <w:pPr>
              <w:spacing w:after="0" w:line="240" w:lineRule="auto"/>
              <w:jc w:val="both"/>
              <w:rPr>
                <w:rFonts w:ascii="Times New Roman" w:eastAsia="Times New Roman" w:hAnsi="Times New Roman" w:cs="Times New Roman"/>
                <w:bCs/>
                <w:i/>
                <w:noProof/>
                <w:sz w:val="20"/>
                <w:szCs w:val="20"/>
                <w:lang w:val="en-US"/>
              </w:rPr>
            </w:pPr>
            <w:r w:rsidRPr="00615B6C">
              <w:rPr>
                <w:rFonts w:ascii="Times New Roman" w:eastAsia="Times New Roman" w:hAnsi="Times New Roman" w:cs="Times New Roman"/>
                <w:bCs/>
                <w:i/>
                <w:noProof/>
                <w:sz w:val="20"/>
                <w:szCs w:val="20"/>
                <w:lang w:val="en-US"/>
              </w:rPr>
              <w:t xml:space="preserve">In ce priiveste intervențiile privind economia circulară, stadiul actual de dezvoltare a pieței defavorizează aceste </w:t>
            </w:r>
            <w:r w:rsidRPr="00615B6C">
              <w:rPr>
                <w:rFonts w:ascii="Times New Roman" w:eastAsia="Times New Roman" w:hAnsi="Times New Roman" w:cs="Times New Roman"/>
                <w:bCs/>
                <w:i/>
                <w:noProof/>
                <w:sz w:val="20"/>
                <w:szCs w:val="20"/>
                <w:lang w:val="en-US"/>
              </w:rPr>
              <w:lastRenderedPageBreak/>
              <w:t>abordări atât prin prisma unor indicatori economici clasici (ex. rentabilitatea capitalului, rata profitului), cât și prin prisma unor pre-rechizite necesare în ecosistemul de consum, mai ales (utilizatori ai produselor re-manufacturate, reprezentarea teritorială a elementelor de lanț de valoare). Temele de economie circulară s-au generat din analiza rezultatelor întâlnirilor de descoperire antreprenorială (EDP) desfășurate în 2016 în pregătirea celei de a doua versiuni a RIS 3 Centru şi a Concept Note şi au fost validate în seria de întâlniri de descoperire antreprenorială desfășurate în 2018-2019. În portofoliul de proiecte regionale se regăsesc momentan 15 proiecte care se pot încadra în tematica Economie circulară, Economie colaborativă, Lanțuri de valoare locale. Sunt vizate aici Investiții în economia circulară, Design responsabil al produselor, Soluții de economie colaborativă în IMM-uri și alte organizații, susținerea proceselor de re- și de-manufacturing, crearea de lanțuri de valoare locale.</w:t>
            </w:r>
          </w:p>
          <w:p w:rsidR="005C75DF" w:rsidRPr="00615B6C" w:rsidRDefault="005C75DF" w:rsidP="005C75DF">
            <w:pPr>
              <w:spacing w:after="0" w:line="240" w:lineRule="auto"/>
              <w:jc w:val="both"/>
              <w:rPr>
                <w:rFonts w:ascii="Times New Roman" w:eastAsia="Times New Roman" w:hAnsi="Times New Roman" w:cs="Times New Roman"/>
                <w:i/>
                <w:noProof/>
                <w:sz w:val="20"/>
                <w:szCs w:val="20"/>
                <w:lang w:val="en-US"/>
              </w:rPr>
            </w:pPr>
          </w:p>
          <w:p w:rsidR="005C75DF" w:rsidRPr="00615B6C" w:rsidRDefault="005C75DF" w:rsidP="005C75DF">
            <w:pPr>
              <w:spacing w:after="0" w:line="240" w:lineRule="auto"/>
              <w:jc w:val="both"/>
              <w:rPr>
                <w:rFonts w:ascii="Times New Roman" w:eastAsia="Times New Roman" w:hAnsi="Times New Roman" w:cs="Times New Roman"/>
                <w:bCs/>
                <w:i/>
                <w:noProof/>
                <w:sz w:val="20"/>
                <w:szCs w:val="20"/>
                <w:lang w:val="en-US"/>
              </w:rPr>
            </w:pPr>
            <w:r w:rsidRPr="00615B6C">
              <w:rPr>
                <w:rFonts w:ascii="Times New Roman" w:eastAsia="Times New Roman" w:hAnsi="Times New Roman" w:cs="Times New Roman"/>
                <w:bCs/>
                <w:i/>
                <w:noProof/>
                <w:sz w:val="20"/>
                <w:szCs w:val="20"/>
                <w:lang w:val="en-US"/>
              </w:rPr>
              <w:t>Prin intervențiile prevăzute vizăm următoarele efecte în economia regională: Modernizarea industrială a IMM, respectiv accelerarea preluării tehnicilor avansate de manufacturare; Creșterea nivelului de robotizare, atât în sectorul productiv cât și în sectorul de servicii; Favorizarea valorificării resurselor prin măsuri de economie circulară</w:t>
            </w:r>
            <w:r>
              <w:rPr>
                <w:rFonts w:ascii="Times New Roman" w:eastAsia="Times New Roman" w:hAnsi="Times New Roman" w:cs="Times New Roman"/>
                <w:bCs/>
                <w:i/>
                <w:noProof/>
                <w:sz w:val="20"/>
                <w:szCs w:val="20"/>
                <w:lang w:val="en-US"/>
              </w:rPr>
              <w:t>, facilitarea inovării în IMM.</w:t>
            </w:r>
            <w:r w:rsidRPr="00615B6C">
              <w:rPr>
                <w:rFonts w:ascii="Times New Roman" w:eastAsia="Times New Roman" w:hAnsi="Times New Roman" w:cs="Times New Roman"/>
                <w:bCs/>
                <w:i/>
                <w:noProof/>
                <w:sz w:val="20"/>
                <w:szCs w:val="20"/>
                <w:lang w:val="en-US"/>
              </w:rPr>
              <w:t xml:space="preserve"> </w:t>
            </w:r>
          </w:p>
          <w:p w:rsidR="005C75DF" w:rsidRPr="00615B6C" w:rsidRDefault="005C75DF" w:rsidP="005C75DF">
            <w:pPr>
              <w:spacing w:after="0" w:line="240" w:lineRule="auto"/>
              <w:jc w:val="both"/>
              <w:rPr>
                <w:rFonts w:ascii="Times New Roman" w:eastAsia="Times New Roman" w:hAnsi="Times New Roman" w:cs="Times New Roman"/>
                <w:bCs/>
                <w:i/>
                <w:noProof/>
                <w:sz w:val="20"/>
                <w:szCs w:val="20"/>
                <w:lang w:val="en-US"/>
              </w:rPr>
            </w:pPr>
          </w:p>
          <w:p w:rsidR="005C75DF" w:rsidRPr="00615B6C" w:rsidRDefault="005C75DF" w:rsidP="005C75DF">
            <w:pPr>
              <w:spacing w:after="0" w:line="240" w:lineRule="auto"/>
              <w:jc w:val="both"/>
              <w:rPr>
                <w:rFonts w:ascii="Times New Roman" w:eastAsia="Times New Roman" w:hAnsi="Times New Roman" w:cs="Times New Roman"/>
                <w:i/>
                <w:noProof/>
                <w:sz w:val="20"/>
                <w:szCs w:val="20"/>
                <w:lang w:val="en-US"/>
              </w:rPr>
            </w:pPr>
            <w:r w:rsidRPr="00615B6C">
              <w:rPr>
                <w:rFonts w:ascii="Times New Roman" w:eastAsia="Times New Roman" w:hAnsi="Times New Roman" w:cs="Times New Roman"/>
                <w:bCs/>
                <w:i/>
                <w:noProof/>
                <w:sz w:val="20"/>
                <w:szCs w:val="20"/>
                <w:lang w:val="en-US"/>
              </w:rPr>
              <w:t xml:space="preserve">Actiunile prevzute </w:t>
            </w:r>
            <w:r w:rsidRPr="00615B6C">
              <w:rPr>
                <w:rFonts w:ascii="Times New Roman" w:eastAsia="Times New Roman" w:hAnsi="Times New Roman" w:cs="Times New Roman"/>
                <w:i/>
                <w:noProof/>
                <w:sz w:val="20"/>
                <w:szCs w:val="20"/>
                <w:lang w:val="en-US"/>
              </w:rPr>
              <w:t>ca intervenții pentru acest obiectiv specific sunt:</w:t>
            </w:r>
          </w:p>
          <w:p w:rsidR="005C75DF" w:rsidRPr="00615B6C" w:rsidRDefault="005C75DF" w:rsidP="005C75DF">
            <w:pPr>
              <w:pStyle w:val="Listparagraf"/>
              <w:numPr>
                <w:ilvl w:val="0"/>
                <w:numId w:val="70"/>
              </w:numPr>
              <w:spacing w:after="0" w:line="240" w:lineRule="auto"/>
              <w:jc w:val="both"/>
              <w:rPr>
                <w:rFonts w:eastAsia="Times New Roman"/>
                <w:i/>
                <w:noProof/>
                <w:sz w:val="20"/>
                <w:szCs w:val="20"/>
                <w:lang w:val="en-US"/>
              </w:rPr>
            </w:pPr>
            <w:r w:rsidRPr="00615B6C">
              <w:rPr>
                <w:rFonts w:eastAsia="Times New Roman"/>
                <w:bCs/>
                <w:i/>
                <w:noProof/>
                <w:sz w:val="20"/>
                <w:szCs w:val="20"/>
                <w:lang w:val="en-US"/>
              </w:rPr>
              <w:t>facilitarea investițiilor tehnologice în IMM-uri, inclusiv IoT, automatizare, robotică, inteligență artificiala, customizare de masă, linii pilot, testare prototipuri, certificare produse / servicii, instruire pentru angajați – în sectoarele de specializare inteligentă</w:t>
            </w:r>
          </w:p>
          <w:p w:rsidR="005C75DF" w:rsidRPr="00615B6C" w:rsidRDefault="005C75DF" w:rsidP="005C75DF">
            <w:pPr>
              <w:pStyle w:val="Listparagraf"/>
              <w:numPr>
                <w:ilvl w:val="0"/>
                <w:numId w:val="70"/>
              </w:numPr>
              <w:spacing w:after="0" w:line="240" w:lineRule="auto"/>
              <w:jc w:val="both"/>
              <w:rPr>
                <w:rFonts w:eastAsia="Times New Roman"/>
                <w:i/>
                <w:noProof/>
                <w:sz w:val="20"/>
                <w:szCs w:val="20"/>
                <w:lang w:val="en-US"/>
              </w:rPr>
            </w:pPr>
            <w:r w:rsidRPr="00615B6C">
              <w:rPr>
                <w:rFonts w:eastAsia="Times New Roman"/>
                <w:bCs/>
                <w:i/>
                <w:noProof/>
                <w:sz w:val="20"/>
                <w:szCs w:val="20"/>
                <w:lang w:val="en-US"/>
              </w:rPr>
              <w:t>Tehnici avansate de manufacturare - investiții in active corporale si necorporale in legătura cu modernizarea industriala pentru sectoarele de specializare inteligenta</w:t>
            </w:r>
          </w:p>
          <w:p w:rsidR="005C75DF" w:rsidRPr="00615B6C" w:rsidRDefault="005C75DF" w:rsidP="005C75DF">
            <w:pPr>
              <w:pStyle w:val="Listparagraf"/>
              <w:numPr>
                <w:ilvl w:val="0"/>
                <w:numId w:val="70"/>
              </w:numPr>
              <w:spacing w:after="0" w:line="240" w:lineRule="auto"/>
              <w:jc w:val="both"/>
              <w:rPr>
                <w:rFonts w:eastAsia="Times New Roman"/>
                <w:i/>
                <w:noProof/>
                <w:sz w:val="20"/>
                <w:szCs w:val="20"/>
                <w:lang w:val="en-US"/>
              </w:rPr>
            </w:pPr>
            <w:r w:rsidRPr="00615B6C">
              <w:rPr>
                <w:rFonts w:eastAsia="Times New Roman"/>
                <w:bCs/>
                <w:i/>
                <w:noProof/>
                <w:sz w:val="20"/>
                <w:szCs w:val="20"/>
                <w:lang w:val="en-US"/>
              </w:rPr>
              <w:t>investiții în active corporale și necorporale în microîntreprinderi si IMM-uri, inclusiv scale-up</w:t>
            </w:r>
          </w:p>
          <w:p w:rsidR="005C75DF" w:rsidRPr="00615B6C" w:rsidRDefault="005C75DF" w:rsidP="005C75DF">
            <w:pPr>
              <w:pStyle w:val="Listparagraf"/>
              <w:numPr>
                <w:ilvl w:val="0"/>
                <w:numId w:val="70"/>
              </w:numPr>
              <w:spacing w:after="0" w:line="240" w:lineRule="auto"/>
              <w:jc w:val="both"/>
              <w:rPr>
                <w:rFonts w:eastAsia="Times New Roman"/>
                <w:i/>
                <w:noProof/>
                <w:sz w:val="20"/>
                <w:szCs w:val="20"/>
                <w:lang w:val="en-US"/>
              </w:rPr>
            </w:pPr>
            <w:r w:rsidRPr="00615B6C">
              <w:rPr>
                <w:rFonts w:eastAsia="Times New Roman"/>
                <w:bCs/>
                <w:i/>
                <w:noProof/>
                <w:sz w:val="20"/>
                <w:szCs w:val="20"/>
                <w:lang w:val="en-US"/>
              </w:rPr>
              <w:t>Design responsabil al produselor</w:t>
            </w:r>
          </w:p>
          <w:p w:rsidR="005C75DF" w:rsidRPr="00615B6C" w:rsidRDefault="005C75DF" w:rsidP="005C75DF">
            <w:pPr>
              <w:pStyle w:val="Listparagraf"/>
              <w:numPr>
                <w:ilvl w:val="0"/>
                <w:numId w:val="70"/>
              </w:numPr>
              <w:spacing w:after="0" w:line="240" w:lineRule="auto"/>
              <w:jc w:val="both"/>
              <w:rPr>
                <w:rFonts w:eastAsia="Times New Roman"/>
                <w:i/>
                <w:noProof/>
                <w:sz w:val="20"/>
                <w:szCs w:val="20"/>
                <w:lang w:val="en-US"/>
              </w:rPr>
            </w:pPr>
            <w:r w:rsidRPr="00615B6C">
              <w:rPr>
                <w:rFonts w:eastAsia="Times New Roman"/>
                <w:bCs/>
                <w:i/>
                <w:noProof/>
                <w:sz w:val="20"/>
                <w:szCs w:val="20"/>
                <w:lang w:val="en-US"/>
              </w:rPr>
              <w:t>Solutii de economie colaborativa in IMM si alte organizatii</w:t>
            </w:r>
          </w:p>
          <w:p w:rsidR="005C75DF" w:rsidRPr="00615B6C" w:rsidRDefault="005C75DF" w:rsidP="005C75DF">
            <w:pPr>
              <w:pStyle w:val="Listparagraf"/>
              <w:numPr>
                <w:ilvl w:val="0"/>
                <w:numId w:val="70"/>
              </w:numPr>
              <w:spacing w:after="0" w:line="240" w:lineRule="auto"/>
              <w:jc w:val="both"/>
              <w:rPr>
                <w:rFonts w:eastAsia="Times New Roman"/>
                <w:i/>
                <w:noProof/>
                <w:sz w:val="20"/>
                <w:szCs w:val="20"/>
                <w:lang w:val="en-US"/>
              </w:rPr>
            </w:pPr>
            <w:r w:rsidRPr="00615B6C">
              <w:rPr>
                <w:rFonts w:eastAsia="Times New Roman"/>
                <w:bCs/>
                <w:i/>
                <w:noProof/>
                <w:sz w:val="20"/>
                <w:szCs w:val="20"/>
                <w:lang w:val="en-US"/>
              </w:rPr>
              <w:t>sustinerea proceselor de re- si de-manufacturing</w:t>
            </w:r>
          </w:p>
          <w:p w:rsidR="005C75DF" w:rsidRPr="00615B6C" w:rsidRDefault="005C75DF" w:rsidP="005C75DF">
            <w:pPr>
              <w:pStyle w:val="Listparagraf"/>
              <w:numPr>
                <w:ilvl w:val="0"/>
                <w:numId w:val="70"/>
              </w:numPr>
              <w:spacing w:after="0" w:line="240" w:lineRule="auto"/>
              <w:jc w:val="both"/>
              <w:rPr>
                <w:rFonts w:eastAsia="Times New Roman"/>
                <w:i/>
                <w:noProof/>
                <w:sz w:val="20"/>
                <w:szCs w:val="20"/>
                <w:lang w:val="en-US"/>
              </w:rPr>
            </w:pPr>
            <w:r w:rsidRPr="00615B6C">
              <w:rPr>
                <w:rFonts w:eastAsia="Times New Roman"/>
                <w:bCs/>
                <w:i/>
                <w:noProof/>
                <w:sz w:val="20"/>
                <w:szCs w:val="20"/>
                <w:lang w:val="en-US"/>
              </w:rPr>
              <w:t>crearea de lanturi de valoare locale</w:t>
            </w:r>
          </w:p>
          <w:p w:rsidR="005C75DF" w:rsidRPr="00615B6C" w:rsidRDefault="005C75DF" w:rsidP="005C75DF">
            <w:pPr>
              <w:pStyle w:val="Listparagraf"/>
              <w:numPr>
                <w:ilvl w:val="0"/>
                <w:numId w:val="70"/>
              </w:numPr>
              <w:spacing w:after="0" w:line="240" w:lineRule="auto"/>
              <w:jc w:val="both"/>
              <w:rPr>
                <w:rFonts w:eastAsia="Times New Roman"/>
                <w:i/>
                <w:noProof/>
                <w:sz w:val="20"/>
                <w:szCs w:val="20"/>
                <w:lang w:val="en-US"/>
              </w:rPr>
            </w:pPr>
            <w:r w:rsidRPr="00615B6C">
              <w:rPr>
                <w:rFonts w:eastAsia="Times New Roman"/>
                <w:bCs/>
                <w:i/>
                <w:noProof/>
                <w:sz w:val="20"/>
                <w:szCs w:val="20"/>
                <w:lang w:val="en-US"/>
              </w:rPr>
              <w:t>structuri de sprijin pentru IMM (incubatoare, acceleratoare, parcuri industriale, clustere)</w:t>
            </w:r>
          </w:p>
          <w:p w:rsidR="005C75DF" w:rsidRPr="00615B6C" w:rsidRDefault="005C75DF" w:rsidP="005C75DF">
            <w:pPr>
              <w:spacing w:after="0" w:line="240" w:lineRule="auto"/>
              <w:jc w:val="both"/>
              <w:rPr>
                <w:rFonts w:ascii="Times New Roman" w:eastAsia="Times New Roman" w:hAnsi="Times New Roman" w:cs="Times New Roman"/>
                <w:bCs/>
                <w:i/>
                <w:noProof/>
                <w:sz w:val="20"/>
                <w:szCs w:val="20"/>
                <w:lang w:val="en-US"/>
              </w:rPr>
            </w:pPr>
          </w:p>
          <w:p w:rsidR="00351E4A" w:rsidRPr="006C03CE" w:rsidRDefault="005C75DF" w:rsidP="005C75DF">
            <w:pPr>
              <w:spacing w:after="0" w:line="240" w:lineRule="auto"/>
              <w:jc w:val="both"/>
              <w:rPr>
                <w:rFonts w:ascii="Times New Roman" w:eastAsia="Times New Roman" w:hAnsi="Times New Roman" w:cs="Times New Roman"/>
                <w:i/>
                <w:noProof/>
                <w:color w:val="FF0000"/>
                <w:sz w:val="20"/>
                <w:szCs w:val="20"/>
                <w:lang w:val="en-US"/>
              </w:rPr>
            </w:pPr>
            <w:r w:rsidRPr="00615B6C">
              <w:rPr>
                <w:rFonts w:ascii="Times New Roman" w:eastAsia="Times New Roman" w:hAnsi="Times New Roman" w:cs="Times New Roman"/>
                <w:i/>
                <w:noProof/>
                <w:sz w:val="20"/>
                <w:szCs w:val="20"/>
                <w:lang w:val="en-US"/>
              </w:rPr>
              <w:t xml:space="preserve">Mecanismele de intervenție cuprind ajutoare regionale, de stat și de minimis, care vor putea fi accesate direct sau indirect (sub forma de vouchere de acces la servicii de sprijin). Accesul este condiționat de participarea la competiții de proiecte pentru care se va utiliza mecansimul de apel competitiv cu termen limită. Pentru voucher-e este permisă utilizarea mecansimului de delegare a gestionării. </w:t>
            </w:r>
            <w:r>
              <w:rPr>
                <w:rFonts w:ascii="Times New Roman" w:eastAsia="Times New Roman" w:hAnsi="Times New Roman" w:cs="Times New Roman"/>
                <w:i/>
                <w:noProof/>
                <w:sz w:val="20"/>
                <w:szCs w:val="20"/>
                <w:lang w:val="en-US"/>
              </w:rPr>
              <w:t>În cazul incubatoarelor și acceleratoarelor, vor fi prevăzute fonduri pentru scheme de granturi adresate start-up-urilor rezidente în cadrul unor intervenții specifice destinate creșterii rezilienței și maturizării accelerate.</w:t>
            </w:r>
          </w:p>
          <w:p w:rsidR="00F8597A" w:rsidRPr="006C03CE" w:rsidRDefault="00F8597A" w:rsidP="0002745C">
            <w:pPr>
              <w:spacing w:after="0" w:line="240" w:lineRule="auto"/>
              <w:jc w:val="both"/>
              <w:rPr>
                <w:rFonts w:ascii="Times New Roman" w:eastAsia="Times New Roman" w:hAnsi="Times New Roman" w:cs="Times New Roman"/>
                <w:i/>
                <w:noProof/>
                <w:color w:val="FF0000"/>
                <w:sz w:val="20"/>
                <w:szCs w:val="20"/>
                <w:lang w:val="en-US"/>
              </w:rPr>
            </w:pPr>
            <w:bookmarkStart w:id="11" w:name="_Hlk40270425"/>
            <w:r w:rsidRPr="00615B6C">
              <w:rPr>
                <w:rFonts w:ascii="Times New Roman" w:eastAsia="Times New Roman" w:hAnsi="Times New Roman" w:cs="Times New Roman"/>
                <w:i/>
                <w:noProof/>
                <w:sz w:val="20"/>
                <w:szCs w:val="20"/>
                <w:lang w:val="en-US"/>
              </w:rPr>
              <w:t xml:space="preserve"> </w:t>
            </w:r>
          </w:p>
          <w:bookmarkEnd w:id="11"/>
          <w:p w:rsidR="00F8597A" w:rsidRPr="0022053B" w:rsidRDefault="00F8597A" w:rsidP="0002745C">
            <w:pPr>
              <w:spacing w:after="0" w:line="240" w:lineRule="auto"/>
              <w:jc w:val="both"/>
              <w:rPr>
                <w:rFonts w:eastAsia="Times New Roman"/>
                <w:i/>
                <w:noProof/>
                <w:szCs w:val="24"/>
                <w:lang w:val="en-US"/>
              </w:rPr>
            </w:pPr>
          </w:p>
        </w:tc>
      </w:tr>
    </w:tbl>
    <w:p w:rsidR="00F8597A" w:rsidRPr="002E744B" w:rsidRDefault="00F8597A" w:rsidP="00F8597A">
      <w:pPr>
        <w:spacing w:before="120" w:after="120" w:line="360" w:lineRule="auto"/>
        <w:rPr>
          <w:rFonts w:ascii="Times New Roman" w:eastAsia="Times New Roman" w:hAnsi="Times New Roman" w:cs="Times New Roman"/>
          <w:b/>
          <w:i/>
          <w:iCs/>
          <w:noProof/>
          <w:sz w:val="24"/>
          <w:szCs w:val="24"/>
          <w:lang w:val="en-GB"/>
        </w:rPr>
      </w:pPr>
      <w:r w:rsidRPr="002E744B">
        <w:rPr>
          <w:rFonts w:ascii="Times New Roman" w:eastAsia="Times New Roman" w:hAnsi="Times New Roman" w:cs="Times New Roman"/>
          <w:i/>
          <w:noProof/>
          <w:sz w:val="24"/>
          <w:szCs w:val="24"/>
          <w:lang w:val="en-GB"/>
        </w:rPr>
        <w:lastRenderedPageBreak/>
        <w:t>The main target gr</w:t>
      </w:r>
      <w:bookmarkEnd w:id="10"/>
      <w:r w:rsidRPr="002E744B">
        <w:rPr>
          <w:rFonts w:ascii="Times New Roman" w:eastAsia="Times New Roman" w:hAnsi="Times New Roman" w:cs="Times New Roman"/>
          <w:i/>
          <w:noProof/>
          <w:sz w:val="24"/>
          <w:szCs w:val="24"/>
          <w:lang w:val="en-GB"/>
        </w:rPr>
        <w:t>oups - Article 17(3)(d)(iii):</w:t>
      </w:r>
    </w:p>
    <w:p w:rsidR="00F8597A" w:rsidRDefault="00F8597A" w:rsidP="00F8597A">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iCs/>
          <w:noProof/>
          <w:sz w:val="24"/>
          <w:szCs w:val="24"/>
          <w:lang w:val="en-GB"/>
        </w:rPr>
      </w:pPr>
      <w:r w:rsidRPr="002E744B">
        <w:rPr>
          <w:rFonts w:ascii="Times New Roman" w:eastAsia="Times New Roman" w:hAnsi="Times New Roman" w:cs="Times New Roman"/>
          <w:i/>
          <w:iCs/>
          <w:noProof/>
          <w:sz w:val="24"/>
          <w:szCs w:val="24"/>
          <w:lang w:val="en-GB"/>
        </w:rPr>
        <w:t>Text field [1 000]</w:t>
      </w:r>
    </w:p>
    <w:p w:rsidR="00F8597A" w:rsidRDefault="00F8597A" w:rsidP="00F8597A">
      <w:pPr>
        <w:pBdr>
          <w:top w:val="single" w:sz="4" w:space="1" w:color="auto"/>
          <w:left w:val="single" w:sz="4" w:space="4" w:color="auto"/>
          <w:bottom w:val="single" w:sz="4" w:space="1" w:color="auto"/>
          <w:right w:val="single" w:sz="4" w:space="4" w:color="auto"/>
        </w:pBdr>
        <w:spacing w:before="120" w:after="120" w:line="240" w:lineRule="auto"/>
        <w:jc w:val="both"/>
        <w:rPr>
          <w:rFonts w:eastAsia="Times New Roman" w:cstheme="minorHAnsi"/>
          <w:i/>
          <w:iCs/>
          <w:noProof/>
          <w:lang w:val="en-GB"/>
        </w:rPr>
      </w:pPr>
      <w:bookmarkStart w:id="12" w:name="_Hlk38879659"/>
      <w:r w:rsidRPr="008C7221">
        <w:rPr>
          <w:rFonts w:eastAsia="Times New Roman" w:cstheme="minorHAnsi"/>
          <w:i/>
          <w:iCs/>
          <w:noProof/>
          <w:lang w:val="en-GB"/>
        </w:rPr>
        <w:t>Principalul grup țintă este reprezentat de companii din Regiunea Centru – microîntrepr</w:t>
      </w:r>
      <w:r>
        <w:rPr>
          <w:rFonts w:eastAsia="Times New Roman" w:cstheme="minorHAnsi"/>
          <w:i/>
          <w:iCs/>
          <w:noProof/>
          <w:lang w:val="en-GB"/>
        </w:rPr>
        <w:t>i</w:t>
      </w:r>
      <w:r w:rsidRPr="008C7221">
        <w:rPr>
          <w:rFonts w:eastAsia="Times New Roman" w:cstheme="minorHAnsi"/>
          <w:i/>
          <w:iCs/>
          <w:noProof/>
          <w:lang w:val="en-GB"/>
        </w:rPr>
        <w:t>nderi, întreprinderi mici, întreprinderi mijlocii, la care se pot adăuga, în anumite cazuri, și întreprinderi mari (pentru operațiuni selectate sau în parteneriat cu IMM</w:t>
      </w:r>
      <w:r>
        <w:rPr>
          <w:rFonts w:eastAsia="Times New Roman" w:cstheme="minorHAnsi"/>
          <w:i/>
          <w:iCs/>
          <w:noProof/>
          <w:lang w:val="en-GB"/>
        </w:rPr>
        <w:t>-uri</w:t>
      </w:r>
      <w:r w:rsidRPr="008C7221">
        <w:rPr>
          <w:rFonts w:eastAsia="Times New Roman" w:cstheme="minorHAnsi"/>
          <w:i/>
          <w:iCs/>
          <w:noProof/>
          <w:lang w:val="en-GB"/>
        </w:rPr>
        <w:t>)</w:t>
      </w:r>
      <w:r>
        <w:rPr>
          <w:rFonts w:eastAsia="Times New Roman" w:cstheme="minorHAnsi"/>
          <w:i/>
          <w:iCs/>
          <w:noProof/>
          <w:lang w:val="en-GB"/>
        </w:rPr>
        <w:t>. La aceastea se adaugă cluster-e și ONG-uru (în special pentru componenta de economie circulară)</w:t>
      </w:r>
    </w:p>
    <w:p w:rsidR="00F8597A" w:rsidRDefault="00F8597A" w:rsidP="00F8597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i/>
          <w:iCs/>
          <w:noProof/>
          <w:sz w:val="24"/>
          <w:szCs w:val="24"/>
          <w:lang w:val="en-GB"/>
        </w:rPr>
      </w:pPr>
      <w:r>
        <w:rPr>
          <w:rFonts w:eastAsia="Times New Roman" w:cstheme="minorHAnsi"/>
          <w:i/>
          <w:iCs/>
          <w:noProof/>
          <w:lang w:val="en-GB"/>
        </w:rPr>
        <w:t xml:space="preserve">În subsidiar, un grup țintă suplimentar este reprezentat de angajații companiilor susținute, în cazul în care proiectele sau operațiunile prevăd instruiri pentru angajați în noile tehnologii. </w:t>
      </w:r>
      <w:bookmarkEnd w:id="12"/>
    </w:p>
    <w:p w:rsidR="00F8597A" w:rsidRPr="002E744B" w:rsidRDefault="00F8597A" w:rsidP="00F8597A">
      <w:pPr>
        <w:spacing w:before="120" w:after="120" w:line="360" w:lineRule="auto"/>
        <w:rPr>
          <w:rFonts w:ascii="Times New Roman" w:eastAsia="Times New Roman" w:hAnsi="Times New Roman" w:cs="Times New Roman"/>
          <w:i/>
          <w:noProof/>
          <w:sz w:val="24"/>
          <w:szCs w:val="24"/>
          <w:lang w:val="en-GB"/>
        </w:rPr>
      </w:pPr>
      <w:r w:rsidRPr="002E744B">
        <w:rPr>
          <w:rFonts w:ascii="Times New Roman" w:eastAsia="Times New Roman" w:hAnsi="Times New Roman" w:cs="Times New Roman"/>
          <w:i/>
          <w:noProof/>
          <w:sz w:val="24"/>
          <w:szCs w:val="24"/>
          <w:lang w:val="en-GB"/>
        </w:rPr>
        <w:t>Specific territories tageted, including the planned use of territorial tools – Article 17(3)(d)(iv)</w:t>
      </w:r>
    </w:p>
    <w:p w:rsidR="00F8597A" w:rsidRDefault="00F8597A" w:rsidP="00F8597A">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iCs/>
          <w:noProof/>
          <w:sz w:val="24"/>
          <w:szCs w:val="24"/>
          <w:lang w:val="en-GB"/>
        </w:rPr>
      </w:pPr>
      <w:r w:rsidRPr="002E744B">
        <w:rPr>
          <w:rFonts w:ascii="Times New Roman" w:eastAsia="Times New Roman" w:hAnsi="Times New Roman" w:cs="Times New Roman"/>
          <w:i/>
          <w:iCs/>
          <w:noProof/>
          <w:sz w:val="24"/>
          <w:szCs w:val="24"/>
          <w:lang w:val="en-GB"/>
        </w:rPr>
        <w:t>Text field [2 000]</w:t>
      </w:r>
    </w:p>
    <w:p w:rsidR="00F8597A" w:rsidRPr="00747594" w:rsidRDefault="00F8597A" w:rsidP="00F8597A">
      <w:pPr>
        <w:pBdr>
          <w:top w:val="single" w:sz="4" w:space="1" w:color="auto"/>
          <w:left w:val="single" w:sz="4" w:space="4" w:color="auto"/>
          <w:bottom w:val="single" w:sz="4" w:space="1" w:color="auto"/>
          <w:right w:val="single" w:sz="4" w:space="4" w:color="auto"/>
        </w:pBdr>
        <w:spacing w:before="120" w:after="120" w:line="240" w:lineRule="auto"/>
        <w:jc w:val="both"/>
        <w:rPr>
          <w:rFonts w:eastAsia="Times New Roman" w:cstheme="minorHAnsi"/>
          <w:i/>
          <w:iCs/>
          <w:noProof/>
          <w:lang w:val="en-GB"/>
        </w:rPr>
      </w:pPr>
      <w:bookmarkStart w:id="13" w:name="_Hlk38879721"/>
      <w:r w:rsidRPr="00747594">
        <w:rPr>
          <w:rFonts w:eastAsia="Times New Roman" w:cstheme="minorHAnsi"/>
          <w:i/>
          <w:iCs/>
          <w:noProof/>
          <w:lang w:val="en-GB"/>
        </w:rPr>
        <w:t>Regiunea Centru, spațiul urban și rural.</w:t>
      </w:r>
    </w:p>
    <w:p w:rsidR="00F8597A" w:rsidRPr="00747594" w:rsidRDefault="00F8597A" w:rsidP="00F8597A">
      <w:pPr>
        <w:pBdr>
          <w:top w:val="single" w:sz="4" w:space="1" w:color="auto"/>
          <w:left w:val="single" w:sz="4" w:space="4" w:color="auto"/>
          <w:bottom w:val="single" w:sz="4" w:space="1" w:color="auto"/>
          <w:right w:val="single" w:sz="4" w:space="4" w:color="auto"/>
        </w:pBdr>
        <w:spacing w:before="120" w:after="120" w:line="240" w:lineRule="auto"/>
        <w:jc w:val="both"/>
        <w:rPr>
          <w:rFonts w:eastAsia="Times New Roman" w:cstheme="minorHAnsi"/>
          <w:i/>
          <w:noProof/>
          <w:lang w:val="en-GB"/>
        </w:rPr>
      </w:pPr>
      <w:r w:rsidRPr="00747594">
        <w:rPr>
          <w:rFonts w:eastAsia="Times New Roman" w:cstheme="minorHAnsi"/>
          <w:i/>
          <w:iCs/>
          <w:noProof/>
          <w:lang w:val="en-GB"/>
        </w:rPr>
        <w:t>Pentru spațiul rural va trebui avută în vedere evitarea suprapunerii cu obiectivele, acțiunile, măsurile, tipurile de beneficiari eligibili, activități</w:t>
      </w:r>
      <w:r>
        <w:rPr>
          <w:rFonts w:eastAsia="Times New Roman" w:cstheme="minorHAnsi"/>
          <w:i/>
          <w:iCs/>
          <w:noProof/>
          <w:lang w:val="en-GB"/>
        </w:rPr>
        <w:t>le</w:t>
      </w:r>
      <w:r w:rsidRPr="00747594">
        <w:rPr>
          <w:rFonts w:eastAsia="Times New Roman" w:cstheme="minorHAnsi"/>
          <w:i/>
          <w:iCs/>
          <w:noProof/>
          <w:lang w:val="en-GB"/>
        </w:rPr>
        <w:t xml:space="preserve"> și sectoare</w:t>
      </w:r>
      <w:r>
        <w:rPr>
          <w:rFonts w:eastAsia="Times New Roman" w:cstheme="minorHAnsi"/>
          <w:i/>
          <w:iCs/>
          <w:noProof/>
          <w:lang w:val="en-GB"/>
        </w:rPr>
        <w:t>le</w:t>
      </w:r>
      <w:r w:rsidRPr="00747594">
        <w:rPr>
          <w:rFonts w:eastAsia="Times New Roman" w:cstheme="minorHAnsi"/>
          <w:i/>
          <w:iCs/>
          <w:noProof/>
          <w:lang w:val="en-GB"/>
        </w:rPr>
        <w:t xml:space="preserve"> eligibile care vor fi incluse în viitorul program finanțat din FEADR</w:t>
      </w:r>
      <w:bookmarkEnd w:id="13"/>
      <w:r w:rsidRPr="00747594">
        <w:rPr>
          <w:rFonts w:eastAsia="Times New Roman" w:cstheme="minorHAnsi"/>
          <w:i/>
          <w:iCs/>
          <w:noProof/>
          <w:lang w:val="en-GB"/>
        </w:rPr>
        <w:t xml:space="preserve">. </w:t>
      </w:r>
    </w:p>
    <w:p w:rsidR="00F8597A" w:rsidRPr="002E744B" w:rsidRDefault="00F8597A" w:rsidP="00F8597A">
      <w:pPr>
        <w:spacing w:before="120" w:after="120" w:line="360" w:lineRule="auto"/>
        <w:rPr>
          <w:rFonts w:ascii="Times New Roman" w:eastAsia="Times New Roman" w:hAnsi="Times New Roman" w:cs="Times New Roman"/>
          <w:b/>
          <w:i/>
          <w:iCs/>
          <w:noProof/>
          <w:sz w:val="24"/>
          <w:szCs w:val="24"/>
          <w:lang w:val="en-GB"/>
        </w:rPr>
      </w:pPr>
      <w:r w:rsidRPr="002E744B">
        <w:rPr>
          <w:rFonts w:ascii="Times New Roman" w:eastAsia="Times New Roman" w:hAnsi="Times New Roman" w:cs="Times New Roman"/>
          <w:i/>
          <w:noProof/>
          <w:sz w:val="24"/>
          <w:szCs w:val="24"/>
          <w:lang w:val="en-GB"/>
        </w:rPr>
        <w:lastRenderedPageBreak/>
        <w:t>The interregional and transnational actions  –Article – 17(3)(d)(v)</w:t>
      </w:r>
    </w:p>
    <w:p w:rsidR="00F8597A" w:rsidRPr="004D0F1C" w:rsidRDefault="00F8597A" w:rsidP="00F8597A">
      <w:pPr>
        <w:pBdr>
          <w:top w:val="single" w:sz="4" w:space="1" w:color="auto"/>
          <w:left w:val="single" w:sz="4" w:space="4" w:color="auto"/>
          <w:bottom w:val="single" w:sz="4" w:space="1" w:color="auto"/>
          <w:right w:val="single" w:sz="4" w:space="4" w:color="auto"/>
        </w:pBdr>
        <w:spacing w:before="120" w:after="120" w:line="360" w:lineRule="auto"/>
        <w:jc w:val="both"/>
        <w:rPr>
          <w:rFonts w:eastAsia="Times New Roman" w:cstheme="minorHAnsi"/>
          <w:i/>
          <w:iCs/>
          <w:noProof/>
          <w:lang w:val="en-GB"/>
        </w:rPr>
      </w:pPr>
      <w:r w:rsidRPr="002E744B">
        <w:rPr>
          <w:rFonts w:ascii="Times New Roman" w:eastAsia="Times New Roman" w:hAnsi="Times New Roman" w:cs="Times New Roman"/>
          <w:i/>
          <w:iCs/>
          <w:noProof/>
          <w:sz w:val="24"/>
          <w:szCs w:val="24"/>
          <w:lang w:val="en-GB"/>
        </w:rPr>
        <w:t>Text field [2 000]</w:t>
      </w:r>
    </w:p>
    <w:p w:rsidR="00F8597A" w:rsidRPr="002E744B" w:rsidRDefault="00F8597A" w:rsidP="00F8597A">
      <w:pPr>
        <w:spacing w:before="120" w:after="120" w:line="360" w:lineRule="auto"/>
        <w:rPr>
          <w:rFonts w:ascii="Times New Roman" w:eastAsia="Times New Roman" w:hAnsi="Times New Roman" w:cs="Times New Roman"/>
          <w:b/>
          <w:i/>
          <w:iCs/>
          <w:noProof/>
          <w:sz w:val="24"/>
          <w:szCs w:val="24"/>
          <w:lang w:val="en-GB"/>
        </w:rPr>
      </w:pPr>
      <w:r w:rsidRPr="002E744B">
        <w:rPr>
          <w:rFonts w:ascii="Times New Roman" w:eastAsia="Times New Roman" w:hAnsi="Times New Roman" w:cs="Times New Roman"/>
          <w:i/>
          <w:noProof/>
          <w:sz w:val="24"/>
          <w:szCs w:val="24"/>
          <w:lang w:val="en-GB"/>
        </w:rPr>
        <w:t>The planned use of financial instruments – Article – 17(3)(d)(vi)</w:t>
      </w:r>
    </w:p>
    <w:p w:rsidR="00F8597A" w:rsidRDefault="00F8597A" w:rsidP="00F8597A">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iCs/>
          <w:noProof/>
          <w:sz w:val="24"/>
          <w:szCs w:val="24"/>
          <w:lang w:val="en-GB"/>
        </w:rPr>
      </w:pPr>
      <w:r w:rsidRPr="002E744B">
        <w:rPr>
          <w:rFonts w:ascii="Times New Roman" w:eastAsia="Times New Roman" w:hAnsi="Times New Roman" w:cs="Times New Roman"/>
          <w:i/>
          <w:iCs/>
          <w:noProof/>
          <w:sz w:val="24"/>
          <w:szCs w:val="24"/>
          <w:lang w:val="en-GB"/>
        </w:rPr>
        <w:t>Text field [1 000]</w:t>
      </w:r>
    </w:p>
    <w:p w:rsidR="00F8597A" w:rsidRDefault="00F8597A" w:rsidP="00F8597A">
      <w:pPr>
        <w:spacing w:before="120" w:after="120" w:line="240" w:lineRule="auto"/>
        <w:rPr>
          <w:rFonts w:ascii="Times New Roman" w:eastAsia="Times New Roman" w:hAnsi="Times New Roman" w:cs="Times New Roman"/>
          <w:b/>
          <w:iCs/>
          <w:noProof/>
          <w:sz w:val="24"/>
          <w:szCs w:val="24"/>
          <w:lang w:val="en-GB"/>
        </w:rPr>
      </w:pPr>
    </w:p>
    <w:p w:rsidR="00F8597A" w:rsidRDefault="00F8597A" w:rsidP="00F8597A">
      <w:pPr>
        <w:spacing w:before="240" w:after="240" w:line="360" w:lineRule="auto"/>
        <w:rPr>
          <w:rFonts w:ascii="Times New Roman" w:eastAsia="Times New Roman" w:hAnsi="Times New Roman" w:cs="Times New Roman"/>
          <w:b/>
          <w:iCs/>
          <w:noProof/>
          <w:sz w:val="24"/>
          <w:szCs w:val="24"/>
          <w:lang w:val="en-GB"/>
        </w:rPr>
      </w:pPr>
      <w:r w:rsidRPr="002E744B">
        <w:rPr>
          <w:rFonts w:ascii="Times New Roman" w:eastAsia="Times New Roman" w:hAnsi="Times New Roman" w:cs="Times New Roman"/>
          <w:b/>
          <w:iCs/>
          <w:noProof/>
          <w:sz w:val="24"/>
          <w:szCs w:val="24"/>
          <w:lang w:val="en-GB"/>
        </w:rPr>
        <w:t>2.A.3 Specific objective</w:t>
      </w:r>
      <w:r w:rsidRPr="002E744B">
        <w:rPr>
          <w:rFonts w:ascii="Times New Roman" w:eastAsia="Times New Roman" w:hAnsi="Times New Roman" w:cs="Times New Roman"/>
          <w:b/>
          <w:bCs/>
          <w:iCs/>
          <w:noProof/>
          <w:sz w:val="24"/>
          <w:szCs w:val="24"/>
          <w:vertAlign w:val="superscript"/>
          <w:lang w:val="en-GB"/>
        </w:rPr>
        <w:footnoteReference w:id="25"/>
      </w:r>
      <w:r w:rsidRPr="002E744B">
        <w:rPr>
          <w:rFonts w:ascii="Times New Roman" w:eastAsia="Times New Roman" w:hAnsi="Times New Roman" w:cs="Times New Roman"/>
          <w:b/>
          <w:iCs/>
          <w:noProof/>
          <w:sz w:val="24"/>
          <w:szCs w:val="24"/>
          <w:lang w:val="en-GB"/>
        </w:rPr>
        <w:t xml:space="preserve">  (Investment for Jobs and Growth goal) repeated for each selected specific objective for priorities other than technical assistance</w:t>
      </w:r>
    </w:p>
    <w:p w:rsidR="00F8597A" w:rsidRPr="00615B6C" w:rsidRDefault="00F8597A" w:rsidP="00F8597A">
      <w:pPr>
        <w:spacing w:after="0" w:line="240" w:lineRule="auto"/>
        <w:rPr>
          <w:rFonts w:ascii="Times New Roman" w:eastAsia="Times New Roman" w:hAnsi="Times New Roman" w:cs="Times New Roman"/>
          <w:b/>
          <w:iCs/>
          <w:noProof/>
          <w:sz w:val="24"/>
          <w:szCs w:val="24"/>
          <w:lang w:val="en-GB"/>
        </w:rPr>
      </w:pPr>
      <w:r w:rsidRPr="00615B6C">
        <w:rPr>
          <w:rFonts w:ascii="Times New Roman" w:eastAsia="Times New Roman" w:hAnsi="Times New Roman" w:cs="Times New Roman"/>
          <w:b/>
          <w:iCs/>
          <w:noProof/>
          <w:sz w:val="24"/>
          <w:szCs w:val="24"/>
          <w:lang w:val="en-GB"/>
        </w:rPr>
        <w:t>OS a (iv) Dezvoltarea competențelor pentru specializare inteligentă, tranziție industrială și antreprenoriat</w:t>
      </w:r>
    </w:p>
    <w:p w:rsidR="00F8597A" w:rsidRDefault="00F8597A" w:rsidP="00F8597A">
      <w:pPr>
        <w:spacing w:after="0" w:line="240" w:lineRule="auto"/>
        <w:rPr>
          <w:rFonts w:ascii="Times New Roman" w:eastAsia="Times New Roman" w:hAnsi="Times New Roman" w:cs="Times New Roman"/>
          <w:b/>
          <w:iCs/>
          <w:noProof/>
          <w:color w:val="FF0000"/>
          <w:sz w:val="24"/>
          <w:szCs w:val="24"/>
          <w:lang w:val="en-GB"/>
        </w:rPr>
      </w:pPr>
    </w:p>
    <w:p w:rsidR="00F8597A" w:rsidRPr="002E744B" w:rsidRDefault="00F8597A" w:rsidP="00F8597A">
      <w:pPr>
        <w:spacing w:after="0" w:line="240" w:lineRule="auto"/>
        <w:rPr>
          <w:rFonts w:ascii="Times New Roman" w:eastAsia="Times New Roman" w:hAnsi="Times New Roman" w:cs="Times New Roman"/>
          <w:b/>
          <w:iCs/>
          <w:noProof/>
          <w:sz w:val="24"/>
          <w:szCs w:val="24"/>
          <w:lang w:val="en-GB"/>
        </w:rPr>
      </w:pPr>
      <w:r w:rsidRPr="002E744B">
        <w:rPr>
          <w:rFonts w:ascii="Times New Roman" w:eastAsia="Times New Roman" w:hAnsi="Times New Roman" w:cs="Times New Roman"/>
          <w:b/>
          <w:iCs/>
          <w:noProof/>
          <w:sz w:val="24"/>
          <w:szCs w:val="24"/>
          <w:lang w:val="en-GB"/>
        </w:rPr>
        <w:t>2.A.3.1 Interventions of the Funds</w:t>
      </w:r>
    </w:p>
    <w:p w:rsidR="00F8597A" w:rsidRPr="002E744B" w:rsidRDefault="00F8597A" w:rsidP="00F8597A">
      <w:pPr>
        <w:spacing w:before="120" w:after="120" w:line="360" w:lineRule="auto"/>
        <w:rPr>
          <w:rFonts w:ascii="Times New Roman" w:eastAsia="Times New Roman" w:hAnsi="Times New Roman" w:cs="Times New Roman"/>
          <w:i/>
          <w:noProof/>
          <w:sz w:val="24"/>
          <w:szCs w:val="24"/>
          <w:lang w:val="en-GB"/>
        </w:rPr>
      </w:pPr>
      <w:r w:rsidRPr="002E744B">
        <w:rPr>
          <w:rFonts w:ascii="Times New Roman" w:eastAsia="Times New Roman" w:hAnsi="Times New Roman" w:cs="Times New Roman"/>
          <w:i/>
          <w:noProof/>
          <w:sz w:val="24"/>
          <w:szCs w:val="24"/>
          <w:lang w:val="en-GB"/>
        </w:rPr>
        <w:t>Reference: Article 17(3)(d)(i),(iii),(iv),(v),(vi);</w:t>
      </w:r>
    </w:p>
    <w:p w:rsidR="00F8597A" w:rsidRPr="002E744B" w:rsidRDefault="00F8597A" w:rsidP="00F8597A">
      <w:pPr>
        <w:bidi/>
        <w:spacing w:before="120" w:after="120" w:line="360" w:lineRule="auto"/>
        <w:jc w:val="right"/>
        <w:rPr>
          <w:rFonts w:ascii="Times New Roman" w:eastAsia="Times New Roman" w:hAnsi="Times New Roman" w:cs="Times New Roman"/>
          <w:b/>
          <w:bCs/>
          <w:i/>
          <w:iCs/>
          <w:noProof/>
          <w:sz w:val="24"/>
          <w:szCs w:val="24"/>
          <w:u w:val="single"/>
          <w:lang w:val="en-GB"/>
        </w:rPr>
      </w:pPr>
      <w:r w:rsidRPr="002E744B">
        <w:rPr>
          <w:rFonts w:ascii="Times New Roman" w:eastAsia="Times New Roman" w:hAnsi="Times New Roman" w:cs="Times New Roman"/>
          <w:i/>
          <w:noProof/>
          <w:sz w:val="24"/>
          <w:szCs w:val="24"/>
          <w:lang w:val="en-GB"/>
        </w:rPr>
        <w:t>The related types of actions – Article 17(3)(d)(i) CPR; Article 6(2) ESF+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F8597A" w:rsidRPr="002E744B" w:rsidTr="0002745C">
        <w:tc>
          <w:tcPr>
            <w:tcW w:w="9288" w:type="dxa"/>
            <w:tcBorders>
              <w:top w:val="single" w:sz="4" w:space="0" w:color="auto"/>
              <w:left w:val="single" w:sz="4" w:space="0" w:color="auto"/>
              <w:bottom w:val="single" w:sz="4" w:space="0" w:color="auto"/>
              <w:right w:val="single" w:sz="4" w:space="0" w:color="auto"/>
            </w:tcBorders>
            <w:hideMark/>
          </w:tcPr>
          <w:p w:rsidR="00F8597A" w:rsidRDefault="00F8597A" w:rsidP="0002745C">
            <w:pPr>
              <w:spacing w:before="120" w:after="120" w:line="360" w:lineRule="auto"/>
              <w:jc w:val="both"/>
              <w:rPr>
                <w:rFonts w:ascii="Times New Roman" w:eastAsia="Times New Roman" w:hAnsi="Times New Roman" w:cs="Times New Roman"/>
                <w:i/>
                <w:iCs/>
                <w:noProof/>
                <w:szCs w:val="24"/>
                <w:lang w:val="en-US"/>
              </w:rPr>
            </w:pPr>
            <w:r w:rsidRPr="002E744B">
              <w:rPr>
                <w:rFonts w:ascii="Times New Roman" w:eastAsia="Times New Roman" w:hAnsi="Times New Roman" w:cs="Times New Roman"/>
                <w:i/>
                <w:iCs/>
                <w:noProof/>
                <w:szCs w:val="24"/>
                <w:lang w:val="en-US"/>
              </w:rPr>
              <w:t>Text field [8 000]</w:t>
            </w:r>
          </w:p>
          <w:p w:rsidR="00F8597A" w:rsidRPr="00615B6C" w:rsidRDefault="00F8597A" w:rsidP="0002745C">
            <w:pPr>
              <w:spacing w:after="0" w:line="240" w:lineRule="auto"/>
              <w:jc w:val="both"/>
              <w:rPr>
                <w:rFonts w:ascii="Times New Roman" w:eastAsia="Times New Roman" w:hAnsi="Times New Roman" w:cs="Times New Roman"/>
                <w:i/>
                <w:noProof/>
                <w:sz w:val="20"/>
                <w:szCs w:val="20"/>
                <w:lang w:val="en-US"/>
              </w:rPr>
            </w:pPr>
            <w:r w:rsidRPr="00615B6C">
              <w:rPr>
                <w:rFonts w:ascii="Times New Roman" w:eastAsia="Times New Roman" w:hAnsi="Times New Roman" w:cs="Times New Roman"/>
                <w:i/>
                <w:noProof/>
                <w:sz w:val="20"/>
                <w:szCs w:val="20"/>
                <w:lang w:val="en-US"/>
              </w:rPr>
              <w:t xml:space="preserve">Acest obiectiv specific se regaseste in Axa 1 O regiune competitivă prin inovare si intreprinderi dinamice pentru o economie inteligenta prin doua tipuri de interventii, respectiv o interventie directa si o interventie complementara cu interventiile asociate OS a (i) si OS a (iii). </w:t>
            </w:r>
          </w:p>
          <w:p w:rsidR="00F8597A" w:rsidRPr="00615B6C" w:rsidRDefault="00F8597A" w:rsidP="0002745C">
            <w:pPr>
              <w:spacing w:after="0" w:line="240" w:lineRule="auto"/>
              <w:jc w:val="both"/>
              <w:rPr>
                <w:rFonts w:ascii="Times New Roman" w:eastAsia="Times New Roman" w:hAnsi="Times New Roman" w:cs="Times New Roman"/>
                <w:i/>
                <w:noProof/>
                <w:sz w:val="20"/>
                <w:szCs w:val="20"/>
                <w:lang w:val="en-US"/>
              </w:rPr>
            </w:pPr>
          </w:p>
          <w:p w:rsidR="00F8597A" w:rsidRPr="00615B6C" w:rsidRDefault="00F8597A" w:rsidP="0002745C">
            <w:pPr>
              <w:spacing w:after="0" w:line="240" w:lineRule="auto"/>
              <w:jc w:val="both"/>
              <w:rPr>
                <w:rFonts w:ascii="Times New Roman" w:eastAsia="Times New Roman" w:hAnsi="Times New Roman" w:cs="Times New Roman"/>
                <w:i/>
                <w:noProof/>
                <w:sz w:val="20"/>
                <w:szCs w:val="20"/>
                <w:lang w:val="en-US"/>
              </w:rPr>
            </w:pPr>
            <w:r w:rsidRPr="00615B6C">
              <w:rPr>
                <w:rFonts w:ascii="Times New Roman" w:eastAsia="Times New Roman" w:hAnsi="Times New Roman" w:cs="Times New Roman"/>
                <w:i/>
                <w:noProof/>
                <w:sz w:val="20"/>
                <w:szCs w:val="20"/>
                <w:lang w:val="en-US"/>
              </w:rPr>
              <w:t>Conform unei cercetari a World Economic Forum, cea mai importanta bariera in adoptarea noilor tehnologii o reprezinta lipsa abilitatilor in piata locala de forta de munca, la egalitate cu lipsa de intelegere a oportunitatilor. Raspunsul companiilor din Europa Centrala si de Est la aceasta realitate se concentreaza pe actiuni de tipul automatizare a muncii, instruirea angajatilor existenti, inceorporarea de angajati temporari cu abilitati relevante, externalizarea unor functiuni de business, angajarea de freelancers cu abilitati relevante si dublarea strategica a echipelor care nu au abilitati pentru noile tehnologii. Aceste provocari sunt cu atat mai acute in Romania, unde gradul de participare a adultilor in formarea continua este cel mai scazut din UE (7% inrolare in educatie formala si non formala pentru adulti in varsta de munca 25-64 ani), trendul fiind de scadere. Pe de alta parte, conform Eurostat</w:t>
            </w:r>
            <w:r w:rsidRPr="00615B6C">
              <w:rPr>
                <w:rStyle w:val="Referinnotdesubsol"/>
                <w:rFonts w:eastAsia="Times New Roman" w:cs="Times New Roman"/>
                <w:i/>
                <w:noProof/>
                <w:sz w:val="20"/>
                <w:szCs w:val="20"/>
              </w:rPr>
              <w:footnoteReference w:id="26"/>
            </w:r>
            <w:r w:rsidRPr="00615B6C">
              <w:rPr>
                <w:rFonts w:ascii="Times New Roman" w:eastAsia="Times New Roman" w:hAnsi="Times New Roman" w:cs="Times New Roman"/>
                <w:i/>
                <w:noProof/>
                <w:sz w:val="20"/>
                <w:szCs w:val="20"/>
                <w:lang w:val="en-US"/>
              </w:rPr>
              <w:t>, intreprinderile din Romania asigura instruiri de tip vocational angajatilor doar in proportie de 26,7% (al doilea cel mai mic procent din UE, dupa Grecia, departe de media europeana de 61,2%). Un alt aspect interesant este faptul ca, la nivel anului 2019, proportia noilor angajati (care se afla la actualul loc de munca de maxim 12 luni) era in Romania de numai 4.8%, conform Eurostat</w:t>
            </w:r>
            <w:r w:rsidRPr="00615B6C">
              <w:rPr>
                <w:rStyle w:val="Referinnotdesubsol"/>
                <w:rFonts w:eastAsia="Times New Roman" w:cs="Times New Roman"/>
                <w:i/>
                <w:noProof/>
                <w:sz w:val="20"/>
                <w:szCs w:val="20"/>
              </w:rPr>
              <w:footnoteReference w:id="27"/>
            </w:r>
            <w:r w:rsidRPr="00615B6C">
              <w:rPr>
                <w:rFonts w:ascii="Times New Roman" w:eastAsia="Times New Roman" w:hAnsi="Times New Roman" w:cs="Times New Roman"/>
                <w:i/>
                <w:noProof/>
                <w:sz w:val="20"/>
                <w:szCs w:val="20"/>
                <w:lang w:val="en-US"/>
              </w:rPr>
              <w:t>, fata de o medie europeana de 16,3% ceea ce indica o mobilitate scazuta a fortei de munca. Aceasta mobilitate scazuta poate fi corelata cu inrolarea scazuta in formare profesionala de-a lungul vietii, ceea ce pentru companii inseamna reducerea drastica a  importantei unui factor esential in achizitia de cunoastere, respectiv noii angajati. Nici intensitatea instruirii angajatilor nu este ridicata. Conform Eurostat</w:t>
            </w:r>
            <w:r w:rsidRPr="00615B6C">
              <w:rPr>
                <w:rStyle w:val="Referinnotdesubsol"/>
                <w:rFonts w:eastAsia="Times New Roman" w:cs="Times New Roman"/>
                <w:i/>
                <w:noProof/>
                <w:sz w:val="20"/>
                <w:szCs w:val="20"/>
              </w:rPr>
              <w:footnoteReference w:id="28"/>
            </w:r>
            <w:r w:rsidRPr="00615B6C">
              <w:rPr>
                <w:rFonts w:ascii="Times New Roman" w:eastAsia="Times New Roman" w:hAnsi="Times New Roman" w:cs="Times New Roman"/>
                <w:i/>
                <w:noProof/>
                <w:sz w:val="20"/>
                <w:szCs w:val="20"/>
                <w:lang w:val="en-US"/>
              </w:rPr>
              <w:t>, in regiunea Centru, in 2019, doar 1,1% din forta de munca a parcurs un program de instruire in ultimele 4 saptamani, fata de o medie nationala de 1,3% si o medie europeana de 11,3%. Romania are oi rata foarte scazuta si a persoanelor angajate care parcurg programe de instruire, in anul 2016 (ultimele date disponibile pe Eurostat</w:t>
            </w:r>
            <w:r w:rsidRPr="00615B6C">
              <w:rPr>
                <w:rStyle w:val="Referinnotdesubsol"/>
                <w:rFonts w:eastAsia="Times New Roman" w:cs="Times New Roman"/>
                <w:i/>
                <w:noProof/>
                <w:sz w:val="20"/>
                <w:szCs w:val="20"/>
              </w:rPr>
              <w:footnoteReference w:id="29"/>
            </w:r>
            <w:r w:rsidRPr="00615B6C">
              <w:rPr>
                <w:rFonts w:ascii="Times New Roman" w:eastAsia="Times New Roman" w:hAnsi="Times New Roman" w:cs="Times New Roman"/>
                <w:i/>
                <w:noProof/>
                <w:sz w:val="20"/>
                <w:szCs w:val="20"/>
                <w:lang w:val="en-US"/>
              </w:rPr>
              <w:t xml:space="preserve">) rata de participare fiind de 8.2% fata de o medie europeana de 53,2%.  </w:t>
            </w:r>
          </w:p>
          <w:p w:rsidR="00F8597A" w:rsidRPr="00615B6C" w:rsidRDefault="00F8597A" w:rsidP="0002745C">
            <w:pPr>
              <w:spacing w:after="0" w:line="240" w:lineRule="auto"/>
              <w:jc w:val="both"/>
              <w:rPr>
                <w:rFonts w:ascii="Times New Roman" w:eastAsia="Times New Roman" w:hAnsi="Times New Roman" w:cs="Times New Roman"/>
                <w:i/>
                <w:noProof/>
                <w:sz w:val="20"/>
                <w:szCs w:val="20"/>
                <w:lang w:val="en-US"/>
              </w:rPr>
            </w:pPr>
          </w:p>
          <w:p w:rsidR="00F8597A" w:rsidRPr="00615B6C" w:rsidRDefault="00F8597A" w:rsidP="0002745C">
            <w:pPr>
              <w:spacing w:after="0" w:line="240" w:lineRule="auto"/>
              <w:jc w:val="both"/>
              <w:rPr>
                <w:rFonts w:ascii="Times New Roman" w:eastAsia="Times New Roman" w:hAnsi="Times New Roman" w:cs="Times New Roman"/>
                <w:i/>
                <w:noProof/>
                <w:sz w:val="20"/>
                <w:szCs w:val="20"/>
                <w:lang w:val="en-US"/>
              </w:rPr>
            </w:pPr>
            <w:r w:rsidRPr="00615B6C">
              <w:rPr>
                <w:rFonts w:ascii="Times New Roman" w:eastAsia="Times New Roman" w:hAnsi="Times New Roman" w:cs="Times New Roman"/>
                <w:i/>
                <w:noProof/>
                <w:sz w:val="20"/>
                <w:szCs w:val="20"/>
                <w:lang w:val="en-US"/>
              </w:rPr>
              <w:t xml:space="preserve">Complementaritatea OS a(iv) cu OS a (i) si (iii) este prevazuta sa valorifice, in primul rand, investitia in active ca vector de catalizare a achizitiei de cunoastere, accentuand componenta soft a trasferului de cunoastere care se realizeaza odata cu transferul de tehnologie. Promotorii proiectelor vor avea posibilitatea de a prevedea in </w:t>
            </w:r>
            <w:r w:rsidRPr="00615B6C">
              <w:rPr>
                <w:rFonts w:ascii="Times New Roman" w:eastAsia="Times New Roman" w:hAnsi="Times New Roman" w:cs="Times New Roman"/>
                <w:i/>
                <w:noProof/>
                <w:sz w:val="20"/>
                <w:szCs w:val="20"/>
                <w:lang w:val="en-US"/>
              </w:rPr>
              <w:lastRenderedPageBreak/>
              <w:t>proiect activitati de instruire specifica a angajatilor care vor fi implicati in operarea noilor tehnologii.</w:t>
            </w:r>
          </w:p>
          <w:p w:rsidR="00F8597A" w:rsidRPr="00615B6C" w:rsidRDefault="00F8597A" w:rsidP="0002745C">
            <w:pPr>
              <w:spacing w:after="0" w:line="240" w:lineRule="auto"/>
              <w:jc w:val="both"/>
              <w:rPr>
                <w:rFonts w:ascii="Times New Roman" w:eastAsia="Times New Roman" w:hAnsi="Times New Roman" w:cs="Times New Roman"/>
                <w:i/>
                <w:noProof/>
                <w:sz w:val="20"/>
                <w:szCs w:val="20"/>
                <w:lang w:val="en-US"/>
              </w:rPr>
            </w:pPr>
          </w:p>
          <w:p w:rsidR="00F8597A" w:rsidRPr="00615B6C" w:rsidRDefault="00F8597A" w:rsidP="0002745C">
            <w:pPr>
              <w:spacing w:after="0" w:line="240" w:lineRule="auto"/>
              <w:jc w:val="both"/>
              <w:rPr>
                <w:rFonts w:ascii="Times New Roman" w:eastAsia="Times New Roman" w:hAnsi="Times New Roman" w:cs="Times New Roman"/>
                <w:i/>
                <w:noProof/>
                <w:sz w:val="20"/>
                <w:szCs w:val="20"/>
                <w:lang w:val="en-US"/>
              </w:rPr>
            </w:pPr>
            <w:r w:rsidRPr="00615B6C">
              <w:rPr>
                <w:rFonts w:ascii="Times New Roman" w:eastAsia="Times New Roman" w:hAnsi="Times New Roman" w:cs="Times New Roman"/>
                <w:i/>
                <w:noProof/>
                <w:sz w:val="20"/>
                <w:szCs w:val="20"/>
                <w:lang w:val="en-US"/>
              </w:rPr>
              <w:t xml:space="preserve">OS a(iv) poate sustine, complementar proiectelor de colaborare in cercetare si inovare, procese de invatare nonformala sub forma stagiilor de mobilitate a echipelor intre parteneri. O abordare similara a mobilitatii poate fi inclusa in proiecte prin care entitatile regionale sunt sustinute sa participe in comunitati de cunoastere sau a proiectelor care valorifica sinergiile cu alte programe. Dezvoltarea de abilitati pentru Specializare Inteligenta, Tranzitie Industriala si Antreprenoriat acopera, ca parte componenta a proiectelor, educatie formala si non formala de la ISCED 3 (filiera tehnologica) si pana la ISCED 7, diferenta fata de alte tipuri de interventii fiind ca se adreseaza angajatilor din entitati direct implicati in proiectele de inovare, investii, cooperare, si, posibi, partenerilor acestora. </w:t>
            </w:r>
          </w:p>
          <w:p w:rsidR="00F8597A" w:rsidRPr="00615B6C" w:rsidRDefault="00F8597A" w:rsidP="0002745C">
            <w:pPr>
              <w:spacing w:after="0" w:line="240" w:lineRule="auto"/>
              <w:jc w:val="both"/>
              <w:rPr>
                <w:rFonts w:ascii="Times New Roman" w:eastAsia="Times New Roman" w:hAnsi="Times New Roman" w:cs="Times New Roman"/>
                <w:i/>
                <w:noProof/>
                <w:sz w:val="20"/>
                <w:szCs w:val="20"/>
                <w:lang w:val="en-US"/>
              </w:rPr>
            </w:pPr>
          </w:p>
          <w:p w:rsidR="00F8597A" w:rsidRDefault="00F8597A" w:rsidP="0002745C">
            <w:pPr>
              <w:spacing w:after="0" w:line="240" w:lineRule="auto"/>
              <w:jc w:val="both"/>
              <w:rPr>
                <w:rFonts w:ascii="Times New Roman" w:eastAsia="Times New Roman" w:hAnsi="Times New Roman" w:cs="Times New Roman"/>
                <w:i/>
                <w:noProof/>
                <w:sz w:val="20"/>
                <w:szCs w:val="20"/>
                <w:lang w:val="en-US"/>
              </w:rPr>
            </w:pPr>
            <w:r w:rsidRPr="00615B6C">
              <w:rPr>
                <w:rFonts w:ascii="Times New Roman" w:eastAsia="Times New Roman" w:hAnsi="Times New Roman" w:cs="Times New Roman"/>
                <w:i/>
                <w:noProof/>
                <w:sz w:val="20"/>
                <w:szCs w:val="20"/>
                <w:lang w:val="en-US"/>
              </w:rPr>
              <w:t xml:space="preserve">Companiile active in domeniile de specializare inteligenta vor putea sa se asocieze pentru a dezvolta programe comune de instruire pentru angajati, in care pot implica asociatii profesionale, patronale sau furnizori de educatie acreditati. </w:t>
            </w:r>
          </w:p>
          <w:p w:rsidR="00351E4A" w:rsidRDefault="00351E4A" w:rsidP="00351E4A">
            <w:pPr>
              <w:spacing w:after="0" w:line="240" w:lineRule="auto"/>
              <w:jc w:val="both"/>
              <w:rPr>
                <w:rFonts w:ascii="Times New Roman" w:eastAsia="Times New Roman" w:hAnsi="Times New Roman" w:cs="Times New Roman"/>
                <w:i/>
                <w:noProof/>
                <w:sz w:val="20"/>
                <w:szCs w:val="20"/>
                <w:lang w:val="en-US"/>
              </w:rPr>
            </w:pPr>
          </w:p>
          <w:p w:rsidR="00351E4A" w:rsidRPr="005913B7" w:rsidRDefault="00351E4A" w:rsidP="00351E4A">
            <w:pPr>
              <w:spacing w:after="0" w:line="240" w:lineRule="auto"/>
              <w:jc w:val="both"/>
              <w:rPr>
                <w:rFonts w:ascii="Times New Roman" w:eastAsia="Times New Roman" w:hAnsi="Times New Roman" w:cs="Times New Roman"/>
                <w:i/>
                <w:noProof/>
                <w:color w:val="FF0000"/>
                <w:sz w:val="20"/>
                <w:szCs w:val="20"/>
                <w:lang w:val="en-US"/>
              </w:rPr>
            </w:pPr>
            <w:r>
              <w:rPr>
                <w:rFonts w:ascii="Times New Roman" w:eastAsia="Times New Roman" w:hAnsi="Times New Roman" w:cs="Times New Roman"/>
                <w:i/>
                <w:noProof/>
                <w:sz w:val="20"/>
                <w:szCs w:val="20"/>
                <w:lang w:val="en-US"/>
              </w:rPr>
              <w:t>Fiind în special o abordare orizontală, asociată proiectelor finanțate din OS i și OS iii, complementaritatea cu POCIDIF este determinată de complementaritatea din OS i, în special.</w:t>
            </w:r>
          </w:p>
        </w:tc>
      </w:tr>
    </w:tbl>
    <w:p w:rsidR="00F8597A" w:rsidRPr="002E744B" w:rsidRDefault="00F8597A" w:rsidP="00F8597A">
      <w:pPr>
        <w:spacing w:before="120" w:after="120" w:line="360" w:lineRule="auto"/>
        <w:rPr>
          <w:rFonts w:ascii="Times New Roman" w:eastAsia="Times New Roman" w:hAnsi="Times New Roman" w:cs="Times New Roman"/>
          <w:b/>
          <w:i/>
          <w:iCs/>
          <w:noProof/>
          <w:sz w:val="24"/>
          <w:szCs w:val="24"/>
          <w:lang w:val="en-GB"/>
        </w:rPr>
      </w:pPr>
      <w:r w:rsidRPr="002E744B">
        <w:rPr>
          <w:rFonts w:ascii="Times New Roman" w:eastAsia="Times New Roman" w:hAnsi="Times New Roman" w:cs="Times New Roman"/>
          <w:i/>
          <w:noProof/>
          <w:sz w:val="24"/>
          <w:szCs w:val="24"/>
          <w:lang w:val="en-GB"/>
        </w:rPr>
        <w:lastRenderedPageBreak/>
        <w:t>The main target groups - Article 17(3)(d)(iii):</w:t>
      </w:r>
    </w:p>
    <w:p w:rsidR="00F8597A" w:rsidRPr="000A0CC7" w:rsidRDefault="00F8597A" w:rsidP="00F8597A">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iCs/>
          <w:noProof/>
          <w:sz w:val="24"/>
          <w:szCs w:val="24"/>
          <w:lang w:val="en-GB"/>
        </w:rPr>
      </w:pPr>
      <w:r w:rsidRPr="000A0CC7">
        <w:rPr>
          <w:rFonts w:ascii="Times New Roman" w:eastAsia="Times New Roman" w:hAnsi="Times New Roman" w:cs="Times New Roman"/>
          <w:i/>
          <w:iCs/>
          <w:noProof/>
          <w:sz w:val="24"/>
          <w:szCs w:val="24"/>
          <w:lang w:val="en-GB"/>
        </w:rPr>
        <w:t>Text field [1 000]</w:t>
      </w:r>
    </w:p>
    <w:p w:rsidR="00F8597A" w:rsidRPr="00615B6C" w:rsidRDefault="00F8597A" w:rsidP="00F8597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i/>
          <w:iCs/>
          <w:noProof/>
          <w:sz w:val="24"/>
          <w:szCs w:val="24"/>
          <w:lang w:val="en-GB"/>
        </w:rPr>
      </w:pPr>
      <w:r w:rsidRPr="000A0CC7">
        <w:rPr>
          <w:rFonts w:eastAsia="Times New Roman" w:cstheme="minorHAnsi"/>
          <w:i/>
          <w:iCs/>
          <w:noProof/>
          <w:lang w:val="en-GB"/>
        </w:rPr>
        <w:t>Principalul grup țintă este reprezentat angajatii companiilor din Regiunea Centru</w:t>
      </w:r>
      <w:r w:rsidRPr="00615B6C">
        <w:rPr>
          <w:rFonts w:eastAsia="Times New Roman" w:cstheme="minorHAnsi"/>
          <w:i/>
          <w:iCs/>
          <w:noProof/>
          <w:lang w:val="en-GB"/>
        </w:rPr>
        <w:t xml:space="preserve"> </w:t>
      </w:r>
    </w:p>
    <w:p w:rsidR="00F8597A" w:rsidRPr="002E744B" w:rsidRDefault="00F8597A" w:rsidP="00F8597A">
      <w:pPr>
        <w:spacing w:before="120" w:after="120" w:line="360" w:lineRule="auto"/>
        <w:rPr>
          <w:rFonts w:ascii="Times New Roman" w:eastAsia="Times New Roman" w:hAnsi="Times New Roman" w:cs="Times New Roman"/>
          <w:i/>
          <w:noProof/>
          <w:sz w:val="24"/>
          <w:szCs w:val="24"/>
          <w:lang w:val="en-GB"/>
        </w:rPr>
      </w:pPr>
      <w:r w:rsidRPr="002E744B">
        <w:rPr>
          <w:rFonts w:ascii="Times New Roman" w:eastAsia="Times New Roman" w:hAnsi="Times New Roman" w:cs="Times New Roman"/>
          <w:i/>
          <w:noProof/>
          <w:sz w:val="24"/>
          <w:szCs w:val="24"/>
          <w:lang w:val="en-GB"/>
        </w:rPr>
        <w:t>Specific territories tageted, including the planned use of territorial tools – Article 17(3)(d)(iv)</w:t>
      </w:r>
    </w:p>
    <w:p w:rsidR="00F8597A" w:rsidRDefault="00F8597A" w:rsidP="00F8597A">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iCs/>
          <w:noProof/>
          <w:sz w:val="24"/>
          <w:szCs w:val="24"/>
          <w:lang w:val="en-GB"/>
        </w:rPr>
      </w:pPr>
      <w:r w:rsidRPr="002E744B">
        <w:rPr>
          <w:rFonts w:ascii="Times New Roman" w:eastAsia="Times New Roman" w:hAnsi="Times New Roman" w:cs="Times New Roman"/>
          <w:i/>
          <w:iCs/>
          <w:noProof/>
          <w:sz w:val="24"/>
          <w:szCs w:val="24"/>
          <w:lang w:val="en-GB"/>
        </w:rPr>
        <w:t>Text field [2 000]</w:t>
      </w:r>
    </w:p>
    <w:p w:rsidR="00F8597A" w:rsidRPr="00747594" w:rsidRDefault="00F8597A" w:rsidP="00F8597A">
      <w:pPr>
        <w:pBdr>
          <w:top w:val="single" w:sz="4" w:space="1" w:color="auto"/>
          <w:left w:val="single" w:sz="4" w:space="4" w:color="auto"/>
          <w:bottom w:val="single" w:sz="4" w:space="1" w:color="auto"/>
          <w:right w:val="single" w:sz="4" w:space="4" w:color="auto"/>
        </w:pBdr>
        <w:spacing w:before="120" w:after="120" w:line="240" w:lineRule="auto"/>
        <w:jc w:val="both"/>
        <w:rPr>
          <w:rFonts w:eastAsia="Times New Roman" w:cstheme="minorHAnsi"/>
          <w:i/>
          <w:iCs/>
          <w:noProof/>
          <w:lang w:val="en-GB"/>
        </w:rPr>
      </w:pPr>
      <w:r w:rsidRPr="00747594">
        <w:rPr>
          <w:rFonts w:eastAsia="Times New Roman" w:cstheme="minorHAnsi"/>
          <w:i/>
          <w:iCs/>
          <w:noProof/>
          <w:lang w:val="en-GB"/>
        </w:rPr>
        <w:t>Regiunea Centru, spațiul urban și rural.</w:t>
      </w:r>
    </w:p>
    <w:p w:rsidR="00F8597A" w:rsidRPr="00747594" w:rsidRDefault="00F8597A" w:rsidP="00F8597A">
      <w:pPr>
        <w:pBdr>
          <w:top w:val="single" w:sz="4" w:space="1" w:color="auto"/>
          <w:left w:val="single" w:sz="4" w:space="4" w:color="auto"/>
          <w:bottom w:val="single" w:sz="4" w:space="1" w:color="auto"/>
          <w:right w:val="single" w:sz="4" w:space="4" w:color="auto"/>
        </w:pBdr>
        <w:spacing w:before="120" w:after="120" w:line="240" w:lineRule="auto"/>
        <w:jc w:val="both"/>
        <w:rPr>
          <w:rFonts w:eastAsia="Times New Roman" w:cstheme="minorHAnsi"/>
          <w:i/>
          <w:noProof/>
          <w:lang w:val="en-GB"/>
        </w:rPr>
      </w:pPr>
      <w:r w:rsidRPr="00747594">
        <w:rPr>
          <w:rFonts w:eastAsia="Times New Roman" w:cstheme="minorHAnsi"/>
          <w:i/>
          <w:iCs/>
          <w:noProof/>
          <w:lang w:val="en-GB"/>
        </w:rPr>
        <w:t>Pentru spațiul rural va trebui avută în vedere evitarea suprapunerii cu obiectivele, acțiunile, măsurile, tipurile de beneficiari eligibili, activități</w:t>
      </w:r>
      <w:r>
        <w:rPr>
          <w:rFonts w:eastAsia="Times New Roman" w:cstheme="minorHAnsi"/>
          <w:i/>
          <w:iCs/>
          <w:noProof/>
          <w:lang w:val="en-GB"/>
        </w:rPr>
        <w:t>le</w:t>
      </w:r>
      <w:r w:rsidRPr="00747594">
        <w:rPr>
          <w:rFonts w:eastAsia="Times New Roman" w:cstheme="minorHAnsi"/>
          <w:i/>
          <w:iCs/>
          <w:noProof/>
          <w:lang w:val="en-GB"/>
        </w:rPr>
        <w:t xml:space="preserve"> și sectoare</w:t>
      </w:r>
      <w:r>
        <w:rPr>
          <w:rFonts w:eastAsia="Times New Roman" w:cstheme="minorHAnsi"/>
          <w:i/>
          <w:iCs/>
          <w:noProof/>
          <w:lang w:val="en-GB"/>
        </w:rPr>
        <w:t>le</w:t>
      </w:r>
      <w:r w:rsidRPr="00747594">
        <w:rPr>
          <w:rFonts w:eastAsia="Times New Roman" w:cstheme="minorHAnsi"/>
          <w:i/>
          <w:iCs/>
          <w:noProof/>
          <w:lang w:val="en-GB"/>
        </w:rPr>
        <w:t xml:space="preserve"> eligibile care vor fi incluse în viitorul program finanțat din FEADR. </w:t>
      </w:r>
    </w:p>
    <w:p w:rsidR="00F8597A" w:rsidRPr="002E744B" w:rsidRDefault="00F8597A" w:rsidP="00F8597A">
      <w:pPr>
        <w:spacing w:before="120" w:after="120" w:line="360" w:lineRule="auto"/>
        <w:rPr>
          <w:rFonts w:ascii="Times New Roman" w:eastAsia="Times New Roman" w:hAnsi="Times New Roman" w:cs="Times New Roman"/>
          <w:b/>
          <w:i/>
          <w:iCs/>
          <w:noProof/>
          <w:sz w:val="24"/>
          <w:szCs w:val="24"/>
          <w:lang w:val="en-GB"/>
        </w:rPr>
      </w:pPr>
      <w:r w:rsidRPr="002E744B">
        <w:rPr>
          <w:rFonts w:ascii="Times New Roman" w:eastAsia="Times New Roman" w:hAnsi="Times New Roman" w:cs="Times New Roman"/>
          <w:i/>
          <w:noProof/>
          <w:sz w:val="24"/>
          <w:szCs w:val="24"/>
          <w:lang w:val="en-GB"/>
        </w:rPr>
        <w:t>The interregional and transnational actions  –Article – 17(3)(d)(v)</w:t>
      </w:r>
    </w:p>
    <w:p w:rsidR="00F8597A" w:rsidRPr="004D0F1C" w:rsidRDefault="00F8597A" w:rsidP="00F8597A">
      <w:pPr>
        <w:pBdr>
          <w:top w:val="single" w:sz="4" w:space="1" w:color="auto"/>
          <w:left w:val="single" w:sz="4" w:space="4" w:color="auto"/>
          <w:bottom w:val="single" w:sz="4" w:space="1" w:color="auto"/>
          <w:right w:val="single" w:sz="4" w:space="4" w:color="auto"/>
        </w:pBdr>
        <w:spacing w:before="120" w:after="120" w:line="360" w:lineRule="auto"/>
        <w:jc w:val="both"/>
        <w:rPr>
          <w:rFonts w:eastAsia="Times New Roman" w:cstheme="minorHAnsi"/>
          <w:i/>
          <w:iCs/>
          <w:noProof/>
          <w:lang w:val="en-GB"/>
        </w:rPr>
      </w:pPr>
      <w:r w:rsidRPr="002E744B">
        <w:rPr>
          <w:rFonts w:ascii="Times New Roman" w:eastAsia="Times New Roman" w:hAnsi="Times New Roman" w:cs="Times New Roman"/>
          <w:i/>
          <w:iCs/>
          <w:noProof/>
          <w:sz w:val="24"/>
          <w:szCs w:val="24"/>
          <w:lang w:val="en-GB"/>
        </w:rPr>
        <w:t>Text field [2 000]</w:t>
      </w:r>
    </w:p>
    <w:p w:rsidR="00F8597A" w:rsidRPr="002E744B" w:rsidRDefault="00F8597A" w:rsidP="00F8597A">
      <w:pPr>
        <w:spacing w:before="120" w:after="120" w:line="360" w:lineRule="auto"/>
        <w:rPr>
          <w:rFonts w:ascii="Times New Roman" w:eastAsia="Times New Roman" w:hAnsi="Times New Roman" w:cs="Times New Roman"/>
          <w:b/>
          <w:i/>
          <w:iCs/>
          <w:noProof/>
          <w:sz w:val="24"/>
          <w:szCs w:val="24"/>
          <w:lang w:val="en-GB"/>
        </w:rPr>
      </w:pPr>
      <w:r w:rsidRPr="002E744B">
        <w:rPr>
          <w:rFonts w:ascii="Times New Roman" w:eastAsia="Times New Roman" w:hAnsi="Times New Roman" w:cs="Times New Roman"/>
          <w:i/>
          <w:noProof/>
          <w:sz w:val="24"/>
          <w:szCs w:val="24"/>
          <w:lang w:val="en-GB"/>
        </w:rPr>
        <w:t>The planned use of financial instruments – Article – 17(3)(d)(vi)</w:t>
      </w:r>
    </w:p>
    <w:p w:rsidR="00F8597A" w:rsidRDefault="00F8597A" w:rsidP="00F8597A">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iCs/>
          <w:noProof/>
          <w:sz w:val="24"/>
          <w:szCs w:val="24"/>
          <w:lang w:val="en-GB"/>
        </w:rPr>
      </w:pPr>
      <w:r w:rsidRPr="002E744B">
        <w:rPr>
          <w:rFonts w:ascii="Times New Roman" w:eastAsia="Times New Roman" w:hAnsi="Times New Roman" w:cs="Times New Roman"/>
          <w:i/>
          <w:iCs/>
          <w:noProof/>
          <w:sz w:val="24"/>
          <w:szCs w:val="24"/>
          <w:lang w:val="en-GB"/>
        </w:rPr>
        <w:t>Text field [1 000]</w:t>
      </w:r>
    </w:p>
    <w:p w:rsidR="00F8597A" w:rsidRPr="002E744B" w:rsidRDefault="00F8597A" w:rsidP="00F8597A">
      <w:pPr>
        <w:spacing w:before="120" w:after="120" w:line="240" w:lineRule="auto"/>
        <w:rPr>
          <w:rFonts w:ascii="Times New Roman" w:eastAsia="Times New Roman" w:hAnsi="Times New Roman" w:cs="Times New Roman"/>
          <w:b/>
          <w:iCs/>
          <w:noProof/>
          <w:sz w:val="24"/>
          <w:szCs w:val="24"/>
          <w:lang w:val="en-GB"/>
        </w:rPr>
      </w:pPr>
    </w:p>
    <w:p w:rsidR="00F8597A" w:rsidRPr="00F000AD" w:rsidRDefault="00F8597A" w:rsidP="00F8597A">
      <w:pPr>
        <w:rPr>
          <w:b/>
          <w:iCs/>
          <w:lang w:val="en-GB"/>
        </w:rPr>
      </w:pPr>
      <w:r w:rsidRPr="00F000AD">
        <w:rPr>
          <w:b/>
          <w:iCs/>
          <w:lang w:val="en-GB"/>
        </w:rPr>
        <w:t>2.A.3.2 Indicators</w:t>
      </w:r>
    </w:p>
    <w:p w:rsidR="00F8597A" w:rsidRDefault="00F8597A" w:rsidP="00F8597A">
      <w:pPr>
        <w:rPr>
          <w:i/>
          <w:lang w:val="en-GB"/>
        </w:rPr>
      </w:pPr>
      <w:r w:rsidRPr="00F000AD">
        <w:rPr>
          <w:i/>
          <w:lang w:val="en-GB"/>
        </w:rPr>
        <w:t xml:space="preserve">Reference: Article 17(3)(d)(ii) CPR </w:t>
      </w:r>
    </w:p>
    <w:tbl>
      <w:tblPr>
        <w:tblW w:w="5405"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5"/>
        <w:gridCol w:w="1357"/>
        <w:gridCol w:w="724"/>
        <w:gridCol w:w="1059"/>
        <w:gridCol w:w="665"/>
        <w:gridCol w:w="1594"/>
        <w:gridCol w:w="1542"/>
        <w:gridCol w:w="1165"/>
        <w:gridCol w:w="1291"/>
      </w:tblGrid>
      <w:tr w:rsidR="00351E4A" w:rsidRPr="00F000AD" w:rsidTr="007B330B">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rsidR="00351E4A" w:rsidRPr="00351E4A" w:rsidRDefault="00351E4A" w:rsidP="00275CAD">
            <w:pPr>
              <w:rPr>
                <w:b/>
                <w:iCs/>
                <w:lang w:val="en-US"/>
              </w:rPr>
            </w:pPr>
            <w:r w:rsidRPr="00F000AD">
              <w:rPr>
                <w:b/>
                <w:iCs/>
                <w:lang w:val="en-US"/>
              </w:rPr>
              <w:t>Table 2: Output indicators</w:t>
            </w:r>
          </w:p>
        </w:tc>
      </w:tr>
      <w:tr w:rsidR="00351E4A" w:rsidRPr="00F000AD" w:rsidTr="007B330B">
        <w:trPr>
          <w:trHeight w:val="1647"/>
        </w:trPr>
        <w:tc>
          <w:tcPr>
            <w:tcW w:w="589" w:type="pct"/>
            <w:tcBorders>
              <w:top w:val="single" w:sz="4" w:space="0" w:color="auto"/>
              <w:left w:val="single" w:sz="4" w:space="0" w:color="auto"/>
              <w:bottom w:val="single" w:sz="4" w:space="0" w:color="auto"/>
              <w:right w:val="single" w:sz="4" w:space="0" w:color="auto"/>
            </w:tcBorders>
            <w:hideMark/>
          </w:tcPr>
          <w:p w:rsidR="00351E4A" w:rsidRPr="00F000AD" w:rsidRDefault="00351E4A" w:rsidP="00275CAD">
            <w:pPr>
              <w:rPr>
                <w:b/>
                <w:lang w:val="en-US"/>
              </w:rPr>
            </w:pPr>
            <w:r w:rsidRPr="00F000AD">
              <w:rPr>
                <w:b/>
                <w:lang w:val="en-US"/>
              </w:rPr>
              <w:t xml:space="preserve">Priority </w:t>
            </w:r>
          </w:p>
        </w:tc>
        <w:tc>
          <w:tcPr>
            <w:tcW w:w="637" w:type="pct"/>
            <w:tcBorders>
              <w:top w:val="single" w:sz="4" w:space="0" w:color="auto"/>
              <w:left w:val="single" w:sz="4" w:space="0" w:color="auto"/>
              <w:bottom w:val="single" w:sz="4" w:space="0" w:color="auto"/>
              <w:right w:val="single" w:sz="4" w:space="0" w:color="auto"/>
            </w:tcBorders>
            <w:hideMark/>
          </w:tcPr>
          <w:p w:rsidR="00351E4A" w:rsidRPr="00F000AD" w:rsidRDefault="00351E4A" w:rsidP="00275CAD">
            <w:pPr>
              <w:rPr>
                <w:b/>
                <w:lang w:val="en-US"/>
              </w:rPr>
            </w:pPr>
            <w:r w:rsidRPr="00F000AD">
              <w:rPr>
                <w:b/>
                <w:lang w:val="en-US"/>
              </w:rPr>
              <w:t>Specific objective (Investment for Jobs and Growth goal or EMFF)</w:t>
            </w:r>
          </w:p>
        </w:tc>
        <w:tc>
          <w:tcPr>
            <w:tcW w:w="340" w:type="pct"/>
            <w:tcBorders>
              <w:top w:val="single" w:sz="4" w:space="0" w:color="auto"/>
              <w:left w:val="single" w:sz="4" w:space="0" w:color="auto"/>
              <w:bottom w:val="single" w:sz="4" w:space="0" w:color="auto"/>
              <w:right w:val="single" w:sz="4" w:space="0" w:color="auto"/>
            </w:tcBorders>
            <w:hideMark/>
          </w:tcPr>
          <w:p w:rsidR="00351E4A" w:rsidRPr="00F000AD" w:rsidRDefault="00351E4A" w:rsidP="00275CAD">
            <w:pPr>
              <w:rPr>
                <w:b/>
                <w:lang w:val="en-US"/>
              </w:rPr>
            </w:pPr>
            <w:r w:rsidRPr="00F000AD">
              <w:rPr>
                <w:b/>
                <w:lang w:val="en-US"/>
              </w:rPr>
              <w:t>Fund</w:t>
            </w:r>
          </w:p>
        </w:tc>
        <w:tc>
          <w:tcPr>
            <w:tcW w:w="497" w:type="pct"/>
            <w:tcBorders>
              <w:top w:val="single" w:sz="4" w:space="0" w:color="auto"/>
              <w:left w:val="single" w:sz="4" w:space="0" w:color="auto"/>
              <w:bottom w:val="single" w:sz="4" w:space="0" w:color="auto"/>
              <w:right w:val="single" w:sz="4" w:space="0" w:color="auto"/>
            </w:tcBorders>
            <w:hideMark/>
          </w:tcPr>
          <w:p w:rsidR="00351E4A" w:rsidRPr="00F000AD" w:rsidRDefault="00351E4A" w:rsidP="00275CAD">
            <w:pPr>
              <w:rPr>
                <w:b/>
                <w:lang w:val="en-US"/>
              </w:rPr>
            </w:pPr>
            <w:r w:rsidRPr="00F000AD">
              <w:rPr>
                <w:b/>
                <w:lang w:val="en-US"/>
              </w:rPr>
              <w:t>Category of region</w:t>
            </w:r>
          </w:p>
        </w:tc>
        <w:tc>
          <w:tcPr>
            <w:tcW w:w="312" w:type="pct"/>
            <w:tcBorders>
              <w:top w:val="single" w:sz="4" w:space="0" w:color="auto"/>
              <w:left w:val="single" w:sz="4" w:space="0" w:color="auto"/>
              <w:bottom w:val="single" w:sz="4" w:space="0" w:color="auto"/>
              <w:right w:val="single" w:sz="4" w:space="0" w:color="auto"/>
            </w:tcBorders>
            <w:hideMark/>
          </w:tcPr>
          <w:p w:rsidR="00351E4A" w:rsidRPr="00F000AD" w:rsidRDefault="00351E4A" w:rsidP="00275CAD">
            <w:pPr>
              <w:rPr>
                <w:b/>
                <w:lang w:val="en-US"/>
              </w:rPr>
            </w:pPr>
            <w:r w:rsidRPr="00F000AD">
              <w:rPr>
                <w:b/>
                <w:lang w:val="en-US"/>
              </w:rPr>
              <w:t>ID [5]</w:t>
            </w:r>
          </w:p>
        </w:tc>
        <w:tc>
          <w:tcPr>
            <w:tcW w:w="748" w:type="pct"/>
            <w:tcBorders>
              <w:top w:val="single" w:sz="4" w:space="0" w:color="auto"/>
              <w:left w:val="single" w:sz="4" w:space="0" w:color="auto"/>
              <w:bottom w:val="single" w:sz="4" w:space="0" w:color="auto"/>
              <w:right w:val="single" w:sz="4" w:space="0" w:color="auto"/>
            </w:tcBorders>
            <w:hideMark/>
          </w:tcPr>
          <w:p w:rsidR="00351E4A" w:rsidRPr="00F000AD" w:rsidRDefault="00351E4A" w:rsidP="00275CAD">
            <w:pPr>
              <w:rPr>
                <w:b/>
                <w:lang w:val="en-US"/>
              </w:rPr>
            </w:pPr>
            <w:r w:rsidRPr="00F000AD">
              <w:rPr>
                <w:b/>
                <w:lang w:val="en-US"/>
              </w:rPr>
              <w:t xml:space="preserve">Indicator [255] </w:t>
            </w:r>
          </w:p>
        </w:tc>
        <w:tc>
          <w:tcPr>
            <w:tcW w:w="724" w:type="pct"/>
            <w:tcBorders>
              <w:top w:val="single" w:sz="4" w:space="0" w:color="auto"/>
              <w:left w:val="single" w:sz="4" w:space="0" w:color="auto"/>
              <w:bottom w:val="single" w:sz="4" w:space="0" w:color="auto"/>
              <w:right w:val="single" w:sz="4" w:space="0" w:color="auto"/>
            </w:tcBorders>
            <w:hideMark/>
          </w:tcPr>
          <w:p w:rsidR="00351E4A" w:rsidRPr="00F000AD" w:rsidRDefault="00351E4A" w:rsidP="00275CAD">
            <w:pPr>
              <w:rPr>
                <w:b/>
                <w:lang w:val="en-US"/>
              </w:rPr>
            </w:pPr>
            <w:r w:rsidRPr="00F000AD">
              <w:rPr>
                <w:b/>
                <w:lang w:val="en-US"/>
              </w:rPr>
              <w:t>Measurement unit</w:t>
            </w:r>
          </w:p>
        </w:tc>
        <w:tc>
          <w:tcPr>
            <w:tcW w:w="547" w:type="pct"/>
            <w:tcBorders>
              <w:top w:val="single" w:sz="4" w:space="0" w:color="auto"/>
              <w:left w:val="single" w:sz="4" w:space="0" w:color="auto"/>
              <w:bottom w:val="single" w:sz="4" w:space="0" w:color="auto"/>
              <w:right w:val="single" w:sz="4" w:space="0" w:color="auto"/>
            </w:tcBorders>
          </w:tcPr>
          <w:p w:rsidR="00351E4A" w:rsidRPr="00F000AD" w:rsidRDefault="00351E4A" w:rsidP="00275CAD">
            <w:pPr>
              <w:rPr>
                <w:b/>
                <w:lang w:val="en-US"/>
              </w:rPr>
            </w:pPr>
            <w:r w:rsidRPr="00F000AD">
              <w:rPr>
                <w:b/>
                <w:lang w:val="en-US"/>
              </w:rPr>
              <w:t>Milestone (2024)</w:t>
            </w:r>
          </w:p>
          <w:p w:rsidR="00351E4A" w:rsidRPr="00F000AD" w:rsidRDefault="00351E4A" w:rsidP="00275CAD">
            <w:pPr>
              <w:rPr>
                <w:b/>
                <w:lang w:val="en-US"/>
              </w:rPr>
            </w:pPr>
          </w:p>
        </w:tc>
        <w:tc>
          <w:tcPr>
            <w:tcW w:w="606" w:type="pct"/>
            <w:tcBorders>
              <w:top w:val="single" w:sz="4" w:space="0" w:color="auto"/>
              <w:left w:val="single" w:sz="4" w:space="0" w:color="auto"/>
              <w:bottom w:val="single" w:sz="4" w:space="0" w:color="auto"/>
              <w:right w:val="single" w:sz="4" w:space="0" w:color="auto"/>
            </w:tcBorders>
          </w:tcPr>
          <w:p w:rsidR="00351E4A" w:rsidRPr="00F000AD" w:rsidRDefault="00351E4A" w:rsidP="00275CAD">
            <w:pPr>
              <w:rPr>
                <w:b/>
                <w:lang w:val="en-US"/>
              </w:rPr>
            </w:pPr>
            <w:r w:rsidRPr="00F000AD">
              <w:rPr>
                <w:b/>
                <w:lang w:val="en-US"/>
              </w:rPr>
              <w:t>Target (2029)</w:t>
            </w:r>
          </w:p>
          <w:p w:rsidR="00351E4A" w:rsidRPr="00F000AD" w:rsidRDefault="00351E4A" w:rsidP="00275CAD">
            <w:pPr>
              <w:rPr>
                <w:b/>
                <w:lang w:val="en-US"/>
              </w:rPr>
            </w:pPr>
          </w:p>
        </w:tc>
      </w:tr>
      <w:tr w:rsidR="000A2CF3" w:rsidRPr="00195444" w:rsidTr="007B330B">
        <w:trPr>
          <w:trHeight w:val="340"/>
        </w:trPr>
        <w:tc>
          <w:tcPr>
            <w:tcW w:w="589" w:type="pct"/>
            <w:vMerge w:val="restart"/>
            <w:tcBorders>
              <w:top w:val="single" w:sz="4" w:space="0" w:color="auto"/>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r w:rsidRPr="007B330B">
              <w:rPr>
                <w:rFonts w:ascii="Times New Roman" w:hAnsi="Times New Roman" w:cs="Times New Roman"/>
                <w:b/>
                <w:sz w:val="18"/>
                <w:szCs w:val="18"/>
              </w:rPr>
              <w:lastRenderedPageBreak/>
              <w:t>O regiune competitivă prin inovare si intreprinderi dinamice pentru o economie inteligenta</w:t>
            </w:r>
          </w:p>
        </w:tc>
        <w:tc>
          <w:tcPr>
            <w:tcW w:w="637" w:type="pct"/>
            <w:vMerge w:val="restart"/>
            <w:tcBorders>
              <w:top w:val="single" w:sz="4" w:space="0" w:color="auto"/>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r>
              <w:rPr>
                <w:rFonts w:ascii="Times New Roman" w:hAnsi="Times New Roman" w:cs="Times New Roman"/>
                <w:b/>
                <w:i/>
                <w:sz w:val="18"/>
                <w:szCs w:val="18"/>
                <w:lang w:val="en-US"/>
              </w:rPr>
              <w:t xml:space="preserve">SO 1 - </w:t>
            </w:r>
            <w:r w:rsidRPr="00195444">
              <w:rPr>
                <w:rFonts w:ascii="Times New Roman" w:hAnsi="Times New Roman" w:cs="Times New Roman"/>
                <w:b/>
                <w:i/>
                <w:sz w:val="18"/>
                <w:szCs w:val="18"/>
                <w:lang w:val="en-US"/>
              </w:rPr>
              <w:t>a (i) Dezvoltarea capacităților de cercetare și inovare și adoptarea tehnologiilor avansate</w:t>
            </w:r>
          </w:p>
        </w:tc>
        <w:tc>
          <w:tcPr>
            <w:tcW w:w="340" w:type="pct"/>
            <w:vMerge w:val="restart"/>
            <w:tcBorders>
              <w:top w:val="single" w:sz="4" w:space="0" w:color="auto"/>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r w:rsidRPr="00195444">
              <w:rPr>
                <w:rFonts w:ascii="Times New Roman" w:hAnsi="Times New Roman" w:cs="Times New Roman"/>
                <w:b/>
                <w:i/>
                <w:sz w:val="18"/>
                <w:szCs w:val="18"/>
                <w:lang w:val="en-US"/>
              </w:rPr>
              <w:t>ERDF</w:t>
            </w:r>
          </w:p>
        </w:tc>
        <w:tc>
          <w:tcPr>
            <w:tcW w:w="497" w:type="pct"/>
            <w:vMerge w:val="restart"/>
            <w:tcBorders>
              <w:top w:val="single" w:sz="4" w:space="0" w:color="auto"/>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r w:rsidRPr="00195444">
              <w:rPr>
                <w:rFonts w:ascii="Times New Roman" w:hAnsi="Times New Roman" w:cs="Times New Roman"/>
                <w:b/>
                <w:i/>
                <w:sz w:val="18"/>
                <w:szCs w:val="18"/>
                <w:lang w:val="en-US"/>
              </w:rPr>
              <w:t>Less devel</w:t>
            </w:r>
            <w:r>
              <w:rPr>
                <w:rFonts w:ascii="Times New Roman" w:hAnsi="Times New Roman" w:cs="Times New Roman"/>
                <w:b/>
                <w:i/>
                <w:sz w:val="18"/>
                <w:szCs w:val="18"/>
                <w:lang w:val="en-US"/>
              </w:rPr>
              <w:t>o</w:t>
            </w:r>
            <w:r w:rsidRPr="00195444">
              <w:rPr>
                <w:rFonts w:ascii="Times New Roman" w:hAnsi="Times New Roman" w:cs="Times New Roman"/>
                <w:b/>
                <w:i/>
                <w:sz w:val="18"/>
                <w:szCs w:val="18"/>
                <w:lang w:val="en-US"/>
              </w:rPr>
              <w:t>ped</w:t>
            </w:r>
          </w:p>
        </w:tc>
        <w:tc>
          <w:tcPr>
            <w:tcW w:w="312" w:type="pct"/>
            <w:vMerge w:val="restart"/>
            <w:tcBorders>
              <w:top w:val="single" w:sz="4" w:space="0" w:color="auto"/>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r w:rsidRPr="00195444">
              <w:rPr>
                <w:rFonts w:ascii="Times New Roman" w:hAnsi="Times New Roman" w:cs="Times New Roman"/>
                <w:b/>
                <w:i/>
                <w:sz w:val="18"/>
                <w:szCs w:val="18"/>
                <w:lang w:val="en-US"/>
              </w:rPr>
              <w:t>RO12</w:t>
            </w:r>
          </w:p>
        </w:tc>
        <w:tc>
          <w:tcPr>
            <w:tcW w:w="748" w:type="pct"/>
            <w:tcBorders>
              <w:top w:val="single" w:sz="4" w:space="0" w:color="auto"/>
              <w:left w:val="single" w:sz="4" w:space="0" w:color="auto"/>
              <w:bottom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r>
              <w:rPr>
                <w:rFonts w:ascii="Times New Roman" w:hAnsi="Times New Roman" w:cs="Times New Roman"/>
                <w:b/>
                <w:sz w:val="18"/>
                <w:szCs w:val="18"/>
                <w:lang w:eastAsia="en-GB"/>
              </w:rPr>
              <w:t>13</w:t>
            </w:r>
            <w:r w:rsidRPr="00195444">
              <w:rPr>
                <w:rFonts w:ascii="Times New Roman" w:hAnsi="Times New Roman" w:cs="Times New Roman"/>
                <w:b/>
                <w:sz w:val="18"/>
                <w:szCs w:val="18"/>
                <w:lang w:eastAsia="en-GB"/>
              </w:rPr>
              <w:t>RCO</w:t>
            </w:r>
            <w:r w:rsidRPr="00195444">
              <w:rPr>
                <w:rStyle w:val="Referinnotdesubsol"/>
                <w:rFonts w:eastAsia="Times New Roman" w:cs="Times New Roman"/>
                <w:b w:val="0"/>
                <w:color w:val="000000"/>
                <w:sz w:val="18"/>
                <w:szCs w:val="18"/>
                <w:lang w:eastAsia="en-GB"/>
              </w:rPr>
              <w:footnoteReference w:id="30"/>
            </w:r>
            <w:r w:rsidRPr="00195444">
              <w:rPr>
                <w:rFonts w:ascii="Times New Roman" w:hAnsi="Times New Roman" w:cs="Times New Roman"/>
                <w:b/>
                <w:sz w:val="18"/>
                <w:szCs w:val="18"/>
                <w:lang w:eastAsia="en-GB"/>
              </w:rPr>
              <w:t>01 - Enterprises supported (of which: micro, small, medium, large)</w:t>
            </w:r>
            <w:r w:rsidRPr="00195444">
              <w:rPr>
                <w:rFonts w:ascii="Times New Roman" w:hAnsi="Times New Roman" w:cs="Times New Roman"/>
                <w:b/>
                <w:sz w:val="18"/>
                <w:szCs w:val="18"/>
                <w:vertAlign w:val="superscript"/>
                <w:lang w:eastAsia="en-GB"/>
              </w:rPr>
              <w:t>*</w:t>
            </w:r>
          </w:p>
        </w:tc>
        <w:tc>
          <w:tcPr>
            <w:tcW w:w="724" w:type="pct"/>
            <w:tcBorders>
              <w:top w:val="single" w:sz="4" w:space="0" w:color="auto"/>
              <w:left w:val="single" w:sz="4" w:space="0" w:color="auto"/>
              <w:bottom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r w:rsidRPr="00195444">
              <w:rPr>
                <w:rFonts w:ascii="Times New Roman" w:hAnsi="Times New Roman" w:cs="Times New Roman"/>
                <w:b/>
                <w:i/>
                <w:sz w:val="18"/>
                <w:szCs w:val="18"/>
                <w:lang w:val="en-US"/>
              </w:rPr>
              <w:t>Întreprinderi</w:t>
            </w:r>
          </w:p>
        </w:tc>
        <w:tc>
          <w:tcPr>
            <w:tcW w:w="547" w:type="pct"/>
            <w:tcBorders>
              <w:top w:val="single" w:sz="4" w:space="0" w:color="auto"/>
              <w:left w:val="single" w:sz="4" w:space="0" w:color="auto"/>
              <w:bottom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r>
              <w:rPr>
                <w:rFonts w:ascii="Times New Roman" w:hAnsi="Times New Roman" w:cs="Times New Roman"/>
                <w:b/>
                <w:i/>
                <w:sz w:val="18"/>
                <w:szCs w:val="18"/>
                <w:lang w:val="en-US"/>
              </w:rPr>
              <w:t>30</w:t>
            </w:r>
          </w:p>
        </w:tc>
        <w:tc>
          <w:tcPr>
            <w:tcW w:w="606" w:type="pct"/>
            <w:tcBorders>
              <w:top w:val="single" w:sz="4" w:space="0" w:color="auto"/>
              <w:left w:val="single" w:sz="4" w:space="0" w:color="auto"/>
              <w:bottom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r>
              <w:rPr>
                <w:rFonts w:ascii="Times New Roman" w:hAnsi="Times New Roman" w:cs="Times New Roman"/>
                <w:b/>
                <w:i/>
                <w:sz w:val="18"/>
                <w:szCs w:val="18"/>
                <w:lang w:val="en-US"/>
              </w:rPr>
              <w:t>297</w:t>
            </w:r>
          </w:p>
        </w:tc>
      </w:tr>
      <w:tr w:rsidR="000A2CF3" w:rsidRPr="00195444" w:rsidTr="007B330B">
        <w:trPr>
          <w:trHeight w:val="332"/>
        </w:trPr>
        <w:tc>
          <w:tcPr>
            <w:tcW w:w="589" w:type="pct"/>
            <w:vMerge/>
            <w:tcBorders>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637" w:type="pct"/>
            <w:vMerge/>
            <w:tcBorders>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340" w:type="pct"/>
            <w:vMerge/>
            <w:tcBorders>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497" w:type="pct"/>
            <w:vMerge/>
            <w:tcBorders>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312" w:type="pct"/>
            <w:vMerge/>
            <w:tcBorders>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748" w:type="pct"/>
            <w:tcBorders>
              <w:top w:val="single" w:sz="4" w:space="0" w:color="auto"/>
              <w:left w:val="single" w:sz="4" w:space="0" w:color="auto"/>
              <w:bottom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r>
              <w:rPr>
                <w:rFonts w:ascii="Times New Roman" w:hAnsi="Times New Roman" w:cs="Times New Roman"/>
                <w:b/>
                <w:sz w:val="18"/>
                <w:szCs w:val="18"/>
                <w:lang w:eastAsia="en-GB"/>
              </w:rPr>
              <w:t xml:space="preserve">13 </w:t>
            </w:r>
            <w:r w:rsidRPr="00195444">
              <w:rPr>
                <w:rFonts w:ascii="Times New Roman" w:hAnsi="Times New Roman" w:cs="Times New Roman"/>
                <w:b/>
                <w:sz w:val="18"/>
                <w:szCs w:val="18"/>
                <w:lang w:eastAsia="en-GB"/>
              </w:rPr>
              <w:t>RCO 02 - Enterprises supported by grants</w:t>
            </w:r>
            <w:r w:rsidRPr="00195444">
              <w:rPr>
                <w:rFonts w:ascii="Times New Roman" w:hAnsi="Times New Roman" w:cs="Times New Roman"/>
                <w:b/>
                <w:sz w:val="18"/>
                <w:szCs w:val="18"/>
                <w:vertAlign w:val="superscript"/>
                <w:lang w:eastAsia="en-GB"/>
              </w:rPr>
              <w:t>*</w:t>
            </w:r>
          </w:p>
        </w:tc>
        <w:tc>
          <w:tcPr>
            <w:tcW w:w="724" w:type="pct"/>
            <w:tcBorders>
              <w:top w:val="single" w:sz="4" w:space="0" w:color="auto"/>
              <w:left w:val="single" w:sz="4" w:space="0" w:color="auto"/>
              <w:bottom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r w:rsidRPr="00195444">
              <w:rPr>
                <w:rFonts w:ascii="Times New Roman" w:hAnsi="Times New Roman" w:cs="Times New Roman"/>
                <w:b/>
                <w:i/>
                <w:sz w:val="18"/>
                <w:szCs w:val="18"/>
                <w:lang w:val="en-US"/>
              </w:rPr>
              <w:t>Întreprinderi</w:t>
            </w:r>
          </w:p>
        </w:tc>
        <w:tc>
          <w:tcPr>
            <w:tcW w:w="547" w:type="pct"/>
            <w:tcBorders>
              <w:top w:val="single" w:sz="4" w:space="0" w:color="auto"/>
              <w:left w:val="single" w:sz="4" w:space="0" w:color="auto"/>
              <w:bottom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sz w:val="18"/>
                <w:szCs w:val="18"/>
                <w:lang w:val="en-US"/>
              </w:rPr>
            </w:pPr>
            <w:r>
              <w:rPr>
                <w:rFonts w:ascii="Times New Roman" w:hAnsi="Times New Roman" w:cs="Times New Roman"/>
                <w:b/>
                <w:sz w:val="18"/>
                <w:szCs w:val="18"/>
                <w:lang w:val="en-US"/>
              </w:rPr>
              <w:t>30</w:t>
            </w:r>
          </w:p>
        </w:tc>
        <w:tc>
          <w:tcPr>
            <w:tcW w:w="606" w:type="pct"/>
            <w:tcBorders>
              <w:top w:val="single" w:sz="4" w:space="0" w:color="auto"/>
              <w:left w:val="single" w:sz="4" w:space="0" w:color="auto"/>
              <w:bottom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sz w:val="18"/>
                <w:szCs w:val="18"/>
                <w:lang w:val="en-US"/>
              </w:rPr>
            </w:pPr>
            <w:r>
              <w:rPr>
                <w:rFonts w:ascii="Times New Roman" w:hAnsi="Times New Roman" w:cs="Times New Roman"/>
                <w:b/>
                <w:sz w:val="18"/>
                <w:szCs w:val="18"/>
                <w:lang w:val="en-US"/>
              </w:rPr>
              <w:t>292</w:t>
            </w:r>
          </w:p>
        </w:tc>
      </w:tr>
      <w:tr w:rsidR="000A2CF3" w:rsidRPr="00195444" w:rsidTr="007B330B">
        <w:trPr>
          <w:trHeight w:val="332"/>
        </w:trPr>
        <w:tc>
          <w:tcPr>
            <w:tcW w:w="589" w:type="pct"/>
            <w:vMerge/>
            <w:tcBorders>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637" w:type="pct"/>
            <w:vMerge/>
            <w:tcBorders>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340" w:type="pct"/>
            <w:vMerge/>
            <w:tcBorders>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497" w:type="pct"/>
            <w:vMerge/>
            <w:tcBorders>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312" w:type="pct"/>
            <w:vMerge/>
            <w:tcBorders>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748" w:type="pct"/>
            <w:tcBorders>
              <w:top w:val="single" w:sz="4" w:space="0" w:color="auto"/>
              <w:left w:val="single" w:sz="4" w:space="0" w:color="auto"/>
              <w:bottom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sz w:val="18"/>
                <w:szCs w:val="18"/>
                <w:lang w:eastAsia="en-GB"/>
              </w:rPr>
            </w:pPr>
            <w:r>
              <w:rPr>
                <w:rFonts w:ascii="Times New Roman" w:hAnsi="Times New Roman" w:cs="Times New Roman"/>
                <w:b/>
                <w:sz w:val="18"/>
                <w:szCs w:val="18"/>
                <w:lang w:eastAsia="en-GB"/>
              </w:rPr>
              <w:t xml:space="preserve">13 </w:t>
            </w:r>
            <w:r w:rsidRPr="00195444">
              <w:rPr>
                <w:rFonts w:ascii="Times New Roman" w:hAnsi="Times New Roman" w:cs="Times New Roman"/>
                <w:b/>
                <w:sz w:val="18"/>
                <w:szCs w:val="18"/>
                <w:lang w:eastAsia="en-GB"/>
              </w:rPr>
              <w:t>RCO 04 - Enterprises with non-financial support</w:t>
            </w:r>
            <w:r w:rsidRPr="00195444">
              <w:rPr>
                <w:rFonts w:ascii="Times New Roman" w:hAnsi="Times New Roman" w:cs="Times New Roman"/>
                <w:b/>
                <w:sz w:val="18"/>
                <w:szCs w:val="18"/>
                <w:vertAlign w:val="superscript"/>
                <w:lang w:eastAsia="en-GB"/>
              </w:rPr>
              <w:t>*</w:t>
            </w:r>
          </w:p>
        </w:tc>
        <w:tc>
          <w:tcPr>
            <w:tcW w:w="724" w:type="pct"/>
            <w:tcBorders>
              <w:top w:val="single" w:sz="4" w:space="0" w:color="auto"/>
              <w:left w:val="single" w:sz="4" w:space="0" w:color="auto"/>
              <w:bottom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r w:rsidRPr="00195444">
              <w:rPr>
                <w:rFonts w:ascii="Times New Roman" w:hAnsi="Times New Roman" w:cs="Times New Roman"/>
                <w:b/>
                <w:i/>
                <w:sz w:val="18"/>
                <w:szCs w:val="18"/>
                <w:lang w:val="en-US"/>
              </w:rPr>
              <w:t>Interprinderi</w:t>
            </w:r>
          </w:p>
        </w:tc>
        <w:tc>
          <w:tcPr>
            <w:tcW w:w="547" w:type="pct"/>
            <w:tcBorders>
              <w:top w:val="single" w:sz="4" w:space="0" w:color="auto"/>
              <w:left w:val="single" w:sz="4" w:space="0" w:color="auto"/>
              <w:bottom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sz w:val="18"/>
                <w:szCs w:val="18"/>
                <w:lang w:val="en-US"/>
              </w:rPr>
            </w:pPr>
            <w:r>
              <w:rPr>
                <w:rFonts w:ascii="Times New Roman" w:hAnsi="Times New Roman" w:cs="Times New Roman"/>
                <w:b/>
                <w:sz w:val="18"/>
                <w:szCs w:val="18"/>
                <w:lang w:val="en-US"/>
              </w:rPr>
              <w:t>20</w:t>
            </w:r>
          </w:p>
        </w:tc>
        <w:tc>
          <w:tcPr>
            <w:tcW w:w="606" w:type="pct"/>
            <w:tcBorders>
              <w:top w:val="single" w:sz="4" w:space="0" w:color="auto"/>
              <w:left w:val="single" w:sz="4" w:space="0" w:color="auto"/>
              <w:bottom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sz w:val="18"/>
                <w:szCs w:val="18"/>
                <w:lang w:val="en-US"/>
              </w:rPr>
            </w:pPr>
            <w:r>
              <w:rPr>
                <w:rFonts w:ascii="Times New Roman" w:hAnsi="Times New Roman" w:cs="Times New Roman"/>
                <w:b/>
                <w:sz w:val="18"/>
                <w:szCs w:val="18"/>
                <w:lang w:val="en-US"/>
              </w:rPr>
              <w:t>199</w:t>
            </w:r>
          </w:p>
        </w:tc>
      </w:tr>
      <w:tr w:rsidR="000A2CF3" w:rsidRPr="00195444" w:rsidTr="007B330B">
        <w:trPr>
          <w:trHeight w:val="332"/>
        </w:trPr>
        <w:tc>
          <w:tcPr>
            <w:tcW w:w="589" w:type="pct"/>
            <w:vMerge/>
            <w:tcBorders>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637" w:type="pct"/>
            <w:vMerge/>
            <w:tcBorders>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340" w:type="pct"/>
            <w:vMerge/>
            <w:tcBorders>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497" w:type="pct"/>
            <w:vMerge/>
            <w:tcBorders>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312" w:type="pct"/>
            <w:vMerge/>
            <w:tcBorders>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748" w:type="pct"/>
            <w:tcBorders>
              <w:top w:val="single" w:sz="4" w:space="0" w:color="auto"/>
              <w:left w:val="single" w:sz="4" w:space="0" w:color="auto"/>
              <w:bottom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sz w:val="18"/>
                <w:szCs w:val="18"/>
                <w:lang w:eastAsia="en-GB"/>
              </w:rPr>
            </w:pPr>
            <w:r>
              <w:rPr>
                <w:rFonts w:ascii="Times New Roman" w:hAnsi="Times New Roman" w:cs="Times New Roman"/>
                <w:b/>
                <w:sz w:val="18"/>
                <w:szCs w:val="18"/>
                <w:lang w:eastAsia="en-GB"/>
              </w:rPr>
              <w:t xml:space="preserve">13 </w:t>
            </w:r>
            <w:r w:rsidRPr="00195444">
              <w:rPr>
                <w:rFonts w:ascii="Times New Roman" w:hAnsi="Times New Roman" w:cs="Times New Roman"/>
                <w:b/>
                <w:sz w:val="18"/>
                <w:szCs w:val="18"/>
                <w:lang w:eastAsia="en-GB"/>
              </w:rPr>
              <w:t>RCO 06 - Researchers working in supported research facilities</w:t>
            </w:r>
          </w:p>
        </w:tc>
        <w:tc>
          <w:tcPr>
            <w:tcW w:w="724" w:type="pct"/>
            <w:tcBorders>
              <w:top w:val="single" w:sz="4" w:space="0" w:color="auto"/>
              <w:left w:val="single" w:sz="4" w:space="0" w:color="auto"/>
              <w:bottom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r w:rsidRPr="00195444">
              <w:rPr>
                <w:rFonts w:ascii="Times New Roman" w:hAnsi="Times New Roman" w:cs="Times New Roman"/>
                <w:b/>
                <w:i/>
                <w:sz w:val="18"/>
                <w:szCs w:val="18"/>
                <w:lang w:val="en-US"/>
              </w:rPr>
              <w:t>Numar de angajati norma intreaga echivalent anual</w:t>
            </w:r>
          </w:p>
        </w:tc>
        <w:tc>
          <w:tcPr>
            <w:tcW w:w="547" w:type="pct"/>
            <w:tcBorders>
              <w:top w:val="single" w:sz="4" w:space="0" w:color="auto"/>
              <w:left w:val="single" w:sz="4" w:space="0" w:color="auto"/>
              <w:bottom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sz w:val="18"/>
                <w:szCs w:val="18"/>
                <w:lang w:val="en-US"/>
              </w:rPr>
            </w:pPr>
            <w:r>
              <w:rPr>
                <w:rFonts w:ascii="Times New Roman" w:hAnsi="Times New Roman" w:cs="Times New Roman"/>
                <w:b/>
                <w:sz w:val="18"/>
                <w:szCs w:val="18"/>
                <w:lang w:val="en-US"/>
              </w:rPr>
              <w:t>10</w:t>
            </w:r>
          </w:p>
        </w:tc>
        <w:tc>
          <w:tcPr>
            <w:tcW w:w="606" w:type="pct"/>
            <w:tcBorders>
              <w:top w:val="single" w:sz="4" w:space="0" w:color="auto"/>
              <w:left w:val="single" w:sz="4" w:space="0" w:color="auto"/>
              <w:bottom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sz w:val="18"/>
                <w:szCs w:val="18"/>
                <w:lang w:val="en-US"/>
              </w:rPr>
            </w:pPr>
            <w:r>
              <w:rPr>
                <w:rFonts w:ascii="Times New Roman" w:hAnsi="Times New Roman" w:cs="Times New Roman"/>
                <w:b/>
                <w:sz w:val="18"/>
                <w:szCs w:val="18"/>
                <w:lang w:val="en-US"/>
              </w:rPr>
              <w:t>139</w:t>
            </w:r>
          </w:p>
        </w:tc>
      </w:tr>
      <w:tr w:rsidR="000A2CF3" w:rsidRPr="00195444" w:rsidTr="007B330B">
        <w:trPr>
          <w:trHeight w:val="332"/>
        </w:trPr>
        <w:tc>
          <w:tcPr>
            <w:tcW w:w="589" w:type="pct"/>
            <w:vMerge/>
            <w:tcBorders>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637" w:type="pct"/>
            <w:vMerge/>
            <w:tcBorders>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340" w:type="pct"/>
            <w:vMerge/>
            <w:tcBorders>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497" w:type="pct"/>
            <w:vMerge/>
            <w:tcBorders>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312" w:type="pct"/>
            <w:vMerge/>
            <w:tcBorders>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748" w:type="pct"/>
            <w:tcBorders>
              <w:top w:val="single" w:sz="4" w:space="0" w:color="auto"/>
              <w:left w:val="single" w:sz="4" w:space="0" w:color="auto"/>
              <w:bottom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sz w:val="18"/>
                <w:szCs w:val="18"/>
                <w:lang w:eastAsia="en-GB"/>
              </w:rPr>
            </w:pPr>
            <w:r>
              <w:rPr>
                <w:rFonts w:ascii="Times New Roman" w:hAnsi="Times New Roman" w:cs="Times New Roman"/>
                <w:b/>
                <w:sz w:val="18"/>
                <w:szCs w:val="18"/>
                <w:lang w:eastAsia="en-GB"/>
              </w:rPr>
              <w:t xml:space="preserve">13 </w:t>
            </w:r>
            <w:r w:rsidRPr="00195444">
              <w:rPr>
                <w:rFonts w:ascii="Times New Roman" w:hAnsi="Times New Roman" w:cs="Times New Roman"/>
                <w:b/>
                <w:sz w:val="18"/>
                <w:szCs w:val="18"/>
                <w:lang w:eastAsia="en-GB"/>
              </w:rPr>
              <w:t>RCO 07 - Research institutions participating in joint research projects</w:t>
            </w:r>
          </w:p>
        </w:tc>
        <w:tc>
          <w:tcPr>
            <w:tcW w:w="724" w:type="pct"/>
            <w:tcBorders>
              <w:top w:val="single" w:sz="4" w:space="0" w:color="auto"/>
              <w:left w:val="single" w:sz="4" w:space="0" w:color="auto"/>
              <w:bottom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r w:rsidRPr="00195444">
              <w:rPr>
                <w:rFonts w:ascii="Times New Roman" w:hAnsi="Times New Roman" w:cs="Times New Roman"/>
                <w:b/>
                <w:i/>
                <w:sz w:val="18"/>
                <w:szCs w:val="18"/>
                <w:lang w:val="en-US"/>
              </w:rPr>
              <w:t>Entitati de cercetare</w:t>
            </w:r>
          </w:p>
        </w:tc>
        <w:tc>
          <w:tcPr>
            <w:tcW w:w="547" w:type="pct"/>
            <w:tcBorders>
              <w:top w:val="single" w:sz="4" w:space="0" w:color="auto"/>
              <w:left w:val="single" w:sz="4" w:space="0" w:color="auto"/>
              <w:bottom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sz w:val="18"/>
                <w:szCs w:val="18"/>
                <w:lang w:val="en-US"/>
              </w:rPr>
            </w:pPr>
            <w:r>
              <w:rPr>
                <w:rFonts w:ascii="Times New Roman" w:hAnsi="Times New Roman" w:cs="Times New Roman"/>
                <w:b/>
                <w:sz w:val="18"/>
                <w:szCs w:val="18"/>
                <w:lang w:val="en-US"/>
              </w:rPr>
              <w:t>10</w:t>
            </w:r>
          </w:p>
        </w:tc>
        <w:tc>
          <w:tcPr>
            <w:tcW w:w="606" w:type="pct"/>
            <w:tcBorders>
              <w:top w:val="single" w:sz="4" w:space="0" w:color="auto"/>
              <w:left w:val="single" w:sz="4" w:space="0" w:color="auto"/>
              <w:bottom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sz w:val="18"/>
                <w:szCs w:val="18"/>
                <w:lang w:val="en-US"/>
              </w:rPr>
            </w:pPr>
            <w:r>
              <w:rPr>
                <w:rFonts w:ascii="Times New Roman" w:hAnsi="Times New Roman" w:cs="Times New Roman"/>
                <w:b/>
                <w:sz w:val="18"/>
                <w:szCs w:val="18"/>
                <w:lang w:val="en-US"/>
              </w:rPr>
              <w:t>100</w:t>
            </w:r>
          </w:p>
        </w:tc>
      </w:tr>
      <w:tr w:rsidR="000A2CF3" w:rsidRPr="00195444" w:rsidTr="007B330B">
        <w:trPr>
          <w:trHeight w:val="332"/>
        </w:trPr>
        <w:tc>
          <w:tcPr>
            <w:tcW w:w="589" w:type="pct"/>
            <w:vMerge/>
            <w:tcBorders>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637" w:type="pct"/>
            <w:vMerge/>
            <w:tcBorders>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340" w:type="pct"/>
            <w:vMerge/>
            <w:tcBorders>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497" w:type="pct"/>
            <w:vMerge/>
            <w:tcBorders>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312" w:type="pct"/>
            <w:vMerge/>
            <w:tcBorders>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748" w:type="pct"/>
            <w:tcBorders>
              <w:top w:val="single" w:sz="4" w:space="0" w:color="auto"/>
              <w:left w:val="single" w:sz="4" w:space="0" w:color="auto"/>
              <w:bottom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sz w:val="18"/>
                <w:szCs w:val="18"/>
                <w:lang w:eastAsia="en-GB"/>
              </w:rPr>
            </w:pPr>
            <w:r>
              <w:rPr>
                <w:rFonts w:ascii="Times New Roman" w:hAnsi="Times New Roman" w:cs="Times New Roman"/>
                <w:b/>
                <w:sz w:val="18"/>
                <w:szCs w:val="18"/>
                <w:lang w:eastAsia="en-GB"/>
              </w:rPr>
              <w:t xml:space="preserve">13 </w:t>
            </w:r>
            <w:r w:rsidRPr="00195444">
              <w:rPr>
                <w:rFonts w:ascii="Times New Roman" w:hAnsi="Times New Roman" w:cs="Times New Roman"/>
                <w:b/>
                <w:sz w:val="18"/>
                <w:szCs w:val="18"/>
                <w:lang w:eastAsia="en-GB"/>
              </w:rPr>
              <w:t>RCO 08 - Nominal value of research and innovation equipment</w:t>
            </w:r>
          </w:p>
        </w:tc>
        <w:tc>
          <w:tcPr>
            <w:tcW w:w="724" w:type="pct"/>
            <w:tcBorders>
              <w:top w:val="single" w:sz="4" w:space="0" w:color="auto"/>
              <w:left w:val="single" w:sz="4" w:space="0" w:color="auto"/>
              <w:bottom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r w:rsidRPr="00195444">
              <w:rPr>
                <w:rFonts w:ascii="Times New Roman" w:hAnsi="Times New Roman" w:cs="Times New Roman"/>
                <w:b/>
                <w:i/>
                <w:sz w:val="18"/>
                <w:szCs w:val="18"/>
                <w:lang w:val="en-US"/>
              </w:rPr>
              <w:t>Euro</w:t>
            </w:r>
          </w:p>
        </w:tc>
        <w:tc>
          <w:tcPr>
            <w:tcW w:w="547" w:type="pct"/>
            <w:tcBorders>
              <w:top w:val="single" w:sz="4" w:space="0" w:color="auto"/>
              <w:left w:val="single" w:sz="4" w:space="0" w:color="auto"/>
              <w:bottom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sz w:val="18"/>
                <w:szCs w:val="18"/>
                <w:lang w:val="en-US"/>
              </w:rPr>
            </w:pPr>
            <w:r>
              <w:rPr>
                <w:rFonts w:ascii="Times New Roman" w:hAnsi="Times New Roman" w:cs="Times New Roman"/>
                <w:b/>
                <w:sz w:val="18"/>
                <w:szCs w:val="18"/>
                <w:lang w:val="en-US"/>
              </w:rPr>
              <w:t>15.500.000</w:t>
            </w:r>
          </w:p>
        </w:tc>
        <w:tc>
          <w:tcPr>
            <w:tcW w:w="606" w:type="pct"/>
            <w:tcBorders>
              <w:top w:val="single" w:sz="4" w:space="0" w:color="auto"/>
              <w:left w:val="single" w:sz="4" w:space="0" w:color="auto"/>
              <w:bottom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sz w:val="18"/>
                <w:szCs w:val="18"/>
                <w:lang w:val="en-US"/>
              </w:rPr>
            </w:pPr>
            <w:r>
              <w:rPr>
                <w:rFonts w:ascii="Times New Roman" w:hAnsi="Times New Roman" w:cs="Times New Roman"/>
                <w:b/>
                <w:sz w:val="18"/>
                <w:szCs w:val="18"/>
                <w:lang w:val="en-US"/>
              </w:rPr>
              <w:t>58.938.064</w:t>
            </w:r>
          </w:p>
        </w:tc>
      </w:tr>
      <w:tr w:rsidR="000A2CF3" w:rsidRPr="00195444" w:rsidTr="007B330B">
        <w:trPr>
          <w:trHeight w:val="332"/>
        </w:trPr>
        <w:tc>
          <w:tcPr>
            <w:tcW w:w="589" w:type="pct"/>
            <w:vMerge/>
            <w:tcBorders>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637" w:type="pct"/>
            <w:vMerge/>
            <w:tcBorders>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340" w:type="pct"/>
            <w:vMerge/>
            <w:tcBorders>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497" w:type="pct"/>
            <w:vMerge/>
            <w:tcBorders>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312" w:type="pct"/>
            <w:vMerge/>
            <w:tcBorders>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748" w:type="pct"/>
            <w:tcBorders>
              <w:top w:val="single" w:sz="4" w:space="0" w:color="auto"/>
              <w:left w:val="single" w:sz="4" w:space="0" w:color="auto"/>
              <w:bottom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sz w:val="18"/>
                <w:szCs w:val="18"/>
                <w:lang w:eastAsia="en-GB"/>
              </w:rPr>
            </w:pPr>
            <w:r>
              <w:rPr>
                <w:rFonts w:ascii="Times New Roman" w:hAnsi="Times New Roman" w:cs="Times New Roman"/>
                <w:b/>
                <w:sz w:val="18"/>
                <w:szCs w:val="18"/>
                <w:lang w:eastAsia="en-GB"/>
              </w:rPr>
              <w:t xml:space="preserve">13 </w:t>
            </w:r>
            <w:r w:rsidRPr="00195444">
              <w:rPr>
                <w:rFonts w:ascii="Times New Roman" w:hAnsi="Times New Roman" w:cs="Times New Roman"/>
                <w:b/>
                <w:sz w:val="18"/>
                <w:szCs w:val="18"/>
                <w:lang w:eastAsia="en-GB"/>
              </w:rPr>
              <w:t>RCO 10 - Enterprises cooperating with research institutions</w:t>
            </w:r>
          </w:p>
        </w:tc>
        <w:tc>
          <w:tcPr>
            <w:tcW w:w="724" w:type="pct"/>
            <w:tcBorders>
              <w:top w:val="single" w:sz="4" w:space="0" w:color="auto"/>
              <w:left w:val="single" w:sz="4" w:space="0" w:color="auto"/>
              <w:bottom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r w:rsidRPr="00195444">
              <w:rPr>
                <w:rFonts w:ascii="Times New Roman" w:hAnsi="Times New Roman" w:cs="Times New Roman"/>
                <w:b/>
                <w:i/>
                <w:sz w:val="18"/>
                <w:szCs w:val="18"/>
                <w:lang w:val="en-US"/>
              </w:rPr>
              <w:t>Intreprinderi</w:t>
            </w:r>
          </w:p>
        </w:tc>
        <w:tc>
          <w:tcPr>
            <w:tcW w:w="547" w:type="pct"/>
            <w:tcBorders>
              <w:top w:val="single" w:sz="4" w:space="0" w:color="auto"/>
              <w:left w:val="single" w:sz="4" w:space="0" w:color="auto"/>
              <w:bottom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sz w:val="18"/>
                <w:szCs w:val="18"/>
                <w:lang w:val="en-US"/>
              </w:rPr>
            </w:pPr>
            <w:r>
              <w:rPr>
                <w:rFonts w:ascii="Times New Roman" w:hAnsi="Times New Roman" w:cs="Times New Roman"/>
                <w:b/>
                <w:sz w:val="18"/>
                <w:szCs w:val="18"/>
                <w:lang w:val="en-US"/>
              </w:rPr>
              <w:t>30</w:t>
            </w:r>
          </w:p>
        </w:tc>
        <w:tc>
          <w:tcPr>
            <w:tcW w:w="606" w:type="pct"/>
            <w:tcBorders>
              <w:top w:val="single" w:sz="4" w:space="0" w:color="auto"/>
              <w:left w:val="single" w:sz="4" w:space="0" w:color="auto"/>
              <w:bottom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sz w:val="18"/>
                <w:szCs w:val="18"/>
                <w:lang w:val="en-US"/>
              </w:rPr>
            </w:pPr>
            <w:r>
              <w:rPr>
                <w:rFonts w:ascii="Times New Roman" w:hAnsi="Times New Roman" w:cs="Times New Roman"/>
                <w:b/>
                <w:sz w:val="18"/>
                <w:szCs w:val="18"/>
                <w:lang w:val="en-US"/>
              </w:rPr>
              <w:t>228</w:t>
            </w:r>
          </w:p>
        </w:tc>
      </w:tr>
      <w:tr w:rsidR="000A2CF3" w:rsidRPr="00195444" w:rsidTr="007B330B">
        <w:trPr>
          <w:trHeight w:val="332"/>
        </w:trPr>
        <w:tc>
          <w:tcPr>
            <w:tcW w:w="589" w:type="pct"/>
            <w:vMerge/>
            <w:tcBorders>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637" w:type="pct"/>
            <w:vMerge/>
            <w:tcBorders>
              <w:left w:val="single" w:sz="4" w:space="0" w:color="auto"/>
              <w:bottom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340" w:type="pct"/>
            <w:vMerge/>
            <w:tcBorders>
              <w:left w:val="single" w:sz="4" w:space="0" w:color="auto"/>
              <w:bottom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497" w:type="pct"/>
            <w:vMerge/>
            <w:tcBorders>
              <w:left w:val="single" w:sz="4" w:space="0" w:color="auto"/>
              <w:bottom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312" w:type="pct"/>
            <w:vMerge/>
            <w:tcBorders>
              <w:left w:val="single" w:sz="4" w:space="0" w:color="auto"/>
              <w:bottom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748" w:type="pct"/>
            <w:tcBorders>
              <w:top w:val="single" w:sz="4" w:space="0" w:color="auto"/>
              <w:left w:val="single" w:sz="4" w:space="0" w:color="auto"/>
              <w:bottom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sz w:val="18"/>
                <w:szCs w:val="18"/>
                <w:lang w:eastAsia="en-GB"/>
              </w:rPr>
            </w:pPr>
            <w:r>
              <w:rPr>
                <w:rFonts w:ascii="Times New Roman" w:hAnsi="Times New Roman" w:cs="Times New Roman"/>
                <w:b/>
                <w:sz w:val="18"/>
                <w:szCs w:val="18"/>
                <w:lang w:eastAsia="en-GB"/>
              </w:rPr>
              <w:t xml:space="preserve">13 </w:t>
            </w:r>
            <w:r w:rsidRPr="00195444">
              <w:rPr>
                <w:rFonts w:ascii="Times New Roman" w:hAnsi="Times New Roman" w:cs="Times New Roman"/>
                <w:b/>
                <w:sz w:val="18"/>
                <w:szCs w:val="18"/>
                <w:lang w:eastAsia="en-GB"/>
              </w:rPr>
              <w:t xml:space="preserve">RCO 96 – Interregional investments for innovation in EU projects </w:t>
            </w:r>
          </w:p>
        </w:tc>
        <w:tc>
          <w:tcPr>
            <w:tcW w:w="724" w:type="pct"/>
            <w:tcBorders>
              <w:top w:val="single" w:sz="4" w:space="0" w:color="auto"/>
              <w:left w:val="single" w:sz="4" w:space="0" w:color="auto"/>
              <w:bottom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r w:rsidRPr="00195444">
              <w:rPr>
                <w:rFonts w:ascii="Times New Roman" w:hAnsi="Times New Roman" w:cs="Times New Roman"/>
                <w:b/>
                <w:i/>
                <w:sz w:val="18"/>
                <w:szCs w:val="18"/>
                <w:lang w:val="en-US"/>
              </w:rPr>
              <w:t>Euro</w:t>
            </w:r>
          </w:p>
        </w:tc>
        <w:tc>
          <w:tcPr>
            <w:tcW w:w="547" w:type="pct"/>
            <w:tcBorders>
              <w:top w:val="single" w:sz="4" w:space="0" w:color="auto"/>
              <w:left w:val="single" w:sz="4" w:space="0" w:color="auto"/>
              <w:bottom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sz w:val="18"/>
                <w:szCs w:val="18"/>
                <w:lang w:val="en-US"/>
              </w:rPr>
            </w:pPr>
            <w:r>
              <w:rPr>
                <w:rFonts w:ascii="Times New Roman" w:hAnsi="Times New Roman" w:cs="Times New Roman"/>
                <w:b/>
                <w:sz w:val="18"/>
                <w:szCs w:val="18"/>
                <w:lang w:val="en-US"/>
              </w:rPr>
              <w:t>0</w:t>
            </w:r>
          </w:p>
        </w:tc>
        <w:tc>
          <w:tcPr>
            <w:tcW w:w="606" w:type="pct"/>
            <w:tcBorders>
              <w:top w:val="single" w:sz="4" w:space="0" w:color="auto"/>
              <w:left w:val="single" w:sz="4" w:space="0" w:color="auto"/>
              <w:bottom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sz w:val="18"/>
                <w:szCs w:val="18"/>
                <w:lang w:val="en-US"/>
              </w:rPr>
            </w:pPr>
            <w:r>
              <w:rPr>
                <w:rFonts w:ascii="Times New Roman" w:hAnsi="Times New Roman" w:cs="Times New Roman"/>
                <w:b/>
                <w:sz w:val="18"/>
                <w:szCs w:val="18"/>
                <w:lang w:val="en-US"/>
              </w:rPr>
              <w:t>8.318.033</w:t>
            </w:r>
          </w:p>
        </w:tc>
      </w:tr>
      <w:tr w:rsidR="000A2CF3" w:rsidRPr="004D0F1C" w:rsidTr="007B330B">
        <w:trPr>
          <w:trHeight w:val="332"/>
        </w:trPr>
        <w:tc>
          <w:tcPr>
            <w:tcW w:w="589" w:type="pct"/>
            <w:vMerge/>
            <w:tcBorders>
              <w:left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i/>
                <w:sz w:val="18"/>
                <w:szCs w:val="18"/>
                <w:lang w:val="en-US"/>
              </w:rPr>
            </w:pPr>
          </w:p>
        </w:tc>
        <w:tc>
          <w:tcPr>
            <w:tcW w:w="637" w:type="pct"/>
            <w:vMerge w:val="restart"/>
            <w:tcBorders>
              <w:top w:val="single" w:sz="4" w:space="0" w:color="auto"/>
              <w:left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i/>
                <w:sz w:val="18"/>
                <w:szCs w:val="18"/>
                <w:lang w:val="en-US"/>
              </w:rPr>
            </w:pPr>
            <w:r>
              <w:rPr>
                <w:rFonts w:ascii="Times New Roman" w:hAnsi="Times New Roman" w:cs="Times New Roman"/>
                <w:b/>
                <w:i/>
                <w:sz w:val="18"/>
                <w:szCs w:val="18"/>
                <w:lang w:val="en-US"/>
              </w:rPr>
              <w:t xml:space="preserve">SO 2- </w:t>
            </w:r>
            <w:r w:rsidRPr="004D0F1C">
              <w:rPr>
                <w:rFonts w:ascii="Times New Roman" w:hAnsi="Times New Roman" w:cs="Times New Roman"/>
                <w:b/>
                <w:i/>
                <w:sz w:val="18"/>
                <w:szCs w:val="18"/>
                <w:lang w:val="en-US"/>
              </w:rPr>
              <w:t xml:space="preserve"> a (iii) Impulsionarea creșterii și competitivității IMM-urilor</w:t>
            </w:r>
          </w:p>
        </w:tc>
        <w:tc>
          <w:tcPr>
            <w:tcW w:w="340" w:type="pct"/>
            <w:vMerge w:val="restart"/>
            <w:tcBorders>
              <w:top w:val="single" w:sz="4" w:space="0" w:color="auto"/>
              <w:left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i/>
                <w:sz w:val="18"/>
                <w:szCs w:val="18"/>
                <w:lang w:val="en-US"/>
              </w:rPr>
            </w:pPr>
            <w:r w:rsidRPr="004D0F1C">
              <w:rPr>
                <w:rFonts w:ascii="Times New Roman" w:hAnsi="Times New Roman" w:cs="Times New Roman"/>
                <w:b/>
                <w:i/>
                <w:sz w:val="18"/>
                <w:szCs w:val="18"/>
                <w:lang w:val="en-US"/>
              </w:rPr>
              <w:t>ERDF</w:t>
            </w:r>
          </w:p>
        </w:tc>
        <w:tc>
          <w:tcPr>
            <w:tcW w:w="497" w:type="pct"/>
            <w:vMerge w:val="restart"/>
            <w:tcBorders>
              <w:top w:val="single" w:sz="4" w:space="0" w:color="auto"/>
              <w:left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i/>
                <w:sz w:val="18"/>
                <w:szCs w:val="18"/>
                <w:lang w:val="en-US"/>
              </w:rPr>
            </w:pPr>
            <w:r w:rsidRPr="004D0F1C">
              <w:rPr>
                <w:rFonts w:ascii="Times New Roman" w:hAnsi="Times New Roman" w:cs="Times New Roman"/>
                <w:b/>
                <w:i/>
                <w:sz w:val="18"/>
                <w:szCs w:val="18"/>
                <w:lang w:val="en-US"/>
              </w:rPr>
              <w:t>Less developed</w:t>
            </w:r>
          </w:p>
        </w:tc>
        <w:tc>
          <w:tcPr>
            <w:tcW w:w="312" w:type="pct"/>
            <w:vMerge w:val="restart"/>
            <w:tcBorders>
              <w:top w:val="single" w:sz="4" w:space="0" w:color="auto"/>
              <w:left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i/>
                <w:sz w:val="18"/>
                <w:szCs w:val="18"/>
                <w:lang w:val="en-US"/>
              </w:rPr>
            </w:pPr>
            <w:r w:rsidRPr="004D0F1C">
              <w:rPr>
                <w:rFonts w:ascii="Times New Roman" w:hAnsi="Times New Roman" w:cs="Times New Roman"/>
                <w:b/>
                <w:i/>
                <w:sz w:val="18"/>
                <w:szCs w:val="18"/>
                <w:lang w:val="en-US"/>
              </w:rPr>
              <w:t>RO12</w:t>
            </w:r>
          </w:p>
        </w:tc>
        <w:tc>
          <w:tcPr>
            <w:tcW w:w="748" w:type="pct"/>
            <w:tcBorders>
              <w:top w:val="single" w:sz="4" w:space="0" w:color="auto"/>
              <w:left w:val="single" w:sz="4" w:space="0" w:color="auto"/>
              <w:bottom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sz w:val="18"/>
                <w:szCs w:val="18"/>
                <w:lang w:eastAsia="en-GB"/>
              </w:rPr>
            </w:pPr>
            <w:r w:rsidRPr="004D0F1C">
              <w:rPr>
                <w:rFonts w:ascii="Times New Roman" w:hAnsi="Times New Roman" w:cs="Times New Roman"/>
                <w:b/>
                <w:noProof/>
                <w:color w:val="000000"/>
                <w:sz w:val="18"/>
                <w:szCs w:val="18"/>
              </w:rPr>
              <w:t>13 RCO</w:t>
            </w:r>
            <w:r w:rsidRPr="004D0F1C">
              <w:rPr>
                <w:rFonts w:ascii="Times New Roman" w:hAnsi="Times New Roman" w:cs="Times New Roman"/>
                <w:b/>
                <w:sz w:val="18"/>
                <w:szCs w:val="18"/>
              </w:rPr>
              <w:t xml:space="preserve"> </w:t>
            </w:r>
            <w:r w:rsidRPr="004D0F1C">
              <w:rPr>
                <w:rFonts w:ascii="Times New Roman" w:hAnsi="Times New Roman" w:cs="Times New Roman"/>
                <w:b/>
                <w:noProof/>
                <w:color w:val="000000"/>
                <w:sz w:val="18"/>
                <w:szCs w:val="18"/>
              </w:rPr>
              <w:t>01 - Întreprinderi care beneficiază de sprijin (din care: micro, mici, medii, mari</w:t>
            </w:r>
          </w:p>
        </w:tc>
        <w:tc>
          <w:tcPr>
            <w:tcW w:w="724" w:type="pct"/>
            <w:tcBorders>
              <w:top w:val="single" w:sz="4" w:space="0" w:color="auto"/>
              <w:left w:val="single" w:sz="4" w:space="0" w:color="auto"/>
              <w:bottom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i/>
                <w:sz w:val="18"/>
                <w:szCs w:val="18"/>
                <w:lang w:val="en-US"/>
              </w:rPr>
            </w:pPr>
            <w:r w:rsidRPr="004D0F1C">
              <w:rPr>
                <w:rFonts w:ascii="Times New Roman" w:hAnsi="Times New Roman" w:cs="Times New Roman"/>
                <w:b/>
                <w:i/>
                <w:sz w:val="18"/>
                <w:szCs w:val="18"/>
                <w:lang w:val="en-US"/>
              </w:rPr>
              <w:t>Întreprinderi</w:t>
            </w:r>
          </w:p>
        </w:tc>
        <w:tc>
          <w:tcPr>
            <w:tcW w:w="547" w:type="pct"/>
            <w:tcBorders>
              <w:top w:val="single" w:sz="4" w:space="0" w:color="auto"/>
              <w:left w:val="single" w:sz="4" w:space="0" w:color="auto"/>
              <w:bottom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sz w:val="18"/>
                <w:szCs w:val="18"/>
                <w:lang w:val="en-US"/>
              </w:rPr>
            </w:pPr>
            <w:r>
              <w:rPr>
                <w:rFonts w:ascii="Times New Roman" w:hAnsi="Times New Roman" w:cs="Times New Roman"/>
                <w:b/>
                <w:sz w:val="18"/>
                <w:szCs w:val="18"/>
                <w:lang w:val="en-US"/>
              </w:rPr>
              <w:t>20</w:t>
            </w:r>
          </w:p>
        </w:tc>
        <w:tc>
          <w:tcPr>
            <w:tcW w:w="606" w:type="pct"/>
            <w:tcBorders>
              <w:top w:val="single" w:sz="4" w:space="0" w:color="auto"/>
              <w:left w:val="single" w:sz="4" w:space="0" w:color="auto"/>
              <w:bottom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sz w:val="18"/>
                <w:szCs w:val="18"/>
                <w:lang w:val="en-US"/>
              </w:rPr>
            </w:pPr>
            <w:r>
              <w:rPr>
                <w:rFonts w:ascii="Times New Roman" w:hAnsi="Times New Roman" w:cs="Times New Roman"/>
                <w:b/>
                <w:sz w:val="18"/>
                <w:szCs w:val="18"/>
                <w:lang w:val="en-US"/>
              </w:rPr>
              <w:t>209</w:t>
            </w:r>
          </w:p>
        </w:tc>
      </w:tr>
      <w:tr w:rsidR="000A2CF3" w:rsidRPr="004D0F1C" w:rsidTr="007B330B">
        <w:trPr>
          <w:trHeight w:val="332"/>
        </w:trPr>
        <w:tc>
          <w:tcPr>
            <w:tcW w:w="589" w:type="pct"/>
            <w:vMerge/>
            <w:tcBorders>
              <w:left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i/>
                <w:sz w:val="18"/>
                <w:szCs w:val="18"/>
                <w:lang w:val="en-US"/>
              </w:rPr>
            </w:pPr>
          </w:p>
        </w:tc>
        <w:tc>
          <w:tcPr>
            <w:tcW w:w="637" w:type="pct"/>
            <w:vMerge/>
            <w:tcBorders>
              <w:left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i/>
                <w:sz w:val="18"/>
                <w:szCs w:val="18"/>
                <w:lang w:val="en-US"/>
              </w:rPr>
            </w:pPr>
          </w:p>
        </w:tc>
        <w:tc>
          <w:tcPr>
            <w:tcW w:w="340" w:type="pct"/>
            <w:vMerge/>
            <w:tcBorders>
              <w:left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i/>
                <w:sz w:val="18"/>
                <w:szCs w:val="18"/>
                <w:lang w:val="en-US"/>
              </w:rPr>
            </w:pPr>
          </w:p>
        </w:tc>
        <w:tc>
          <w:tcPr>
            <w:tcW w:w="497" w:type="pct"/>
            <w:vMerge/>
            <w:tcBorders>
              <w:left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i/>
                <w:sz w:val="18"/>
                <w:szCs w:val="18"/>
                <w:lang w:val="en-US"/>
              </w:rPr>
            </w:pPr>
          </w:p>
        </w:tc>
        <w:tc>
          <w:tcPr>
            <w:tcW w:w="312" w:type="pct"/>
            <w:vMerge/>
            <w:tcBorders>
              <w:left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i/>
                <w:sz w:val="18"/>
                <w:szCs w:val="18"/>
                <w:lang w:val="en-US"/>
              </w:rPr>
            </w:pPr>
          </w:p>
        </w:tc>
        <w:tc>
          <w:tcPr>
            <w:tcW w:w="748" w:type="pct"/>
            <w:tcBorders>
              <w:top w:val="single" w:sz="4" w:space="0" w:color="auto"/>
              <w:left w:val="single" w:sz="4" w:space="0" w:color="auto"/>
              <w:bottom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noProof/>
                <w:color w:val="000000"/>
                <w:sz w:val="18"/>
                <w:szCs w:val="18"/>
              </w:rPr>
            </w:pPr>
            <w:r w:rsidRPr="004D0F1C">
              <w:rPr>
                <w:rFonts w:ascii="Times New Roman" w:hAnsi="Times New Roman" w:cs="Times New Roman"/>
                <w:b/>
                <w:noProof/>
                <w:color w:val="000000"/>
                <w:sz w:val="18"/>
                <w:szCs w:val="18"/>
              </w:rPr>
              <w:t>13 RCO 02 - Întreprinderi care beneficiază de sprijin prin granturi</w:t>
            </w:r>
          </w:p>
        </w:tc>
        <w:tc>
          <w:tcPr>
            <w:tcW w:w="724" w:type="pct"/>
            <w:tcBorders>
              <w:top w:val="single" w:sz="4" w:space="0" w:color="auto"/>
              <w:left w:val="single" w:sz="4" w:space="0" w:color="auto"/>
              <w:bottom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i/>
                <w:sz w:val="18"/>
                <w:szCs w:val="18"/>
                <w:lang w:val="en-US"/>
              </w:rPr>
            </w:pPr>
            <w:r w:rsidRPr="004D0F1C">
              <w:rPr>
                <w:rFonts w:ascii="Times New Roman" w:hAnsi="Times New Roman" w:cs="Times New Roman"/>
                <w:b/>
                <w:i/>
                <w:sz w:val="18"/>
                <w:szCs w:val="18"/>
                <w:lang w:val="en-US"/>
              </w:rPr>
              <w:t>Întreprinderi</w:t>
            </w:r>
          </w:p>
        </w:tc>
        <w:tc>
          <w:tcPr>
            <w:tcW w:w="547" w:type="pct"/>
            <w:tcBorders>
              <w:top w:val="single" w:sz="4" w:space="0" w:color="auto"/>
              <w:left w:val="single" w:sz="4" w:space="0" w:color="auto"/>
              <w:bottom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sz w:val="18"/>
                <w:szCs w:val="18"/>
                <w:lang w:val="en-US"/>
              </w:rPr>
            </w:pPr>
            <w:r>
              <w:rPr>
                <w:rFonts w:ascii="Times New Roman" w:hAnsi="Times New Roman" w:cs="Times New Roman"/>
                <w:b/>
                <w:sz w:val="18"/>
                <w:szCs w:val="18"/>
                <w:lang w:val="en-US"/>
              </w:rPr>
              <w:t>20</w:t>
            </w:r>
          </w:p>
        </w:tc>
        <w:tc>
          <w:tcPr>
            <w:tcW w:w="606" w:type="pct"/>
            <w:tcBorders>
              <w:top w:val="single" w:sz="4" w:space="0" w:color="auto"/>
              <w:left w:val="single" w:sz="4" w:space="0" w:color="auto"/>
              <w:bottom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sz w:val="18"/>
                <w:szCs w:val="18"/>
                <w:lang w:val="en-US"/>
              </w:rPr>
            </w:pPr>
            <w:r>
              <w:rPr>
                <w:rFonts w:ascii="Times New Roman" w:hAnsi="Times New Roman" w:cs="Times New Roman"/>
                <w:b/>
                <w:sz w:val="18"/>
                <w:szCs w:val="18"/>
                <w:lang w:val="en-US"/>
              </w:rPr>
              <w:t>209</w:t>
            </w:r>
          </w:p>
        </w:tc>
      </w:tr>
      <w:tr w:rsidR="000A2CF3" w:rsidRPr="004D0F1C" w:rsidTr="007B330B">
        <w:trPr>
          <w:trHeight w:val="332"/>
        </w:trPr>
        <w:tc>
          <w:tcPr>
            <w:tcW w:w="589" w:type="pct"/>
            <w:vMerge/>
            <w:tcBorders>
              <w:left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i/>
                <w:sz w:val="18"/>
                <w:szCs w:val="18"/>
                <w:lang w:val="en-US"/>
              </w:rPr>
            </w:pPr>
          </w:p>
        </w:tc>
        <w:tc>
          <w:tcPr>
            <w:tcW w:w="637" w:type="pct"/>
            <w:vMerge/>
            <w:tcBorders>
              <w:left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i/>
                <w:sz w:val="18"/>
                <w:szCs w:val="18"/>
                <w:lang w:val="en-US"/>
              </w:rPr>
            </w:pPr>
          </w:p>
        </w:tc>
        <w:tc>
          <w:tcPr>
            <w:tcW w:w="340" w:type="pct"/>
            <w:vMerge/>
            <w:tcBorders>
              <w:left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i/>
                <w:sz w:val="18"/>
                <w:szCs w:val="18"/>
                <w:lang w:val="en-US"/>
              </w:rPr>
            </w:pPr>
          </w:p>
        </w:tc>
        <w:tc>
          <w:tcPr>
            <w:tcW w:w="497" w:type="pct"/>
            <w:vMerge/>
            <w:tcBorders>
              <w:left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i/>
                <w:sz w:val="18"/>
                <w:szCs w:val="18"/>
                <w:lang w:val="en-US"/>
              </w:rPr>
            </w:pPr>
          </w:p>
        </w:tc>
        <w:tc>
          <w:tcPr>
            <w:tcW w:w="312" w:type="pct"/>
            <w:vMerge/>
            <w:tcBorders>
              <w:left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i/>
                <w:sz w:val="18"/>
                <w:szCs w:val="18"/>
                <w:lang w:val="en-US"/>
              </w:rPr>
            </w:pPr>
          </w:p>
        </w:tc>
        <w:tc>
          <w:tcPr>
            <w:tcW w:w="748" w:type="pct"/>
            <w:tcBorders>
              <w:top w:val="single" w:sz="4" w:space="0" w:color="auto"/>
              <w:left w:val="single" w:sz="4" w:space="0" w:color="auto"/>
              <w:bottom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noProof/>
                <w:color w:val="000000"/>
                <w:sz w:val="18"/>
                <w:szCs w:val="18"/>
              </w:rPr>
            </w:pPr>
            <w:r w:rsidRPr="004D0F1C">
              <w:rPr>
                <w:rFonts w:ascii="Times New Roman" w:hAnsi="Times New Roman" w:cs="Times New Roman"/>
                <w:b/>
                <w:noProof/>
                <w:color w:val="000000"/>
                <w:sz w:val="18"/>
                <w:szCs w:val="18"/>
              </w:rPr>
              <w:t>13 RCO 04 - Întreprinderi care beneficiază de sprijin nefinanciar</w:t>
            </w:r>
          </w:p>
        </w:tc>
        <w:tc>
          <w:tcPr>
            <w:tcW w:w="724" w:type="pct"/>
            <w:tcBorders>
              <w:top w:val="single" w:sz="4" w:space="0" w:color="auto"/>
              <w:left w:val="single" w:sz="4" w:space="0" w:color="auto"/>
              <w:bottom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i/>
                <w:sz w:val="18"/>
                <w:szCs w:val="18"/>
                <w:lang w:val="en-US"/>
              </w:rPr>
            </w:pPr>
            <w:r w:rsidRPr="004D0F1C">
              <w:rPr>
                <w:rFonts w:ascii="Times New Roman" w:hAnsi="Times New Roman" w:cs="Times New Roman"/>
                <w:b/>
                <w:i/>
                <w:sz w:val="18"/>
                <w:szCs w:val="18"/>
                <w:lang w:val="en-US"/>
              </w:rPr>
              <w:t>Întreprinderi</w:t>
            </w:r>
          </w:p>
        </w:tc>
        <w:tc>
          <w:tcPr>
            <w:tcW w:w="547" w:type="pct"/>
            <w:tcBorders>
              <w:top w:val="single" w:sz="4" w:space="0" w:color="auto"/>
              <w:left w:val="single" w:sz="4" w:space="0" w:color="auto"/>
              <w:bottom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sz w:val="18"/>
                <w:szCs w:val="18"/>
                <w:lang w:val="en-US"/>
              </w:rPr>
            </w:pPr>
          </w:p>
        </w:tc>
        <w:tc>
          <w:tcPr>
            <w:tcW w:w="606" w:type="pct"/>
            <w:tcBorders>
              <w:top w:val="single" w:sz="4" w:space="0" w:color="auto"/>
              <w:left w:val="single" w:sz="4" w:space="0" w:color="auto"/>
              <w:bottom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sz w:val="18"/>
                <w:szCs w:val="18"/>
                <w:lang w:val="en-US"/>
              </w:rPr>
            </w:pPr>
          </w:p>
        </w:tc>
      </w:tr>
      <w:tr w:rsidR="000A2CF3" w:rsidRPr="004D0F1C" w:rsidTr="007B330B">
        <w:trPr>
          <w:trHeight w:val="332"/>
        </w:trPr>
        <w:tc>
          <w:tcPr>
            <w:tcW w:w="589" w:type="pct"/>
            <w:vMerge/>
            <w:tcBorders>
              <w:left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i/>
                <w:sz w:val="18"/>
                <w:szCs w:val="18"/>
                <w:lang w:val="en-US"/>
              </w:rPr>
            </w:pPr>
          </w:p>
        </w:tc>
        <w:tc>
          <w:tcPr>
            <w:tcW w:w="637" w:type="pct"/>
            <w:vMerge/>
            <w:tcBorders>
              <w:left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i/>
                <w:sz w:val="18"/>
                <w:szCs w:val="18"/>
                <w:lang w:val="en-US"/>
              </w:rPr>
            </w:pPr>
          </w:p>
        </w:tc>
        <w:tc>
          <w:tcPr>
            <w:tcW w:w="340" w:type="pct"/>
            <w:vMerge/>
            <w:tcBorders>
              <w:left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i/>
                <w:sz w:val="18"/>
                <w:szCs w:val="18"/>
                <w:lang w:val="en-US"/>
              </w:rPr>
            </w:pPr>
          </w:p>
        </w:tc>
        <w:tc>
          <w:tcPr>
            <w:tcW w:w="497" w:type="pct"/>
            <w:vMerge/>
            <w:tcBorders>
              <w:left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i/>
                <w:sz w:val="18"/>
                <w:szCs w:val="18"/>
                <w:lang w:val="en-US"/>
              </w:rPr>
            </w:pPr>
          </w:p>
        </w:tc>
        <w:tc>
          <w:tcPr>
            <w:tcW w:w="312" w:type="pct"/>
            <w:vMerge/>
            <w:tcBorders>
              <w:left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i/>
                <w:sz w:val="18"/>
                <w:szCs w:val="18"/>
                <w:lang w:val="en-US"/>
              </w:rPr>
            </w:pPr>
          </w:p>
        </w:tc>
        <w:tc>
          <w:tcPr>
            <w:tcW w:w="748" w:type="pct"/>
            <w:tcBorders>
              <w:top w:val="single" w:sz="4" w:space="0" w:color="auto"/>
              <w:left w:val="single" w:sz="4" w:space="0" w:color="auto"/>
              <w:bottom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noProof/>
                <w:color w:val="000000"/>
                <w:sz w:val="18"/>
                <w:szCs w:val="18"/>
              </w:rPr>
            </w:pPr>
            <w:r>
              <w:rPr>
                <w:rFonts w:ascii="Times New Roman" w:hAnsi="Times New Roman" w:cs="Times New Roman"/>
                <w:b/>
                <w:noProof/>
                <w:color w:val="000000"/>
                <w:sz w:val="18"/>
                <w:szCs w:val="18"/>
              </w:rPr>
              <w:t xml:space="preserve">13 RCO 05 </w:t>
            </w:r>
            <w:r w:rsidRPr="00050DB6">
              <w:rPr>
                <w:rFonts w:ascii="Times New Roman" w:hAnsi="Times New Roman" w:cs="Times New Roman"/>
                <w:b/>
                <w:noProof/>
                <w:color w:val="000000"/>
                <w:sz w:val="18"/>
                <w:szCs w:val="18"/>
              </w:rPr>
              <w:t>Întreprinderi nou înființate care beneficiază de sprijin</w:t>
            </w:r>
          </w:p>
        </w:tc>
        <w:tc>
          <w:tcPr>
            <w:tcW w:w="724" w:type="pct"/>
            <w:tcBorders>
              <w:top w:val="single" w:sz="4" w:space="0" w:color="auto"/>
              <w:left w:val="single" w:sz="4" w:space="0" w:color="auto"/>
              <w:bottom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i/>
                <w:sz w:val="18"/>
                <w:szCs w:val="18"/>
                <w:lang w:val="en-US"/>
              </w:rPr>
            </w:pPr>
            <w:r>
              <w:rPr>
                <w:rFonts w:ascii="Times New Roman" w:hAnsi="Times New Roman" w:cs="Times New Roman"/>
                <w:b/>
                <w:i/>
                <w:sz w:val="18"/>
                <w:szCs w:val="18"/>
                <w:lang w:val="en-US"/>
              </w:rPr>
              <w:t>Intreprinderi</w:t>
            </w:r>
          </w:p>
        </w:tc>
        <w:tc>
          <w:tcPr>
            <w:tcW w:w="547" w:type="pct"/>
            <w:tcBorders>
              <w:top w:val="single" w:sz="4" w:space="0" w:color="auto"/>
              <w:left w:val="single" w:sz="4" w:space="0" w:color="auto"/>
              <w:bottom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sz w:val="18"/>
                <w:szCs w:val="18"/>
                <w:lang w:val="en-US"/>
              </w:rPr>
            </w:pPr>
            <w:r>
              <w:rPr>
                <w:rFonts w:ascii="Times New Roman" w:hAnsi="Times New Roman" w:cs="Times New Roman"/>
                <w:b/>
                <w:sz w:val="18"/>
                <w:szCs w:val="18"/>
                <w:lang w:val="en-US"/>
              </w:rPr>
              <w:t>0</w:t>
            </w:r>
          </w:p>
        </w:tc>
        <w:tc>
          <w:tcPr>
            <w:tcW w:w="606" w:type="pct"/>
            <w:tcBorders>
              <w:top w:val="single" w:sz="4" w:space="0" w:color="auto"/>
              <w:left w:val="single" w:sz="4" w:space="0" w:color="auto"/>
              <w:bottom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sz w:val="18"/>
                <w:szCs w:val="18"/>
                <w:lang w:val="en-US"/>
              </w:rPr>
            </w:pPr>
            <w:r>
              <w:rPr>
                <w:rFonts w:ascii="Times New Roman" w:hAnsi="Times New Roman" w:cs="Times New Roman"/>
                <w:b/>
                <w:sz w:val="18"/>
                <w:szCs w:val="18"/>
                <w:lang w:val="en-US"/>
              </w:rPr>
              <w:t>367</w:t>
            </w:r>
          </w:p>
        </w:tc>
      </w:tr>
      <w:tr w:rsidR="000A2CF3" w:rsidRPr="004D0F1C" w:rsidTr="007B330B">
        <w:trPr>
          <w:trHeight w:val="332"/>
        </w:trPr>
        <w:tc>
          <w:tcPr>
            <w:tcW w:w="589" w:type="pct"/>
            <w:vMerge/>
            <w:tcBorders>
              <w:left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i/>
                <w:sz w:val="18"/>
                <w:szCs w:val="18"/>
                <w:lang w:val="en-US"/>
              </w:rPr>
            </w:pPr>
          </w:p>
        </w:tc>
        <w:tc>
          <w:tcPr>
            <w:tcW w:w="637" w:type="pct"/>
            <w:vMerge/>
            <w:tcBorders>
              <w:left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i/>
                <w:sz w:val="18"/>
                <w:szCs w:val="18"/>
                <w:lang w:val="en-US"/>
              </w:rPr>
            </w:pPr>
          </w:p>
        </w:tc>
        <w:tc>
          <w:tcPr>
            <w:tcW w:w="340" w:type="pct"/>
            <w:vMerge/>
            <w:tcBorders>
              <w:left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i/>
                <w:sz w:val="18"/>
                <w:szCs w:val="18"/>
                <w:lang w:val="en-US"/>
              </w:rPr>
            </w:pPr>
          </w:p>
        </w:tc>
        <w:tc>
          <w:tcPr>
            <w:tcW w:w="497" w:type="pct"/>
            <w:vMerge/>
            <w:tcBorders>
              <w:left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i/>
                <w:sz w:val="18"/>
                <w:szCs w:val="18"/>
                <w:lang w:val="en-US"/>
              </w:rPr>
            </w:pPr>
          </w:p>
        </w:tc>
        <w:tc>
          <w:tcPr>
            <w:tcW w:w="312" w:type="pct"/>
            <w:vMerge/>
            <w:tcBorders>
              <w:left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i/>
                <w:sz w:val="18"/>
                <w:szCs w:val="18"/>
                <w:lang w:val="en-US"/>
              </w:rPr>
            </w:pPr>
          </w:p>
        </w:tc>
        <w:tc>
          <w:tcPr>
            <w:tcW w:w="748" w:type="pct"/>
            <w:tcBorders>
              <w:top w:val="single" w:sz="4" w:space="0" w:color="auto"/>
              <w:left w:val="single" w:sz="4" w:space="0" w:color="auto"/>
              <w:bottom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noProof/>
                <w:color w:val="000000"/>
                <w:sz w:val="18"/>
                <w:szCs w:val="18"/>
              </w:rPr>
            </w:pPr>
            <w:r w:rsidRPr="004D0F1C">
              <w:rPr>
                <w:rFonts w:ascii="Times New Roman" w:hAnsi="Times New Roman" w:cs="Times New Roman"/>
                <w:b/>
                <w:noProof/>
                <w:color w:val="000000"/>
                <w:sz w:val="18"/>
                <w:szCs w:val="18"/>
              </w:rPr>
              <w:t>13 RCO 15 - Capacități create pentru pepinierele de afaceri</w:t>
            </w:r>
          </w:p>
        </w:tc>
        <w:tc>
          <w:tcPr>
            <w:tcW w:w="724" w:type="pct"/>
            <w:tcBorders>
              <w:top w:val="single" w:sz="4" w:space="0" w:color="auto"/>
              <w:left w:val="single" w:sz="4" w:space="0" w:color="auto"/>
              <w:bottom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i/>
                <w:sz w:val="18"/>
                <w:szCs w:val="18"/>
                <w:lang w:val="en-US"/>
              </w:rPr>
            </w:pPr>
            <w:r w:rsidRPr="004D0F1C">
              <w:rPr>
                <w:rFonts w:ascii="Times New Roman" w:hAnsi="Times New Roman" w:cs="Times New Roman"/>
                <w:b/>
                <w:i/>
                <w:sz w:val="18"/>
                <w:szCs w:val="18"/>
                <w:lang w:val="en-US"/>
              </w:rPr>
              <w:t>Întreprinderi</w:t>
            </w:r>
          </w:p>
        </w:tc>
        <w:tc>
          <w:tcPr>
            <w:tcW w:w="547" w:type="pct"/>
            <w:tcBorders>
              <w:top w:val="single" w:sz="4" w:space="0" w:color="auto"/>
              <w:left w:val="single" w:sz="4" w:space="0" w:color="auto"/>
              <w:bottom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sz w:val="18"/>
                <w:szCs w:val="18"/>
                <w:lang w:val="en-US"/>
              </w:rPr>
            </w:pPr>
            <w:r>
              <w:rPr>
                <w:rFonts w:ascii="Times New Roman" w:hAnsi="Times New Roman" w:cs="Times New Roman"/>
                <w:b/>
                <w:sz w:val="18"/>
                <w:szCs w:val="18"/>
                <w:lang w:val="en-US"/>
              </w:rPr>
              <w:t>0</w:t>
            </w:r>
          </w:p>
        </w:tc>
        <w:tc>
          <w:tcPr>
            <w:tcW w:w="606" w:type="pct"/>
            <w:tcBorders>
              <w:top w:val="single" w:sz="4" w:space="0" w:color="auto"/>
              <w:left w:val="single" w:sz="4" w:space="0" w:color="auto"/>
              <w:bottom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sz w:val="18"/>
                <w:szCs w:val="18"/>
                <w:lang w:val="en-US"/>
              </w:rPr>
            </w:pPr>
            <w:r>
              <w:rPr>
                <w:rFonts w:ascii="Times New Roman" w:hAnsi="Times New Roman" w:cs="Times New Roman"/>
                <w:b/>
                <w:sz w:val="18"/>
                <w:szCs w:val="18"/>
                <w:lang w:val="en-US"/>
              </w:rPr>
              <w:t>15</w:t>
            </w:r>
          </w:p>
        </w:tc>
      </w:tr>
      <w:tr w:rsidR="000A2CF3" w:rsidRPr="004D0F1C" w:rsidTr="007B330B">
        <w:trPr>
          <w:trHeight w:val="332"/>
        </w:trPr>
        <w:tc>
          <w:tcPr>
            <w:tcW w:w="589" w:type="pct"/>
            <w:vMerge/>
            <w:tcBorders>
              <w:left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i/>
                <w:sz w:val="18"/>
                <w:szCs w:val="18"/>
                <w:lang w:val="en-US"/>
              </w:rPr>
            </w:pPr>
          </w:p>
        </w:tc>
        <w:tc>
          <w:tcPr>
            <w:tcW w:w="637" w:type="pct"/>
            <w:vMerge/>
            <w:tcBorders>
              <w:left w:val="single" w:sz="4" w:space="0" w:color="auto"/>
              <w:bottom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i/>
                <w:sz w:val="18"/>
                <w:szCs w:val="18"/>
                <w:lang w:val="en-US"/>
              </w:rPr>
            </w:pPr>
          </w:p>
        </w:tc>
        <w:tc>
          <w:tcPr>
            <w:tcW w:w="340" w:type="pct"/>
            <w:vMerge/>
            <w:tcBorders>
              <w:left w:val="single" w:sz="4" w:space="0" w:color="auto"/>
              <w:bottom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i/>
                <w:sz w:val="18"/>
                <w:szCs w:val="18"/>
                <w:lang w:val="en-US"/>
              </w:rPr>
            </w:pPr>
          </w:p>
        </w:tc>
        <w:tc>
          <w:tcPr>
            <w:tcW w:w="497" w:type="pct"/>
            <w:vMerge/>
            <w:tcBorders>
              <w:left w:val="single" w:sz="4" w:space="0" w:color="auto"/>
              <w:bottom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i/>
                <w:sz w:val="18"/>
                <w:szCs w:val="18"/>
                <w:lang w:val="en-US"/>
              </w:rPr>
            </w:pPr>
          </w:p>
        </w:tc>
        <w:tc>
          <w:tcPr>
            <w:tcW w:w="312" w:type="pct"/>
            <w:vMerge/>
            <w:tcBorders>
              <w:left w:val="single" w:sz="4" w:space="0" w:color="auto"/>
              <w:bottom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i/>
                <w:sz w:val="18"/>
                <w:szCs w:val="18"/>
                <w:lang w:val="en-US"/>
              </w:rPr>
            </w:pPr>
          </w:p>
        </w:tc>
        <w:tc>
          <w:tcPr>
            <w:tcW w:w="748" w:type="pct"/>
            <w:tcBorders>
              <w:top w:val="single" w:sz="4" w:space="0" w:color="auto"/>
              <w:left w:val="single" w:sz="4" w:space="0" w:color="auto"/>
              <w:bottom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noProof/>
                <w:color w:val="000000"/>
                <w:sz w:val="18"/>
                <w:szCs w:val="18"/>
              </w:rPr>
            </w:pPr>
            <w:r w:rsidRPr="004D0F1C">
              <w:rPr>
                <w:rFonts w:ascii="Times New Roman" w:hAnsi="Times New Roman" w:cs="Times New Roman"/>
                <w:b/>
                <w:sz w:val="18"/>
                <w:szCs w:val="18"/>
                <w:lang w:eastAsia="en-GB"/>
              </w:rPr>
              <w:t>13 RCO 103 - High growth enterprises supported</w:t>
            </w:r>
            <w:r w:rsidRPr="004D0F1C">
              <w:rPr>
                <w:rFonts w:ascii="Times New Roman" w:hAnsi="Times New Roman" w:cs="Times New Roman"/>
                <w:b/>
                <w:sz w:val="18"/>
                <w:szCs w:val="18"/>
                <w:vertAlign w:val="superscript"/>
                <w:lang w:eastAsia="en-GB"/>
              </w:rPr>
              <w:t>*</w:t>
            </w:r>
          </w:p>
        </w:tc>
        <w:tc>
          <w:tcPr>
            <w:tcW w:w="724" w:type="pct"/>
            <w:tcBorders>
              <w:top w:val="single" w:sz="4" w:space="0" w:color="auto"/>
              <w:left w:val="single" w:sz="4" w:space="0" w:color="auto"/>
              <w:bottom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i/>
                <w:sz w:val="18"/>
                <w:szCs w:val="18"/>
                <w:lang w:val="en-US"/>
              </w:rPr>
            </w:pPr>
            <w:r w:rsidRPr="004D0F1C">
              <w:rPr>
                <w:rFonts w:ascii="Times New Roman" w:hAnsi="Times New Roman" w:cs="Times New Roman"/>
                <w:b/>
                <w:i/>
                <w:sz w:val="18"/>
                <w:szCs w:val="18"/>
                <w:lang w:val="en-US"/>
              </w:rPr>
              <w:t>Întreprinderi</w:t>
            </w:r>
          </w:p>
        </w:tc>
        <w:tc>
          <w:tcPr>
            <w:tcW w:w="547" w:type="pct"/>
            <w:tcBorders>
              <w:top w:val="single" w:sz="4" w:space="0" w:color="auto"/>
              <w:left w:val="single" w:sz="4" w:space="0" w:color="auto"/>
              <w:bottom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sz w:val="18"/>
                <w:szCs w:val="18"/>
                <w:lang w:val="en-US"/>
              </w:rPr>
            </w:pPr>
            <w:r>
              <w:rPr>
                <w:rFonts w:ascii="Times New Roman" w:hAnsi="Times New Roman" w:cs="Times New Roman"/>
                <w:b/>
                <w:sz w:val="18"/>
                <w:szCs w:val="18"/>
                <w:lang w:val="en-US"/>
              </w:rPr>
              <w:t>0</w:t>
            </w:r>
          </w:p>
        </w:tc>
        <w:tc>
          <w:tcPr>
            <w:tcW w:w="606" w:type="pct"/>
            <w:tcBorders>
              <w:top w:val="single" w:sz="4" w:space="0" w:color="auto"/>
              <w:left w:val="single" w:sz="4" w:space="0" w:color="auto"/>
              <w:bottom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sz w:val="18"/>
                <w:szCs w:val="18"/>
                <w:lang w:val="en-US"/>
              </w:rPr>
            </w:pPr>
            <w:r>
              <w:rPr>
                <w:rFonts w:ascii="Times New Roman" w:hAnsi="Times New Roman" w:cs="Times New Roman"/>
                <w:b/>
                <w:sz w:val="18"/>
                <w:szCs w:val="18"/>
                <w:lang w:val="en-US"/>
              </w:rPr>
              <w:t>38</w:t>
            </w:r>
          </w:p>
        </w:tc>
      </w:tr>
      <w:tr w:rsidR="000A2CF3" w:rsidRPr="004D0F1C" w:rsidTr="007B330B">
        <w:trPr>
          <w:trHeight w:val="332"/>
        </w:trPr>
        <w:tc>
          <w:tcPr>
            <w:tcW w:w="589" w:type="pct"/>
            <w:vMerge/>
            <w:tcBorders>
              <w:left w:val="single" w:sz="4" w:space="0" w:color="auto"/>
              <w:bottom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i/>
                <w:sz w:val="18"/>
                <w:szCs w:val="18"/>
                <w:lang w:val="en-US"/>
              </w:rPr>
            </w:pPr>
          </w:p>
        </w:tc>
        <w:tc>
          <w:tcPr>
            <w:tcW w:w="637" w:type="pct"/>
            <w:tcBorders>
              <w:top w:val="single" w:sz="4" w:space="0" w:color="auto"/>
              <w:left w:val="single" w:sz="4" w:space="0" w:color="auto"/>
              <w:bottom w:val="single" w:sz="4" w:space="0" w:color="auto"/>
              <w:right w:val="single" w:sz="4" w:space="0" w:color="auto"/>
            </w:tcBorders>
          </w:tcPr>
          <w:p w:rsidR="000A2CF3" w:rsidRPr="00BF45C4" w:rsidRDefault="000A2CF3" w:rsidP="000A2CF3">
            <w:pPr>
              <w:spacing w:before="120" w:after="120" w:line="240" w:lineRule="auto"/>
              <w:rPr>
                <w:rFonts w:ascii="Times New Roman" w:eastAsia="Times New Roman" w:hAnsi="Times New Roman" w:cs="Times New Roman"/>
                <w:b/>
                <w:bCs/>
                <w:i/>
                <w:iCs/>
                <w:noProof/>
                <w:sz w:val="18"/>
                <w:szCs w:val="18"/>
                <w:lang w:val="en-US"/>
              </w:rPr>
            </w:pPr>
            <w:r>
              <w:rPr>
                <w:rFonts w:ascii="Times New Roman" w:eastAsia="Times New Roman" w:hAnsi="Times New Roman" w:cs="Times New Roman"/>
                <w:b/>
                <w:bCs/>
                <w:i/>
                <w:iCs/>
                <w:noProof/>
                <w:sz w:val="18"/>
                <w:szCs w:val="18"/>
                <w:lang w:val="en-US"/>
              </w:rPr>
              <w:t xml:space="preserve">SO 3- </w:t>
            </w:r>
            <w:r w:rsidRPr="00BF45C4">
              <w:rPr>
                <w:rFonts w:ascii="Times New Roman" w:eastAsia="Times New Roman" w:hAnsi="Times New Roman" w:cs="Times New Roman"/>
                <w:b/>
                <w:bCs/>
                <w:i/>
                <w:iCs/>
                <w:noProof/>
                <w:sz w:val="18"/>
                <w:szCs w:val="18"/>
                <w:lang w:val="en-US"/>
              </w:rPr>
              <w:t>a (iv) Dezvoltarea competențelor pentru specializare inteligentă, tranziție industrială și antreprenoriat</w:t>
            </w:r>
          </w:p>
          <w:p w:rsidR="000A2CF3" w:rsidRPr="004D0F1C" w:rsidRDefault="000A2CF3" w:rsidP="000A2CF3">
            <w:pPr>
              <w:spacing w:after="0" w:line="240" w:lineRule="auto"/>
              <w:rPr>
                <w:rFonts w:ascii="Times New Roman" w:hAnsi="Times New Roman" w:cs="Times New Roman"/>
                <w:b/>
                <w:i/>
                <w:sz w:val="18"/>
                <w:szCs w:val="18"/>
                <w:lang w:val="en-US"/>
              </w:rPr>
            </w:pPr>
          </w:p>
        </w:tc>
        <w:tc>
          <w:tcPr>
            <w:tcW w:w="340" w:type="pct"/>
            <w:tcBorders>
              <w:top w:val="single" w:sz="4" w:space="0" w:color="auto"/>
              <w:left w:val="single" w:sz="4" w:space="0" w:color="auto"/>
              <w:bottom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i/>
                <w:sz w:val="18"/>
                <w:szCs w:val="18"/>
                <w:lang w:val="en-US"/>
              </w:rPr>
            </w:pPr>
          </w:p>
        </w:tc>
        <w:tc>
          <w:tcPr>
            <w:tcW w:w="497" w:type="pct"/>
            <w:tcBorders>
              <w:top w:val="single" w:sz="4" w:space="0" w:color="auto"/>
              <w:left w:val="single" w:sz="4" w:space="0" w:color="auto"/>
              <w:bottom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i/>
                <w:sz w:val="18"/>
                <w:szCs w:val="18"/>
                <w:lang w:val="en-US"/>
              </w:rPr>
            </w:pPr>
          </w:p>
        </w:tc>
        <w:tc>
          <w:tcPr>
            <w:tcW w:w="312" w:type="pct"/>
            <w:tcBorders>
              <w:top w:val="single" w:sz="4" w:space="0" w:color="auto"/>
              <w:left w:val="single" w:sz="4" w:space="0" w:color="auto"/>
              <w:bottom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i/>
                <w:sz w:val="18"/>
                <w:szCs w:val="18"/>
                <w:lang w:val="en-US"/>
              </w:rPr>
            </w:pPr>
          </w:p>
        </w:tc>
        <w:tc>
          <w:tcPr>
            <w:tcW w:w="748" w:type="pct"/>
            <w:tcBorders>
              <w:top w:val="single" w:sz="4" w:space="0" w:color="auto"/>
              <w:left w:val="single" w:sz="4" w:space="0" w:color="auto"/>
              <w:bottom w:val="single" w:sz="4" w:space="0" w:color="auto"/>
              <w:right w:val="single" w:sz="4" w:space="0" w:color="auto"/>
            </w:tcBorders>
          </w:tcPr>
          <w:p w:rsidR="000A2CF3" w:rsidRPr="004D0F1C" w:rsidRDefault="000A2CF3" w:rsidP="000A2CF3">
            <w:pPr>
              <w:spacing w:after="0" w:line="240" w:lineRule="auto"/>
              <w:rPr>
                <w:rFonts w:ascii="Times New Roman" w:eastAsia="Times New Roman" w:hAnsi="Times New Roman" w:cs="Times New Roman"/>
                <w:b/>
                <w:strike/>
                <w:color w:val="000000"/>
                <w:sz w:val="18"/>
                <w:szCs w:val="18"/>
                <w:u w:val="single"/>
                <w:lang w:eastAsia="en-GB"/>
              </w:rPr>
            </w:pPr>
            <w:r w:rsidRPr="004D0F1C">
              <w:rPr>
                <w:rFonts w:ascii="Times New Roman" w:eastAsia="Times New Roman" w:hAnsi="Times New Roman" w:cs="Times New Roman"/>
                <w:b/>
                <w:color w:val="000000"/>
                <w:sz w:val="18"/>
                <w:szCs w:val="18"/>
                <w:lang w:eastAsia="en-GB"/>
              </w:rPr>
              <w:t xml:space="preserve">13 RCO 101 – SMEs investing in skills for smart specialisation </w:t>
            </w:r>
            <w:r w:rsidRPr="004D0F1C">
              <w:rPr>
                <w:rFonts w:ascii="Times New Roman" w:eastAsia="Times New Roman" w:hAnsi="Times New Roman" w:cs="Times New Roman"/>
                <w:b/>
                <w:color w:val="000000"/>
                <w:sz w:val="18"/>
                <w:szCs w:val="18"/>
                <w:u w:val="single"/>
                <w:lang w:eastAsia="en-GB"/>
              </w:rPr>
              <w:t>, for industrial transition and entrepreneurship</w:t>
            </w:r>
          </w:p>
          <w:p w:rsidR="000A2CF3" w:rsidRPr="004D0F1C" w:rsidRDefault="000A2CF3" w:rsidP="000A2CF3">
            <w:pPr>
              <w:spacing w:after="0" w:line="240" w:lineRule="auto"/>
              <w:rPr>
                <w:rFonts w:ascii="Times New Roman" w:hAnsi="Times New Roman" w:cs="Times New Roman"/>
                <w:b/>
                <w:sz w:val="18"/>
                <w:szCs w:val="18"/>
                <w:lang w:eastAsia="en-GB"/>
              </w:rPr>
            </w:pPr>
          </w:p>
        </w:tc>
        <w:tc>
          <w:tcPr>
            <w:tcW w:w="724" w:type="pct"/>
            <w:tcBorders>
              <w:top w:val="single" w:sz="4" w:space="0" w:color="auto"/>
              <w:left w:val="single" w:sz="4" w:space="0" w:color="auto"/>
              <w:bottom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i/>
                <w:sz w:val="18"/>
                <w:szCs w:val="18"/>
                <w:lang w:val="en-US"/>
              </w:rPr>
            </w:pPr>
            <w:r w:rsidRPr="004D0F1C">
              <w:rPr>
                <w:rFonts w:ascii="Times New Roman" w:hAnsi="Times New Roman" w:cs="Times New Roman"/>
                <w:b/>
                <w:i/>
                <w:sz w:val="18"/>
                <w:szCs w:val="18"/>
                <w:lang w:val="en-US"/>
              </w:rPr>
              <w:t>Întreprinderi</w:t>
            </w:r>
          </w:p>
        </w:tc>
        <w:tc>
          <w:tcPr>
            <w:tcW w:w="547" w:type="pct"/>
            <w:tcBorders>
              <w:top w:val="single" w:sz="4" w:space="0" w:color="auto"/>
              <w:left w:val="single" w:sz="4" w:space="0" w:color="auto"/>
              <w:bottom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sz w:val="18"/>
                <w:szCs w:val="18"/>
                <w:lang w:val="en-US"/>
              </w:rPr>
            </w:pPr>
            <w:r>
              <w:rPr>
                <w:rFonts w:ascii="Times New Roman" w:hAnsi="Times New Roman" w:cs="Times New Roman"/>
                <w:b/>
                <w:sz w:val="18"/>
                <w:szCs w:val="18"/>
                <w:lang w:val="en-US"/>
              </w:rPr>
              <w:t>50</w:t>
            </w:r>
          </w:p>
        </w:tc>
        <w:tc>
          <w:tcPr>
            <w:tcW w:w="606" w:type="pct"/>
            <w:tcBorders>
              <w:top w:val="single" w:sz="4" w:space="0" w:color="auto"/>
              <w:left w:val="single" w:sz="4" w:space="0" w:color="auto"/>
              <w:bottom w:val="single" w:sz="4" w:space="0" w:color="auto"/>
              <w:right w:val="single" w:sz="4" w:space="0" w:color="auto"/>
            </w:tcBorders>
          </w:tcPr>
          <w:p w:rsidR="000A2CF3" w:rsidRPr="004D0F1C" w:rsidRDefault="000A2CF3" w:rsidP="000A2CF3">
            <w:pPr>
              <w:spacing w:after="0" w:line="240" w:lineRule="auto"/>
              <w:rPr>
                <w:rFonts w:ascii="Times New Roman" w:hAnsi="Times New Roman" w:cs="Times New Roman"/>
                <w:b/>
                <w:sz w:val="18"/>
                <w:szCs w:val="18"/>
                <w:lang w:val="en-US"/>
              </w:rPr>
            </w:pPr>
            <w:r>
              <w:rPr>
                <w:rFonts w:ascii="Times New Roman" w:hAnsi="Times New Roman" w:cs="Times New Roman"/>
                <w:b/>
                <w:sz w:val="18"/>
                <w:szCs w:val="18"/>
                <w:lang w:val="en-US"/>
              </w:rPr>
              <w:t>482</w:t>
            </w:r>
          </w:p>
        </w:tc>
      </w:tr>
    </w:tbl>
    <w:p w:rsidR="00F8597A" w:rsidRDefault="00F8597A" w:rsidP="00F8597A">
      <w:pPr>
        <w:rPr>
          <w:rFonts w:ascii="Times New Roman" w:hAnsi="Times New Roman" w:cs="Times New Roman"/>
          <w:b/>
          <w:sz w:val="18"/>
          <w:szCs w:val="18"/>
          <w:lang w:val="en-GB"/>
        </w:rPr>
      </w:pPr>
    </w:p>
    <w:tbl>
      <w:tblPr>
        <w:tblW w:w="5356"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7"/>
        <w:gridCol w:w="994"/>
        <w:gridCol w:w="564"/>
        <w:gridCol w:w="792"/>
        <w:gridCol w:w="524"/>
        <w:gridCol w:w="958"/>
        <w:gridCol w:w="1123"/>
        <w:gridCol w:w="834"/>
        <w:gridCol w:w="866"/>
        <w:gridCol w:w="785"/>
        <w:gridCol w:w="779"/>
        <w:gridCol w:w="1410"/>
      </w:tblGrid>
      <w:tr w:rsidR="00351E4A" w:rsidRPr="00F000AD" w:rsidTr="007B330B">
        <w:trPr>
          <w:trHeight w:val="480"/>
        </w:trPr>
        <w:tc>
          <w:tcPr>
            <w:tcW w:w="5000" w:type="pct"/>
            <w:gridSpan w:val="12"/>
            <w:tcBorders>
              <w:top w:val="single" w:sz="4" w:space="0" w:color="auto"/>
              <w:left w:val="single" w:sz="4" w:space="0" w:color="auto"/>
              <w:bottom w:val="single" w:sz="4" w:space="0" w:color="auto"/>
              <w:right w:val="single" w:sz="4" w:space="0" w:color="auto"/>
            </w:tcBorders>
            <w:hideMark/>
          </w:tcPr>
          <w:p w:rsidR="00351E4A" w:rsidRPr="00351E4A" w:rsidRDefault="00351E4A" w:rsidP="00275CAD">
            <w:pPr>
              <w:spacing w:after="0" w:line="240" w:lineRule="auto"/>
              <w:rPr>
                <w:b/>
                <w:iCs/>
                <w:lang w:val="en-US"/>
              </w:rPr>
            </w:pPr>
            <w:r w:rsidRPr="00F000AD">
              <w:rPr>
                <w:b/>
                <w:iCs/>
                <w:lang w:val="en-US"/>
              </w:rPr>
              <w:t>Table 3: Result indicators</w:t>
            </w:r>
          </w:p>
        </w:tc>
      </w:tr>
      <w:tr w:rsidR="00351E4A" w:rsidRPr="00F000AD" w:rsidTr="007B330B">
        <w:trPr>
          <w:trHeight w:val="1768"/>
        </w:trPr>
        <w:tc>
          <w:tcPr>
            <w:tcW w:w="439" w:type="pct"/>
            <w:tcBorders>
              <w:top w:val="single" w:sz="4" w:space="0" w:color="auto"/>
              <w:left w:val="single" w:sz="4" w:space="0" w:color="auto"/>
              <w:bottom w:val="single" w:sz="4" w:space="0" w:color="auto"/>
              <w:right w:val="single" w:sz="4" w:space="0" w:color="auto"/>
            </w:tcBorders>
            <w:hideMark/>
          </w:tcPr>
          <w:p w:rsidR="00351E4A" w:rsidRPr="00F000AD" w:rsidRDefault="00351E4A" w:rsidP="00275CAD">
            <w:pPr>
              <w:spacing w:after="0" w:line="240" w:lineRule="auto"/>
              <w:rPr>
                <w:b/>
                <w:lang w:val="en-US"/>
              </w:rPr>
            </w:pPr>
            <w:r w:rsidRPr="00F000AD">
              <w:rPr>
                <w:b/>
                <w:lang w:val="en-US"/>
              </w:rPr>
              <w:t xml:space="preserve">Priority </w:t>
            </w:r>
          </w:p>
        </w:tc>
        <w:tc>
          <w:tcPr>
            <w:tcW w:w="471" w:type="pct"/>
            <w:tcBorders>
              <w:top w:val="single" w:sz="4" w:space="0" w:color="auto"/>
              <w:left w:val="single" w:sz="4" w:space="0" w:color="auto"/>
              <w:bottom w:val="single" w:sz="4" w:space="0" w:color="auto"/>
              <w:right w:val="single" w:sz="4" w:space="0" w:color="auto"/>
            </w:tcBorders>
            <w:hideMark/>
          </w:tcPr>
          <w:p w:rsidR="00351E4A" w:rsidRPr="00F000AD" w:rsidRDefault="00351E4A" w:rsidP="00275CAD">
            <w:pPr>
              <w:spacing w:after="0" w:line="240" w:lineRule="auto"/>
              <w:rPr>
                <w:b/>
                <w:lang w:val="en-US"/>
              </w:rPr>
            </w:pPr>
            <w:r w:rsidRPr="00F000AD">
              <w:rPr>
                <w:b/>
                <w:lang w:val="en-US"/>
              </w:rPr>
              <w:t>Specific objective (Investment for Jobs and Growth goal or EMFF)</w:t>
            </w:r>
          </w:p>
        </w:tc>
        <w:tc>
          <w:tcPr>
            <w:tcW w:w="267" w:type="pct"/>
            <w:tcBorders>
              <w:top w:val="single" w:sz="4" w:space="0" w:color="auto"/>
              <w:left w:val="single" w:sz="4" w:space="0" w:color="auto"/>
              <w:bottom w:val="single" w:sz="4" w:space="0" w:color="auto"/>
              <w:right w:val="single" w:sz="4" w:space="0" w:color="auto"/>
            </w:tcBorders>
            <w:hideMark/>
          </w:tcPr>
          <w:p w:rsidR="00351E4A" w:rsidRPr="00F000AD" w:rsidRDefault="00351E4A" w:rsidP="00275CAD">
            <w:pPr>
              <w:spacing w:after="0" w:line="240" w:lineRule="auto"/>
              <w:rPr>
                <w:b/>
                <w:lang w:val="en-US"/>
              </w:rPr>
            </w:pPr>
            <w:r w:rsidRPr="00F000AD">
              <w:rPr>
                <w:b/>
                <w:lang w:val="en-US"/>
              </w:rPr>
              <w:t>Fund</w:t>
            </w:r>
          </w:p>
        </w:tc>
        <w:tc>
          <w:tcPr>
            <w:tcW w:w="375" w:type="pct"/>
            <w:tcBorders>
              <w:top w:val="single" w:sz="4" w:space="0" w:color="auto"/>
              <w:left w:val="single" w:sz="4" w:space="0" w:color="auto"/>
              <w:bottom w:val="single" w:sz="4" w:space="0" w:color="auto"/>
              <w:right w:val="single" w:sz="4" w:space="0" w:color="auto"/>
            </w:tcBorders>
            <w:hideMark/>
          </w:tcPr>
          <w:p w:rsidR="00351E4A" w:rsidRPr="00F000AD" w:rsidRDefault="00351E4A" w:rsidP="00275CAD">
            <w:pPr>
              <w:spacing w:after="0" w:line="240" w:lineRule="auto"/>
              <w:rPr>
                <w:b/>
                <w:lang w:val="en-US"/>
              </w:rPr>
            </w:pPr>
            <w:r w:rsidRPr="00F000AD">
              <w:rPr>
                <w:b/>
                <w:lang w:val="en-US"/>
              </w:rPr>
              <w:t>Category of region</w:t>
            </w:r>
            <w:r w:rsidRPr="00F000AD">
              <w:rPr>
                <w:lang w:val="en-US"/>
              </w:rPr>
              <w:t xml:space="preserve"> </w:t>
            </w:r>
          </w:p>
        </w:tc>
        <w:tc>
          <w:tcPr>
            <w:tcW w:w="248" w:type="pct"/>
            <w:tcBorders>
              <w:top w:val="single" w:sz="4" w:space="0" w:color="auto"/>
              <w:left w:val="single" w:sz="4" w:space="0" w:color="auto"/>
              <w:bottom w:val="single" w:sz="4" w:space="0" w:color="auto"/>
              <w:right w:val="single" w:sz="4" w:space="0" w:color="auto"/>
            </w:tcBorders>
            <w:hideMark/>
          </w:tcPr>
          <w:p w:rsidR="00351E4A" w:rsidRPr="00F000AD" w:rsidRDefault="00351E4A" w:rsidP="00275CAD">
            <w:pPr>
              <w:spacing w:after="0" w:line="240" w:lineRule="auto"/>
              <w:rPr>
                <w:b/>
                <w:lang w:val="en-US"/>
              </w:rPr>
            </w:pPr>
            <w:r w:rsidRPr="00F000AD">
              <w:rPr>
                <w:b/>
                <w:lang w:val="en-US"/>
              </w:rPr>
              <w:t>ID [5]</w:t>
            </w:r>
          </w:p>
        </w:tc>
        <w:tc>
          <w:tcPr>
            <w:tcW w:w="454" w:type="pct"/>
            <w:tcBorders>
              <w:top w:val="single" w:sz="4" w:space="0" w:color="auto"/>
              <w:left w:val="single" w:sz="4" w:space="0" w:color="auto"/>
              <w:bottom w:val="single" w:sz="4" w:space="0" w:color="auto"/>
              <w:right w:val="single" w:sz="4" w:space="0" w:color="auto"/>
            </w:tcBorders>
            <w:hideMark/>
          </w:tcPr>
          <w:p w:rsidR="00351E4A" w:rsidRPr="00F000AD" w:rsidRDefault="00351E4A" w:rsidP="00275CAD">
            <w:pPr>
              <w:spacing w:after="0" w:line="240" w:lineRule="auto"/>
              <w:rPr>
                <w:b/>
                <w:lang w:val="en-US"/>
              </w:rPr>
            </w:pPr>
            <w:r w:rsidRPr="00F000AD">
              <w:rPr>
                <w:b/>
                <w:lang w:val="en-US"/>
              </w:rPr>
              <w:t>Indicator [255]</w:t>
            </w:r>
          </w:p>
        </w:tc>
        <w:tc>
          <w:tcPr>
            <w:tcW w:w="532" w:type="pct"/>
            <w:tcBorders>
              <w:top w:val="single" w:sz="4" w:space="0" w:color="auto"/>
              <w:left w:val="single" w:sz="4" w:space="0" w:color="auto"/>
              <w:bottom w:val="single" w:sz="4" w:space="0" w:color="auto"/>
              <w:right w:val="single" w:sz="4" w:space="0" w:color="auto"/>
            </w:tcBorders>
            <w:hideMark/>
          </w:tcPr>
          <w:p w:rsidR="00351E4A" w:rsidRPr="00F000AD" w:rsidRDefault="00351E4A" w:rsidP="00275CAD">
            <w:pPr>
              <w:spacing w:after="0" w:line="240" w:lineRule="auto"/>
              <w:rPr>
                <w:b/>
                <w:lang w:val="en-US"/>
              </w:rPr>
            </w:pPr>
            <w:r w:rsidRPr="00F000AD">
              <w:rPr>
                <w:b/>
                <w:lang w:val="en-US"/>
              </w:rPr>
              <w:t>Measurement unit</w:t>
            </w:r>
          </w:p>
        </w:tc>
        <w:tc>
          <w:tcPr>
            <w:tcW w:w="395" w:type="pct"/>
            <w:tcBorders>
              <w:top w:val="single" w:sz="4" w:space="0" w:color="auto"/>
              <w:left w:val="single" w:sz="4" w:space="0" w:color="auto"/>
              <w:bottom w:val="single" w:sz="4" w:space="0" w:color="auto"/>
              <w:right w:val="single" w:sz="4" w:space="0" w:color="auto"/>
            </w:tcBorders>
            <w:hideMark/>
          </w:tcPr>
          <w:p w:rsidR="00351E4A" w:rsidRPr="00F000AD" w:rsidRDefault="00351E4A" w:rsidP="00275CAD">
            <w:pPr>
              <w:spacing w:after="0" w:line="240" w:lineRule="auto"/>
              <w:rPr>
                <w:b/>
                <w:lang w:val="en-US"/>
              </w:rPr>
            </w:pPr>
            <w:r w:rsidRPr="00F000AD">
              <w:rPr>
                <w:b/>
                <w:lang w:val="en-US"/>
              </w:rPr>
              <w:t>Baseline or reference value</w:t>
            </w:r>
          </w:p>
        </w:tc>
        <w:tc>
          <w:tcPr>
            <w:tcW w:w="410" w:type="pct"/>
            <w:tcBorders>
              <w:top w:val="single" w:sz="4" w:space="0" w:color="auto"/>
              <w:left w:val="single" w:sz="4" w:space="0" w:color="auto"/>
              <w:bottom w:val="single" w:sz="4" w:space="0" w:color="auto"/>
              <w:right w:val="single" w:sz="4" w:space="0" w:color="auto"/>
            </w:tcBorders>
            <w:hideMark/>
          </w:tcPr>
          <w:p w:rsidR="00351E4A" w:rsidRPr="00F000AD" w:rsidRDefault="00351E4A" w:rsidP="00275CAD">
            <w:pPr>
              <w:spacing w:after="0" w:line="240" w:lineRule="auto"/>
              <w:rPr>
                <w:b/>
                <w:lang w:val="en-US"/>
              </w:rPr>
            </w:pPr>
            <w:r w:rsidRPr="00F000AD">
              <w:rPr>
                <w:b/>
                <w:lang w:val="en-US"/>
              </w:rPr>
              <w:t>Reference year</w:t>
            </w:r>
          </w:p>
        </w:tc>
        <w:tc>
          <w:tcPr>
            <w:tcW w:w="372" w:type="pct"/>
            <w:tcBorders>
              <w:top w:val="single" w:sz="4" w:space="0" w:color="auto"/>
              <w:left w:val="single" w:sz="4" w:space="0" w:color="auto"/>
              <w:bottom w:val="single" w:sz="4" w:space="0" w:color="auto"/>
              <w:right w:val="single" w:sz="4" w:space="0" w:color="auto"/>
            </w:tcBorders>
          </w:tcPr>
          <w:p w:rsidR="00351E4A" w:rsidRPr="00F000AD" w:rsidRDefault="00351E4A" w:rsidP="00275CAD">
            <w:pPr>
              <w:spacing w:after="0" w:line="240" w:lineRule="auto"/>
              <w:rPr>
                <w:b/>
                <w:lang w:val="en-US"/>
              </w:rPr>
            </w:pPr>
            <w:r w:rsidRPr="00F000AD">
              <w:rPr>
                <w:b/>
                <w:lang w:val="en-US"/>
              </w:rPr>
              <w:t>Target (2029)</w:t>
            </w:r>
          </w:p>
          <w:p w:rsidR="00351E4A" w:rsidRPr="00F000AD" w:rsidRDefault="00351E4A" w:rsidP="00275CAD">
            <w:pPr>
              <w:spacing w:after="0" w:line="240" w:lineRule="auto"/>
              <w:rPr>
                <w:b/>
                <w:lang w:val="en-US"/>
              </w:rPr>
            </w:pPr>
          </w:p>
        </w:tc>
        <w:tc>
          <w:tcPr>
            <w:tcW w:w="369" w:type="pct"/>
            <w:tcBorders>
              <w:top w:val="single" w:sz="4" w:space="0" w:color="auto"/>
              <w:left w:val="single" w:sz="4" w:space="0" w:color="auto"/>
              <w:bottom w:val="single" w:sz="4" w:space="0" w:color="auto"/>
              <w:right w:val="single" w:sz="4" w:space="0" w:color="auto"/>
            </w:tcBorders>
            <w:hideMark/>
          </w:tcPr>
          <w:p w:rsidR="00351E4A" w:rsidRPr="00F000AD" w:rsidRDefault="00351E4A" w:rsidP="00275CAD">
            <w:pPr>
              <w:spacing w:after="0" w:line="240" w:lineRule="auto"/>
              <w:rPr>
                <w:b/>
                <w:lang w:val="en-US"/>
              </w:rPr>
            </w:pPr>
            <w:r w:rsidRPr="00F000AD">
              <w:rPr>
                <w:b/>
                <w:lang w:val="en-US"/>
              </w:rPr>
              <w:t>Source of data [200]</w:t>
            </w:r>
          </w:p>
        </w:tc>
        <w:tc>
          <w:tcPr>
            <w:tcW w:w="668" w:type="pct"/>
            <w:tcBorders>
              <w:top w:val="single" w:sz="4" w:space="0" w:color="auto"/>
              <w:left w:val="single" w:sz="4" w:space="0" w:color="auto"/>
              <w:bottom w:val="single" w:sz="4" w:space="0" w:color="auto"/>
              <w:right w:val="single" w:sz="4" w:space="0" w:color="auto"/>
            </w:tcBorders>
            <w:hideMark/>
          </w:tcPr>
          <w:p w:rsidR="00351E4A" w:rsidRPr="00F000AD" w:rsidRDefault="00351E4A" w:rsidP="00275CAD">
            <w:pPr>
              <w:spacing w:after="0" w:line="240" w:lineRule="auto"/>
              <w:rPr>
                <w:b/>
                <w:lang w:val="en-US"/>
              </w:rPr>
            </w:pPr>
            <w:r w:rsidRPr="00F000AD">
              <w:rPr>
                <w:b/>
                <w:lang w:val="en-US"/>
              </w:rPr>
              <w:t>Comments [200]</w:t>
            </w:r>
          </w:p>
        </w:tc>
      </w:tr>
      <w:tr w:rsidR="000A2CF3" w:rsidRPr="00D8731C" w:rsidTr="007B330B">
        <w:trPr>
          <w:trHeight w:val="434"/>
        </w:trPr>
        <w:tc>
          <w:tcPr>
            <w:tcW w:w="439" w:type="pct"/>
            <w:vMerge w:val="restart"/>
            <w:tcBorders>
              <w:top w:val="single" w:sz="4" w:space="0" w:color="auto"/>
              <w:left w:val="single" w:sz="4" w:space="0" w:color="auto"/>
              <w:right w:val="single" w:sz="4" w:space="0" w:color="auto"/>
            </w:tcBorders>
          </w:tcPr>
          <w:p w:rsidR="000A2CF3" w:rsidRPr="007B330B" w:rsidRDefault="000A2CF3" w:rsidP="000A2CF3">
            <w:pPr>
              <w:spacing w:after="0" w:line="240" w:lineRule="auto"/>
              <w:rPr>
                <w:rFonts w:ascii="Times New Roman" w:hAnsi="Times New Roman" w:cs="Times New Roman"/>
                <w:bCs/>
                <w:i/>
                <w:sz w:val="18"/>
                <w:szCs w:val="18"/>
                <w:lang w:val="en-US"/>
              </w:rPr>
            </w:pPr>
            <w:r w:rsidRPr="007B330B">
              <w:rPr>
                <w:rFonts w:ascii="Times New Roman" w:hAnsi="Times New Roman" w:cs="Times New Roman"/>
                <w:b/>
                <w:sz w:val="18"/>
                <w:szCs w:val="18"/>
              </w:rPr>
              <w:t>O regiune competitivă prin inovare si intreprinderi dinamice pentru o economie inteligenta</w:t>
            </w:r>
          </w:p>
        </w:tc>
        <w:tc>
          <w:tcPr>
            <w:tcW w:w="471" w:type="pct"/>
            <w:vMerge w:val="restart"/>
            <w:tcBorders>
              <w:top w:val="single" w:sz="4" w:space="0" w:color="auto"/>
              <w:left w:val="single" w:sz="4" w:space="0" w:color="auto"/>
              <w:right w:val="single" w:sz="4" w:space="0" w:color="auto"/>
            </w:tcBorders>
          </w:tcPr>
          <w:p w:rsidR="000A2CF3" w:rsidRPr="007B330B" w:rsidRDefault="000A2CF3" w:rsidP="000A2CF3">
            <w:pPr>
              <w:spacing w:after="0" w:line="240" w:lineRule="auto"/>
              <w:rPr>
                <w:rFonts w:ascii="Times New Roman" w:hAnsi="Times New Roman" w:cs="Times New Roman"/>
                <w:bCs/>
                <w:i/>
                <w:sz w:val="18"/>
                <w:szCs w:val="18"/>
                <w:lang w:val="en-US"/>
              </w:rPr>
            </w:pPr>
            <w:r w:rsidRPr="007B330B">
              <w:rPr>
                <w:rFonts w:ascii="Times New Roman" w:hAnsi="Times New Roman" w:cs="Times New Roman"/>
                <w:bCs/>
                <w:i/>
                <w:sz w:val="18"/>
                <w:szCs w:val="18"/>
                <w:lang w:val="en-US"/>
              </w:rPr>
              <w:t>a (i) Dezvoltarea capacităților de cercetare și inovare și adoptarea tehnologiilor avansate</w:t>
            </w:r>
          </w:p>
        </w:tc>
        <w:tc>
          <w:tcPr>
            <w:tcW w:w="267" w:type="pct"/>
            <w:vMerge w:val="restart"/>
            <w:tcBorders>
              <w:top w:val="single" w:sz="4" w:space="0" w:color="auto"/>
              <w:left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sidRPr="00D8731C">
              <w:rPr>
                <w:rFonts w:ascii="Times New Roman" w:hAnsi="Times New Roman" w:cs="Times New Roman"/>
                <w:bCs/>
                <w:i/>
                <w:sz w:val="18"/>
                <w:szCs w:val="18"/>
                <w:lang w:val="en-US"/>
              </w:rPr>
              <w:t>FEDR</w:t>
            </w:r>
          </w:p>
        </w:tc>
        <w:tc>
          <w:tcPr>
            <w:tcW w:w="375" w:type="pct"/>
            <w:vMerge w:val="restart"/>
            <w:tcBorders>
              <w:top w:val="single" w:sz="4" w:space="0" w:color="auto"/>
              <w:left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sidRPr="00D8731C">
              <w:rPr>
                <w:rFonts w:ascii="Times New Roman" w:hAnsi="Times New Roman" w:cs="Times New Roman"/>
                <w:bCs/>
                <w:i/>
                <w:sz w:val="18"/>
                <w:szCs w:val="18"/>
                <w:lang w:val="en-US"/>
              </w:rPr>
              <w:t>Less developed</w:t>
            </w:r>
          </w:p>
        </w:tc>
        <w:tc>
          <w:tcPr>
            <w:tcW w:w="248"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sidRPr="00D8731C">
              <w:rPr>
                <w:rFonts w:ascii="Times New Roman" w:hAnsi="Times New Roman" w:cs="Times New Roman"/>
                <w:bCs/>
                <w:i/>
                <w:sz w:val="18"/>
                <w:szCs w:val="18"/>
                <w:lang w:val="en-US"/>
              </w:rPr>
              <w:t>RO12</w:t>
            </w:r>
          </w:p>
        </w:tc>
        <w:tc>
          <w:tcPr>
            <w:tcW w:w="454"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sidRPr="00D8731C">
              <w:rPr>
                <w:rFonts w:ascii="Times New Roman" w:hAnsi="Times New Roman" w:cs="Times New Roman"/>
                <w:bCs/>
                <w:i/>
                <w:sz w:val="18"/>
                <w:szCs w:val="18"/>
                <w:lang w:val="en-US"/>
              </w:rPr>
              <w:t>13 RCR 01 - Locuri de muncă create în entitățile care beneficiază de sprijin</w:t>
            </w:r>
          </w:p>
        </w:tc>
        <w:tc>
          <w:tcPr>
            <w:tcW w:w="532"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sidRPr="00D8731C">
              <w:rPr>
                <w:rFonts w:ascii="Times New Roman" w:hAnsi="Times New Roman" w:cs="Times New Roman"/>
                <w:bCs/>
                <w:i/>
                <w:sz w:val="18"/>
                <w:szCs w:val="18"/>
                <w:lang w:val="en-US"/>
              </w:rPr>
              <w:t>Num</w:t>
            </w:r>
            <w:r>
              <w:rPr>
                <w:rFonts w:ascii="Times New Roman" w:hAnsi="Times New Roman" w:cs="Times New Roman"/>
                <w:bCs/>
                <w:i/>
                <w:sz w:val="18"/>
                <w:szCs w:val="18"/>
                <w:lang w:val="en-US"/>
              </w:rPr>
              <w:t>ă</w:t>
            </w:r>
            <w:r w:rsidRPr="00D8731C">
              <w:rPr>
                <w:rFonts w:ascii="Times New Roman" w:hAnsi="Times New Roman" w:cs="Times New Roman"/>
                <w:bCs/>
                <w:i/>
                <w:sz w:val="18"/>
                <w:szCs w:val="18"/>
                <w:lang w:val="en-US"/>
              </w:rPr>
              <w:t>r de angaja</w:t>
            </w:r>
            <w:r>
              <w:rPr>
                <w:rFonts w:ascii="Times New Roman" w:hAnsi="Times New Roman" w:cs="Times New Roman"/>
                <w:bCs/>
                <w:i/>
                <w:sz w:val="18"/>
                <w:szCs w:val="18"/>
                <w:lang w:val="en-US"/>
              </w:rPr>
              <w:t>ț</w:t>
            </w:r>
            <w:r w:rsidRPr="00D8731C">
              <w:rPr>
                <w:rFonts w:ascii="Times New Roman" w:hAnsi="Times New Roman" w:cs="Times New Roman"/>
                <w:bCs/>
                <w:i/>
                <w:sz w:val="18"/>
                <w:szCs w:val="18"/>
                <w:lang w:val="en-US"/>
              </w:rPr>
              <w:t>i norm</w:t>
            </w:r>
            <w:r>
              <w:rPr>
                <w:rFonts w:ascii="Times New Roman" w:hAnsi="Times New Roman" w:cs="Times New Roman"/>
                <w:bCs/>
                <w:i/>
                <w:sz w:val="18"/>
                <w:szCs w:val="18"/>
                <w:lang w:val="en-US"/>
              </w:rPr>
              <w:t>ă</w:t>
            </w:r>
            <w:r w:rsidRPr="00D8731C">
              <w:rPr>
                <w:rFonts w:ascii="Times New Roman" w:hAnsi="Times New Roman" w:cs="Times New Roman"/>
                <w:bCs/>
                <w:i/>
                <w:sz w:val="18"/>
                <w:szCs w:val="18"/>
                <w:lang w:val="en-US"/>
              </w:rPr>
              <w:t xml:space="preserve"> </w:t>
            </w:r>
            <w:r>
              <w:rPr>
                <w:rFonts w:ascii="Times New Roman" w:hAnsi="Times New Roman" w:cs="Times New Roman"/>
                <w:bCs/>
                <w:i/>
                <w:sz w:val="18"/>
                <w:szCs w:val="18"/>
                <w:lang w:val="en-US"/>
              </w:rPr>
              <w:t>î</w:t>
            </w:r>
            <w:r w:rsidRPr="00D8731C">
              <w:rPr>
                <w:rFonts w:ascii="Times New Roman" w:hAnsi="Times New Roman" w:cs="Times New Roman"/>
                <w:bCs/>
                <w:i/>
                <w:sz w:val="18"/>
                <w:szCs w:val="18"/>
                <w:lang w:val="en-US"/>
              </w:rPr>
              <w:t>ntreag</w:t>
            </w:r>
            <w:r>
              <w:rPr>
                <w:rFonts w:ascii="Times New Roman" w:hAnsi="Times New Roman" w:cs="Times New Roman"/>
                <w:bCs/>
                <w:i/>
                <w:sz w:val="18"/>
                <w:szCs w:val="18"/>
                <w:lang w:val="en-US"/>
              </w:rPr>
              <w:t>ă</w:t>
            </w:r>
            <w:r w:rsidRPr="00D8731C">
              <w:rPr>
                <w:rFonts w:ascii="Times New Roman" w:hAnsi="Times New Roman" w:cs="Times New Roman"/>
                <w:bCs/>
                <w:i/>
                <w:sz w:val="18"/>
                <w:szCs w:val="18"/>
                <w:lang w:val="en-US"/>
              </w:rPr>
              <w:t xml:space="preserve"> echivalent </w:t>
            </w:r>
            <w:r>
              <w:rPr>
                <w:rFonts w:ascii="Times New Roman" w:hAnsi="Times New Roman" w:cs="Times New Roman"/>
                <w:bCs/>
                <w:i/>
                <w:sz w:val="18"/>
                <w:szCs w:val="18"/>
                <w:lang w:val="en-US"/>
              </w:rPr>
              <w:t>anual</w:t>
            </w:r>
          </w:p>
        </w:tc>
        <w:tc>
          <w:tcPr>
            <w:tcW w:w="395"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Pr>
                <w:rFonts w:ascii="Times New Roman" w:hAnsi="Times New Roman" w:cs="Times New Roman"/>
                <w:bCs/>
                <w:i/>
                <w:sz w:val="18"/>
                <w:szCs w:val="18"/>
                <w:lang w:val="en-US"/>
              </w:rPr>
              <w:t>0</w:t>
            </w:r>
          </w:p>
        </w:tc>
        <w:tc>
          <w:tcPr>
            <w:tcW w:w="410"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sz w:val="18"/>
                <w:szCs w:val="18"/>
                <w:lang w:val="en-US"/>
              </w:rPr>
            </w:pPr>
            <w:r>
              <w:rPr>
                <w:rFonts w:ascii="Times New Roman" w:hAnsi="Times New Roman" w:cs="Times New Roman"/>
                <w:bCs/>
                <w:sz w:val="18"/>
                <w:szCs w:val="18"/>
                <w:lang w:val="en-US"/>
              </w:rPr>
              <w:t>2020</w:t>
            </w:r>
          </w:p>
        </w:tc>
        <w:tc>
          <w:tcPr>
            <w:tcW w:w="372"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sz w:val="18"/>
                <w:szCs w:val="18"/>
                <w:lang w:val="en-US"/>
              </w:rPr>
            </w:pPr>
            <w:r>
              <w:rPr>
                <w:rFonts w:ascii="Times New Roman" w:hAnsi="Times New Roman" w:cs="Times New Roman"/>
                <w:bCs/>
                <w:sz w:val="18"/>
                <w:szCs w:val="18"/>
                <w:lang w:val="en-US"/>
              </w:rPr>
              <w:t>512</w:t>
            </w:r>
          </w:p>
        </w:tc>
        <w:tc>
          <w:tcPr>
            <w:tcW w:w="369"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sidRPr="00D8731C">
              <w:rPr>
                <w:rFonts w:ascii="Times New Roman" w:hAnsi="Times New Roman" w:cs="Times New Roman"/>
                <w:bCs/>
                <w:i/>
                <w:sz w:val="18"/>
                <w:szCs w:val="18"/>
                <w:lang w:val="en-US"/>
              </w:rPr>
              <w:t>Situa</w:t>
            </w:r>
            <w:r>
              <w:rPr>
                <w:rFonts w:ascii="Times New Roman" w:hAnsi="Times New Roman" w:cs="Times New Roman"/>
                <w:bCs/>
                <w:i/>
                <w:sz w:val="18"/>
                <w:szCs w:val="18"/>
                <w:lang w:val="en-US"/>
              </w:rPr>
              <w:t>ț</w:t>
            </w:r>
            <w:r w:rsidRPr="00D8731C">
              <w:rPr>
                <w:rFonts w:ascii="Times New Roman" w:hAnsi="Times New Roman" w:cs="Times New Roman"/>
                <w:bCs/>
                <w:i/>
                <w:sz w:val="18"/>
                <w:szCs w:val="18"/>
                <w:lang w:val="en-US"/>
              </w:rPr>
              <w:t>iile anuale ale entit</w:t>
            </w:r>
            <w:r>
              <w:rPr>
                <w:rFonts w:ascii="Times New Roman" w:hAnsi="Times New Roman" w:cs="Times New Roman"/>
                <w:bCs/>
                <w:i/>
                <w:sz w:val="18"/>
                <w:szCs w:val="18"/>
                <w:lang w:val="en-US"/>
              </w:rPr>
              <w:t>ăț</w:t>
            </w:r>
            <w:r w:rsidRPr="00D8731C">
              <w:rPr>
                <w:rFonts w:ascii="Times New Roman" w:hAnsi="Times New Roman" w:cs="Times New Roman"/>
                <w:bCs/>
                <w:i/>
                <w:sz w:val="18"/>
                <w:szCs w:val="18"/>
                <w:lang w:val="en-US"/>
              </w:rPr>
              <w:t>ilor sprijinite</w:t>
            </w:r>
          </w:p>
        </w:tc>
        <w:tc>
          <w:tcPr>
            <w:tcW w:w="668"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sidRPr="00D8731C">
              <w:rPr>
                <w:rFonts w:ascii="Times New Roman" w:hAnsi="Times New Roman" w:cs="Times New Roman"/>
                <w:bCs/>
                <w:i/>
                <w:sz w:val="18"/>
                <w:szCs w:val="18"/>
                <w:lang w:val="en-US"/>
              </w:rPr>
              <w:t>La un an de la finalizarea sprijinului</w:t>
            </w:r>
          </w:p>
        </w:tc>
      </w:tr>
      <w:tr w:rsidR="000A2CF3" w:rsidRPr="00D8731C" w:rsidTr="007B330B">
        <w:trPr>
          <w:trHeight w:val="286"/>
        </w:trPr>
        <w:tc>
          <w:tcPr>
            <w:tcW w:w="439" w:type="pct"/>
            <w:vMerge/>
            <w:tcBorders>
              <w:left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471" w:type="pct"/>
            <w:vMerge/>
            <w:tcBorders>
              <w:left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267" w:type="pct"/>
            <w:vMerge/>
            <w:tcBorders>
              <w:left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375" w:type="pct"/>
            <w:vMerge/>
            <w:tcBorders>
              <w:left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248"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454"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jc w:val="center"/>
              <w:rPr>
                <w:rFonts w:ascii="Times New Roman" w:hAnsi="Times New Roman" w:cs="Times New Roman"/>
                <w:bCs/>
                <w:noProof/>
                <w:color w:val="000000"/>
                <w:sz w:val="18"/>
                <w:szCs w:val="18"/>
              </w:rPr>
            </w:pPr>
            <w:r>
              <w:rPr>
                <w:rFonts w:ascii="Times New Roman" w:hAnsi="Times New Roman" w:cs="Times New Roman"/>
                <w:bCs/>
                <w:noProof/>
                <w:color w:val="000000"/>
                <w:sz w:val="18"/>
                <w:szCs w:val="18"/>
              </w:rPr>
              <w:t xml:space="preserve">13 </w:t>
            </w:r>
            <w:r w:rsidRPr="00D8731C">
              <w:rPr>
                <w:rFonts w:ascii="Times New Roman" w:hAnsi="Times New Roman" w:cs="Times New Roman"/>
                <w:bCs/>
                <w:noProof/>
                <w:color w:val="000000"/>
                <w:sz w:val="18"/>
                <w:szCs w:val="18"/>
              </w:rPr>
              <w:t>RCR 02 - Investiții private care completează sprijinul public (din care: granturi, instrumente financiare)</w:t>
            </w:r>
          </w:p>
        </w:tc>
        <w:tc>
          <w:tcPr>
            <w:tcW w:w="532"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sidRPr="00D8731C">
              <w:rPr>
                <w:rFonts w:ascii="Times New Roman" w:hAnsi="Times New Roman" w:cs="Times New Roman"/>
                <w:bCs/>
                <w:i/>
                <w:sz w:val="18"/>
                <w:szCs w:val="18"/>
                <w:lang w:val="en-US"/>
              </w:rPr>
              <w:t>Euro</w:t>
            </w:r>
          </w:p>
        </w:tc>
        <w:tc>
          <w:tcPr>
            <w:tcW w:w="395"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Pr>
                <w:rFonts w:ascii="Times New Roman" w:hAnsi="Times New Roman" w:cs="Times New Roman"/>
                <w:bCs/>
                <w:i/>
                <w:sz w:val="18"/>
                <w:szCs w:val="18"/>
                <w:lang w:val="en-US"/>
              </w:rPr>
              <w:t>0</w:t>
            </w:r>
          </w:p>
        </w:tc>
        <w:tc>
          <w:tcPr>
            <w:tcW w:w="410"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sz w:val="18"/>
                <w:szCs w:val="18"/>
                <w:lang w:val="en-US"/>
              </w:rPr>
            </w:pPr>
            <w:r>
              <w:rPr>
                <w:rFonts w:ascii="Times New Roman" w:hAnsi="Times New Roman" w:cs="Times New Roman"/>
                <w:bCs/>
                <w:sz w:val="18"/>
                <w:szCs w:val="18"/>
                <w:lang w:val="en-US"/>
              </w:rPr>
              <w:t>2020</w:t>
            </w:r>
          </w:p>
        </w:tc>
        <w:tc>
          <w:tcPr>
            <w:tcW w:w="372"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sz w:val="18"/>
                <w:szCs w:val="18"/>
                <w:lang w:val="en-US"/>
              </w:rPr>
            </w:pPr>
            <w:r>
              <w:rPr>
                <w:rFonts w:ascii="Times New Roman" w:hAnsi="Times New Roman" w:cs="Times New Roman"/>
                <w:bCs/>
                <w:sz w:val="18"/>
                <w:szCs w:val="18"/>
                <w:lang w:val="en-US"/>
              </w:rPr>
              <w:t>66.762.678</w:t>
            </w:r>
          </w:p>
        </w:tc>
        <w:tc>
          <w:tcPr>
            <w:tcW w:w="369"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sidRPr="00D8731C">
              <w:rPr>
                <w:rFonts w:ascii="Times New Roman" w:hAnsi="Times New Roman" w:cs="Times New Roman"/>
                <w:bCs/>
                <w:i/>
                <w:sz w:val="18"/>
                <w:szCs w:val="18"/>
                <w:lang w:val="en-US"/>
              </w:rPr>
              <w:t>Execu</w:t>
            </w:r>
            <w:r>
              <w:rPr>
                <w:rFonts w:ascii="Times New Roman" w:hAnsi="Times New Roman" w:cs="Times New Roman"/>
                <w:bCs/>
                <w:i/>
                <w:sz w:val="18"/>
                <w:szCs w:val="18"/>
                <w:lang w:val="en-US"/>
              </w:rPr>
              <w:t>ț</w:t>
            </w:r>
            <w:r w:rsidRPr="00D8731C">
              <w:rPr>
                <w:rFonts w:ascii="Times New Roman" w:hAnsi="Times New Roman" w:cs="Times New Roman"/>
                <w:bCs/>
                <w:i/>
                <w:sz w:val="18"/>
                <w:szCs w:val="18"/>
                <w:lang w:val="en-US"/>
              </w:rPr>
              <w:t>ia bugetar</w:t>
            </w:r>
            <w:r>
              <w:rPr>
                <w:rFonts w:ascii="Times New Roman" w:hAnsi="Times New Roman" w:cs="Times New Roman"/>
                <w:bCs/>
                <w:i/>
                <w:sz w:val="18"/>
                <w:szCs w:val="18"/>
                <w:lang w:val="en-US"/>
              </w:rPr>
              <w:t>ă</w:t>
            </w:r>
            <w:r w:rsidRPr="00D8731C">
              <w:rPr>
                <w:rFonts w:ascii="Times New Roman" w:hAnsi="Times New Roman" w:cs="Times New Roman"/>
                <w:bCs/>
                <w:i/>
                <w:sz w:val="18"/>
                <w:szCs w:val="18"/>
                <w:lang w:val="en-US"/>
              </w:rPr>
              <w:t xml:space="preserve"> a proiectelor finan</w:t>
            </w:r>
            <w:r>
              <w:rPr>
                <w:rFonts w:ascii="Times New Roman" w:hAnsi="Times New Roman" w:cs="Times New Roman"/>
                <w:bCs/>
                <w:i/>
                <w:sz w:val="18"/>
                <w:szCs w:val="18"/>
                <w:lang w:val="en-US"/>
              </w:rPr>
              <w:t>ț</w:t>
            </w:r>
            <w:r w:rsidRPr="00D8731C">
              <w:rPr>
                <w:rFonts w:ascii="Times New Roman" w:hAnsi="Times New Roman" w:cs="Times New Roman"/>
                <w:bCs/>
                <w:i/>
                <w:sz w:val="18"/>
                <w:szCs w:val="18"/>
                <w:lang w:val="en-US"/>
              </w:rPr>
              <w:t>ate</w:t>
            </w:r>
          </w:p>
        </w:tc>
        <w:tc>
          <w:tcPr>
            <w:tcW w:w="668"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sidRPr="00D8731C">
              <w:rPr>
                <w:rFonts w:ascii="Times New Roman" w:hAnsi="Times New Roman" w:cs="Times New Roman"/>
                <w:bCs/>
                <w:i/>
                <w:sz w:val="18"/>
                <w:szCs w:val="18"/>
                <w:lang w:val="en-US"/>
              </w:rPr>
              <w:t>Contribu</w:t>
            </w:r>
            <w:r>
              <w:rPr>
                <w:rFonts w:ascii="Times New Roman" w:hAnsi="Times New Roman" w:cs="Times New Roman"/>
                <w:bCs/>
                <w:i/>
                <w:sz w:val="18"/>
                <w:szCs w:val="18"/>
                <w:lang w:val="en-US"/>
              </w:rPr>
              <w:t>ț</w:t>
            </w:r>
            <w:r w:rsidRPr="00D8731C">
              <w:rPr>
                <w:rFonts w:ascii="Times New Roman" w:hAnsi="Times New Roman" w:cs="Times New Roman"/>
                <w:bCs/>
                <w:i/>
                <w:sz w:val="18"/>
                <w:szCs w:val="18"/>
                <w:lang w:val="en-US"/>
              </w:rPr>
              <w:t>ie privat</w:t>
            </w:r>
            <w:r>
              <w:rPr>
                <w:rFonts w:ascii="Times New Roman" w:hAnsi="Times New Roman" w:cs="Times New Roman"/>
                <w:bCs/>
                <w:i/>
                <w:sz w:val="18"/>
                <w:szCs w:val="18"/>
                <w:lang w:val="en-US"/>
              </w:rPr>
              <w:t>ă</w:t>
            </w:r>
            <w:r w:rsidRPr="00D8731C">
              <w:rPr>
                <w:rFonts w:ascii="Times New Roman" w:hAnsi="Times New Roman" w:cs="Times New Roman"/>
                <w:bCs/>
                <w:i/>
                <w:sz w:val="18"/>
                <w:szCs w:val="18"/>
                <w:lang w:val="en-US"/>
              </w:rPr>
              <w:t xml:space="preserve"> la costuri eligibile + costuri ne-eligibile+TVA</w:t>
            </w:r>
          </w:p>
        </w:tc>
      </w:tr>
      <w:tr w:rsidR="000A2CF3" w:rsidRPr="00D8731C" w:rsidTr="007B330B">
        <w:trPr>
          <w:trHeight w:val="286"/>
        </w:trPr>
        <w:tc>
          <w:tcPr>
            <w:tcW w:w="439" w:type="pct"/>
            <w:vMerge/>
            <w:tcBorders>
              <w:left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471" w:type="pct"/>
            <w:vMerge/>
            <w:tcBorders>
              <w:left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267" w:type="pct"/>
            <w:vMerge/>
            <w:tcBorders>
              <w:left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375" w:type="pct"/>
            <w:vMerge/>
            <w:tcBorders>
              <w:left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248"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454"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jc w:val="center"/>
              <w:rPr>
                <w:rFonts w:ascii="Times New Roman" w:hAnsi="Times New Roman" w:cs="Times New Roman"/>
                <w:bCs/>
                <w:noProof/>
                <w:color w:val="000000"/>
                <w:sz w:val="18"/>
                <w:szCs w:val="18"/>
              </w:rPr>
            </w:pPr>
            <w:r>
              <w:rPr>
                <w:rFonts w:ascii="Times New Roman" w:hAnsi="Times New Roman" w:cs="Times New Roman"/>
                <w:bCs/>
                <w:noProof/>
                <w:color w:val="000000"/>
                <w:sz w:val="18"/>
                <w:szCs w:val="18"/>
              </w:rPr>
              <w:t xml:space="preserve">13 </w:t>
            </w:r>
            <w:r w:rsidRPr="00D8731C">
              <w:rPr>
                <w:rFonts w:ascii="Times New Roman" w:hAnsi="Times New Roman" w:cs="Times New Roman"/>
                <w:bCs/>
                <w:noProof/>
                <w:color w:val="000000"/>
                <w:sz w:val="18"/>
                <w:szCs w:val="18"/>
              </w:rPr>
              <w:t>RCR 03 - IMM-uri care introduc inovații în materie de produse sau procese</w:t>
            </w:r>
          </w:p>
        </w:tc>
        <w:tc>
          <w:tcPr>
            <w:tcW w:w="532"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sidRPr="00D8731C">
              <w:rPr>
                <w:rFonts w:ascii="Times New Roman" w:hAnsi="Times New Roman" w:cs="Times New Roman"/>
                <w:bCs/>
                <w:i/>
                <w:sz w:val="18"/>
                <w:szCs w:val="18"/>
                <w:lang w:val="en-US"/>
              </w:rPr>
              <w:t>Întreprinderi</w:t>
            </w:r>
          </w:p>
        </w:tc>
        <w:tc>
          <w:tcPr>
            <w:tcW w:w="395"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Pr>
                <w:rFonts w:ascii="Times New Roman" w:hAnsi="Times New Roman" w:cs="Times New Roman"/>
                <w:bCs/>
                <w:i/>
                <w:sz w:val="18"/>
                <w:szCs w:val="18"/>
                <w:lang w:val="en-US"/>
              </w:rPr>
              <w:t>0</w:t>
            </w:r>
          </w:p>
        </w:tc>
        <w:tc>
          <w:tcPr>
            <w:tcW w:w="410"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sz w:val="18"/>
                <w:szCs w:val="18"/>
                <w:lang w:val="en-US"/>
              </w:rPr>
            </w:pPr>
            <w:r>
              <w:rPr>
                <w:rFonts w:ascii="Times New Roman" w:hAnsi="Times New Roman" w:cs="Times New Roman"/>
                <w:bCs/>
                <w:sz w:val="18"/>
                <w:szCs w:val="18"/>
                <w:lang w:val="en-US"/>
              </w:rPr>
              <w:t>2020</w:t>
            </w:r>
          </w:p>
        </w:tc>
        <w:tc>
          <w:tcPr>
            <w:tcW w:w="372"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sz w:val="18"/>
                <w:szCs w:val="18"/>
                <w:lang w:val="en-US"/>
              </w:rPr>
            </w:pPr>
            <w:r>
              <w:rPr>
                <w:rFonts w:ascii="Times New Roman" w:hAnsi="Times New Roman" w:cs="Times New Roman"/>
                <w:bCs/>
                <w:sz w:val="18"/>
                <w:szCs w:val="18"/>
                <w:lang w:val="en-US"/>
              </w:rPr>
              <w:t>199</w:t>
            </w:r>
          </w:p>
        </w:tc>
        <w:tc>
          <w:tcPr>
            <w:tcW w:w="369"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sidRPr="00D8731C">
              <w:rPr>
                <w:rFonts w:ascii="Times New Roman" w:hAnsi="Times New Roman" w:cs="Times New Roman"/>
                <w:bCs/>
                <w:i/>
                <w:sz w:val="18"/>
                <w:szCs w:val="18"/>
                <w:lang w:val="en-US"/>
              </w:rPr>
              <w:t>Proiecte finanțate + furnizori de CDI sus</w:t>
            </w:r>
            <w:r>
              <w:rPr>
                <w:rFonts w:ascii="Times New Roman" w:hAnsi="Times New Roman" w:cs="Times New Roman"/>
                <w:bCs/>
                <w:i/>
                <w:sz w:val="18"/>
                <w:szCs w:val="18"/>
                <w:lang w:val="en-US"/>
              </w:rPr>
              <w:t>ț</w:t>
            </w:r>
            <w:r w:rsidRPr="00D8731C">
              <w:rPr>
                <w:rFonts w:ascii="Times New Roman" w:hAnsi="Times New Roman" w:cs="Times New Roman"/>
                <w:bCs/>
                <w:i/>
                <w:sz w:val="18"/>
                <w:szCs w:val="18"/>
                <w:lang w:val="en-US"/>
              </w:rPr>
              <w:t>inu</w:t>
            </w:r>
            <w:r>
              <w:rPr>
                <w:rFonts w:ascii="Times New Roman" w:hAnsi="Times New Roman" w:cs="Times New Roman"/>
                <w:bCs/>
                <w:i/>
                <w:sz w:val="18"/>
                <w:szCs w:val="18"/>
                <w:lang w:val="en-US"/>
              </w:rPr>
              <w:t>ț</w:t>
            </w:r>
            <w:r w:rsidRPr="00D8731C">
              <w:rPr>
                <w:rFonts w:ascii="Times New Roman" w:hAnsi="Times New Roman" w:cs="Times New Roman"/>
                <w:bCs/>
                <w:i/>
                <w:sz w:val="18"/>
                <w:szCs w:val="18"/>
                <w:lang w:val="en-US"/>
              </w:rPr>
              <w:t>i</w:t>
            </w:r>
          </w:p>
        </w:tc>
        <w:tc>
          <w:tcPr>
            <w:tcW w:w="668"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r>
      <w:tr w:rsidR="000A2CF3" w:rsidRPr="00D8731C" w:rsidTr="007B330B">
        <w:trPr>
          <w:trHeight w:val="286"/>
        </w:trPr>
        <w:tc>
          <w:tcPr>
            <w:tcW w:w="439" w:type="pct"/>
            <w:vMerge/>
            <w:tcBorders>
              <w:left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471" w:type="pct"/>
            <w:vMerge/>
            <w:tcBorders>
              <w:left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267" w:type="pct"/>
            <w:vMerge/>
            <w:tcBorders>
              <w:left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375" w:type="pct"/>
            <w:vMerge/>
            <w:tcBorders>
              <w:left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248"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454"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jc w:val="center"/>
              <w:rPr>
                <w:rFonts w:ascii="Times New Roman" w:hAnsi="Times New Roman" w:cs="Times New Roman"/>
                <w:bCs/>
                <w:noProof/>
                <w:color w:val="000000"/>
                <w:sz w:val="18"/>
                <w:szCs w:val="18"/>
              </w:rPr>
            </w:pPr>
            <w:r>
              <w:rPr>
                <w:rFonts w:ascii="Times New Roman" w:hAnsi="Times New Roman" w:cs="Times New Roman"/>
                <w:bCs/>
                <w:noProof/>
                <w:color w:val="000000"/>
                <w:sz w:val="18"/>
                <w:szCs w:val="18"/>
              </w:rPr>
              <w:t xml:space="preserve">13 </w:t>
            </w:r>
            <w:r w:rsidRPr="00D8731C">
              <w:rPr>
                <w:rFonts w:ascii="Times New Roman" w:hAnsi="Times New Roman" w:cs="Times New Roman"/>
                <w:bCs/>
                <w:noProof/>
                <w:color w:val="000000"/>
                <w:sz w:val="18"/>
                <w:szCs w:val="18"/>
              </w:rPr>
              <w:t>RCR 04 - IMM-uri care introduc inovații în materie de comercializare sau organizare</w:t>
            </w:r>
          </w:p>
        </w:tc>
        <w:tc>
          <w:tcPr>
            <w:tcW w:w="532"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Pr>
                <w:rFonts w:ascii="Times New Roman" w:hAnsi="Times New Roman" w:cs="Times New Roman"/>
                <w:bCs/>
                <w:i/>
                <w:sz w:val="18"/>
                <w:szCs w:val="18"/>
                <w:lang w:val="en-US"/>
              </w:rPr>
              <w:t>Î</w:t>
            </w:r>
            <w:r w:rsidRPr="00D8731C">
              <w:rPr>
                <w:rFonts w:ascii="Times New Roman" w:hAnsi="Times New Roman" w:cs="Times New Roman"/>
                <w:bCs/>
                <w:i/>
                <w:sz w:val="18"/>
                <w:szCs w:val="18"/>
                <w:lang w:val="en-US"/>
              </w:rPr>
              <w:t>ntreprinderi</w:t>
            </w:r>
          </w:p>
        </w:tc>
        <w:tc>
          <w:tcPr>
            <w:tcW w:w="395"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Pr>
                <w:rFonts w:ascii="Times New Roman" w:hAnsi="Times New Roman" w:cs="Times New Roman"/>
                <w:bCs/>
                <w:i/>
                <w:sz w:val="18"/>
                <w:szCs w:val="18"/>
                <w:lang w:val="en-US"/>
              </w:rPr>
              <w:t>0</w:t>
            </w:r>
          </w:p>
        </w:tc>
        <w:tc>
          <w:tcPr>
            <w:tcW w:w="410"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sz w:val="18"/>
                <w:szCs w:val="18"/>
                <w:lang w:val="en-US"/>
              </w:rPr>
            </w:pPr>
            <w:r>
              <w:rPr>
                <w:rFonts w:ascii="Times New Roman" w:hAnsi="Times New Roman" w:cs="Times New Roman"/>
                <w:bCs/>
                <w:sz w:val="18"/>
                <w:szCs w:val="18"/>
                <w:lang w:val="en-US"/>
              </w:rPr>
              <w:t>2020</w:t>
            </w:r>
          </w:p>
        </w:tc>
        <w:tc>
          <w:tcPr>
            <w:tcW w:w="372"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sz w:val="18"/>
                <w:szCs w:val="18"/>
                <w:lang w:val="en-US"/>
              </w:rPr>
            </w:pPr>
            <w:r>
              <w:rPr>
                <w:rFonts w:ascii="Times New Roman" w:hAnsi="Times New Roman" w:cs="Times New Roman"/>
                <w:bCs/>
                <w:sz w:val="18"/>
                <w:szCs w:val="18"/>
                <w:lang w:val="en-US"/>
              </w:rPr>
              <w:t>140</w:t>
            </w:r>
          </w:p>
        </w:tc>
        <w:tc>
          <w:tcPr>
            <w:tcW w:w="369"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sidRPr="00D8731C">
              <w:rPr>
                <w:rFonts w:ascii="Times New Roman" w:hAnsi="Times New Roman" w:cs="Times New Roman"/>
                <w:bCs/>
                <w:i/>
                <w:sz w:val="18"/>
                <w:szCs w:val="18"/>
                <w:lang w:val="en-US"/>
              </w:rPr>
              <w:t>Proiecte finanțate + furnizori de CDI sus</w:t>
            </w:r>
            <w:r>
              <w:rPr>
                <w:rFonts w:ascii="Times New Roman" w:hAnsi="Times New Roman" w:cs="Times New Roman"/>
                <w:bCs/>
                <w:i/>
                <w:sz w:val="18"/>
                <w:szCs w:val="18"/>
                <w:lang w:val="en-US"/>
              </w:rPr>
              <w:t>ț</w:t>
            </w:r>
            <w:r w:rsidRPr="00D8731C">
              <w:rPr>
                <w:rFonts w:ascii="Times New Roman" w:hAnsi="Times New Roman" w:cs="Times New Roman"/>
                <w:bCs/>
                <w:i/>
                <w:sz w:val="18"/>
                <w:szCs w:val="18"/>
                <w:lang w:val="en-US"/>
              </w:rPr>
              <w:t>inu</w:t>
            </w:r>
            <w:r>
              <w:rPr>
                <w:rFonts w:ascii="Times New Roman" w:hAnsi="Times New Roman" w:cs="Times New Roman"/>
                <w:bCs/>
                <w:i/>
                <w:sz w:val="18"/>
                <w:szCs w:val="18"/>
                <w:lang w:val="en-US"/>
              </w:rPr>
              <w:t>ț</w:t>
            </w:r>
            <w:r w:rsidRPr="00D8731C">
              <w:rPr>
                <w:rFonts w:ascii="Times New Roman" w:hAnsi="Times New Roman" w:cs="Times New Roman"/>
                <w:bCs/>
                <w:i/>
                <w:sz w:val="18"/>
                <w:szCs w:val="18"/>
                <w:lang w:val="en-US"/>
              </w:rPr>
              <w:t>i</w:t>
            </w:r>
          </w:p>
        </w:tc>
        <w:tc>
          <w:tcPr>
            <w:tcW w:w="668"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r>
      <w:tr w:rsidR="000A2CF3" w:rsidRPr="00D8731C" w:rsidTr="007B330B">
        <w:trPr>
          <w:trHeight w:val="286"/>
        </w:trPr>
        <w:tc>
          <w:tcPr>
            <w:tcW w:w="439" w:type="pct"/>
            <w:vMerge/>
            <w:tcBorders>
              <w:left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471" w:type="pct"/>
            <w:vMerge/>
            <w:tcBorders>
              <w:left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267" w:type="pct"/>
            <w:vMerge/>
            <w:tcBorders>
              <w:left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375" w:type="pct"/>
            <w:vMerge/>
            <w:tcBorders>
              <w:left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248"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454"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jc w:val="center"/>
              <w:rPr>
                <w:rFonts w:ascii="Times New Roman" w:hAnsi="Times New Roman" w:cs="Times New Roman"/>
                <w:bCs/>
                <w:noProof/>
                <w:color w:val="000000"/>
                <w:sz w:val="18"/>
                <w:szCs w:val="18"/>
              </w:rPr>
            </w:pPr>
            <w:r w:rsidRPr="00D8731C">
              <w:rPr>
                <w:rFonts w:ascii="Times New Roman" w:hAnsi="Times New Roman" w:cs="Times New Roman"/>
                <w:bCs/>
                <w:noProof/>
                <w:color w:val="000000"/>
                <w:sz w:val="18"/>
                <w:szCs w:val="18"/>
              </w:rPr>
              <w:t>RCR 05 - IMM-uri care introduc inovații la nivel intern</w:t>
            </w:r>
          </w:p>
        </w:tc>
        <w:tc>
          <w:tcPr>
            <w:tcW w:w="532"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sidRPr="00D8731C">
              <w:rPr>
                <w:rFonts w:ascii="Times New Roman" w:hAnsi="Times New Roman" w:cs="Times New Roman"/>
                <w:bCs/>
                <w:i/>
                <w:sz w:val="18"/>
                <w:szCs w:val="18"/>
                <w:lang w:val="en-US"/>
              </w:rPr>
              <w:t>Întreprinderi</w:t>
            </w:r>
          </w:p>
        </w:tc>
        <w:tc>
          <w:tcPr>
            <w:tcW w:w="395"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Pr>
                <w:rFonts w:ascii="Times New Roman" w:hAnsi="Times New Roman" w:cs="Times New Roman"/>
                <w:bCs/>
                <w:i/>
                <w:sz w:val="18"/>
                <w:szCs w:val="18"/>
                <w:lang w:val="en-US"/>
              </w:rPr>
              <w:t>0</w:t>
            </w:r>
          </w:p>
        </w:tc>
        <w:tc>
          <w:tcPr>
            <w:tcW w:w="410"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sz w:val="18"/>
                <w:szCs w:val="18"/>
                <w:lang w:val="en-US"/>
              </w:rPr>
            </w:pPr>
            <w:r>
              <w:rPr>
                <w:rFonts w:ascii="Times New Roman" w:hAnsi="Times New Roman" w:cs="Times New Roman"/>
                <w:bCs/>
                <w:sz w:val="18"/>
                <w:szCs w:val="18"/>
                <w:lang w:val="en-US"/>
              </w:rPr>
              <w:t>2020</w:t>
            </w:r>
          </w:p>
        </w:tc>
        <w:tc>
          <w:tcPr>
            <w:tcW w:w="372"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sz w:val="18"/>
                <w:szCs w:val="18"/>
                <w:lang w:val="en-US"/>
              </w:rPr>
            </w:pPr>
            <w:r>
              <w:rPr>
                <w:rFonts w:ascii="Times New Roman" w:hAnsi="Times New Roman" w:cs="Times New Roman"/>
                <w:bCs/>
                <w:sz w:val="18"/>
                <w:szCs w:val="18"/>
                <w:lang w:val="en-US"/>
              </w:rPr>
              <w:t>140</w:t>
            </w:r>
          </w:p>
        </w:tc>
        <w:tc>
          <w:tcPr>
            <w:tcW w:w="369"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sidRPr="00D8731C">
              <w:rPr>
                <w:rFonts w:ascii="Times New Roman" w:hAnsi="Times New Roman" w:cs="Times New Roman"/>
                <w:bCs/>
                <w:i/>
                <w:sz w:val="18"/>
                <w:szCs w:val="18"/>
                <w:lang w:val="en-US"/>
              </w:rPr>
              <w:t>Proiecte susținute</w:t>
            </w:r>
          </w:p>
        </w:tc>
        <w:tc>
          <w:tcPr>
            <w:tcW w:w="668"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r>
      <w:tr w:rsidR="000A2CF3" w:rsidRPr="00D8731C" w:rsidTr="007B330B">
        <w:trPr>
          <w:trHeight w:val="286"/>
        </w:trPr>
        <w:tc>
          <w:tcPr>
            <w:tcW w:w="439" w:type="pct"/>
            <w:vMerge/>
            <w:tcBorders>
              <w:left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471" w:type="pct"/>
            <w:vMerge/>
            <w:tcBorders>
              <w:left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267" w:type="pct"/>
            <w:vMerge/>
            <w:tcBorders>
              <w:left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375" w:type="pct"/>
            <w:vMerge/>
            <w:tcBorders>
              <w:left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248"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454"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jc w:val="center"/>
              <w:rPr>
                <w:rFonts w:ascii="Times New Roman" w:hAnsi="Times New Roman" w:cs="Times New Roman"/>
                <w:bCs/>
                <w:noProof/>
                <w:color w:val="000000"/>
                <w:sz w:val="18"/>
                <w:szCs w:val="18"/>
              </w:rPr>
            </w:pPr>
            <w:r>
              <w:rPr>
                <w:rFonts w:ascii="Times New Roman" w:hAnsi="Times New Roman" w:cs="Times New Roman"/>
                <w:bCs/>
                <w:noProof/>
                <w:color w:val="000000"/>
                <w:sz w:val="18"/>
                <w:szCs w:val="18"/>
              </w:rPr>
              <w:t xml:space="preserve">13 </w:t>
            </w:r>
            <w:r w:rsidRPr="00D8731C">
              <w:rPr>
                <w:rFonts w:ascii="Times New Roman" w:hAnsi="Times New Roman" w:cs="Times New Roman"/>
                <w:bCs/>
                <w:noProof/>
                <w:color w:val="000000"/>
                <w:sz w:val="18"/>
                <w:szCs w:val="18"/>
              </w:rPr>
              <w:t>RCR 06 - Cereri de brevete depuse la Oficiul European de Brevete</w:t>
            </w:r>
          </w:p>
        </w:tc>
        <w:tc>
          <w:tcPr>
            <w:tcW w:w="532"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sidRPr="00D8731C">
              <w:rPr>
                <w:rFonts w:ascii="Times New Roman" w:hAnsi="Times New Roman" w:cs="Times New Roman"/>
                <w:bCs/>
                <w:i/>
                <w:sz w:val="18"/>
                <w:szCs w:val="18"/>
                <w:lang w:val="en-US"/>
              </w:rPr>
              <w:t>Cereri de brevete</w:t>
            </w:r>
          </w:p>
        </w:tc>
        <w:tc>
          <w:tcPr>
            <w:tcW w:w="395"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Pr>
                <w:rFonts w:ascii="Times New Roman" w:hAnsi="Times New Roman" w:cs="Times New Roman"/>
                <w:bCs/>
                <w:i/>
                <w:sz w:val="18"/>
                <w:szCs w:val="18"/>
                <w:lang w:val="en-US"/>
              </w:rPr>
              <w:t>0</w:t>
            </w:r>
          </w:p>
        </w:tc>
        <w:tc>
          <w:tcPr>
            <w:tcW w:w="410"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sz w:val="18"/>
                <w:szCs w:val="18"/>
                <w:lang w:val="en-US"/>
              </w:rPr>
            </w:pPr>
            <w:r>
              <w:rPr>
                <w:rFonts w:ascii="Times New Roman" w:hAnsi="Times New Roman" w:cs="Times New Roman"/>
                <w:bCs/>
                <w:sz w:val="18"/>
                <w:szCs w:val="18"/>
                <w:lang w:val="en-US"/>
              </w:rPr>
              <w:t>2020</w:t>
            </w:r>
          </w:p>
        </w:tc>
        <w:tc>
          <w:tcPr>
            <w:tcW w:w="372"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sz w:val="18"/>
                <w:szCs w:val="18"/>
                <w:lang w:val="en-US"/>
              </w:rPr>
            </w:pPr>
            <w:r>
              <w:rPr>
                <w:rFonts w:ascii="Times New Roman" w:hAnsi="Times New Roman" w:cs="Times New Roman"/>
                <w:bCs/>
                <w:sz w:val="18"/>
                <w:szCs w:val="18"/>
                <w:lang w:val="en-US"/>
              </w:rPr>
              <w:t>87</w:t>
            </w:r>
          </w:p>
        </w:tc>
        <w:tc>
          <w:tcPr>
            <w:tcW w:w="369"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sidRPr="00D8731C">
              <w:rPr>
                <w:rFonts w:ascii="Times New Roman" w:hAnsi="Times New Roman" w:cs="Times New Roman"/>
                <w:bCs/>
                <w:i/>
                <w:sz w:val="18"/>
                <w:szCs w:val="18"/>
                <w:lang w:val="en-US"/>
              </w:rPr>
              <w:t>Proiecte susținute, + informa</w:t>
            </w:r>
            <w:r>
              <w:rPr>
                <w:rFonts w:ascii="Times New Roman" w:hAnsi="Times New Roman" w:cs="Times New Roman"/>
                <w:bCs/>
                <w:i/>
                <w:sz w:val="18"/>
                <w:szCs w:val="18"/>
                <w:lang w:val="en-US"/>
              </w:rPr>
              <w:t>ț</w:t>
            </w:r>
            <w:r w:rsidRPr="00D8731C">
              <w:rPr>
                <w:rFonts w:ascii="Times New Roman" w:hAnsi="Times New Roman" w:cs="Times New Roman"/>
                <w:bCs/>
                <w:i/>
                <w:sz w:val="18"/>
                <w:szCs w:val="18"/>
                <w:lang w:val="en-US"/>
              </w:rPr>
              <w:t>ii de la EITT sus</w:t>
            </w:r>
            <w:r>
              <w:rPr>
                <w:rFonts w:ascii="Times New Roman" w:hAnsi="Times New Roman" w:cs="Times New Roman"/>
                <w:bCs/>
                <w:i/>
                <w:sz w:val="18"/>
                <w:szCs w:val="18"/>
                <w:lang w:val="en-US"/>
              </w:rPr>
              <w:t>ț</w:t>
            </w:r>
            <w:r w:rsidRPr="00D8731C">
              <w:rPr>
                <w:rFonts w:ascii="Times New Roman" w:hAnsi="Times New Roman" w:cs="Times New Roman"/>
                <w:bCs/>
                <w:i/>
                <w:sz w:val="18"/>
                <w:szCs w:val="18"/>
                <w:lang w:val="en-US"/>
              </w:rPr>
              <w:t>inute pentru servicii de IPR</w:t>
            </w:r>
          </w:p>
        </w:tc>
        <w:tc>
          <w:tcPr>
            <w:tcW w:w="668"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r>
      <w:tr w:rsidR="000A2CF3" w:rsidRPr="00D8731C" w:rsidTr="007B330B">
        <w:trPr>
          <w:trHeight w:val="286"/>
        </w:trPr>
        <w:tc>
          <w:tcPr>
            <w:tcW w:w="439" w:type="pct"/>
            <w:vMerge/>
            <w:tcBorders>
              <w:left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471" w:type="pct"/>
            <w:vMerge/>
            <w:tcBorders>
              <w:left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267" w:type="pct"/>
            <w:vMerge/>
            <w:tcBorders>
              <w:left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375" w:type="pct"/>
            <w:vMerge/>
            <w:tcBorders>
              <w:left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248"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454"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jc w:val="center"/>
              <w:rPr>
                <w:rFonts w:ascii="Times New Roman" w:hAnsi="Times New Roman" w:cs="Times New Roman"/>
                <w:bCs/>
                <w:noProof/>
                <w:color w:val="000000"/>
                <w:sz w:val="18"/>
                <w:szCs w:val="18"/>
              </w:rPr>
            </w:pPr>
            <w:r>
              <w:rPr>
                <w:rFonts w:ascii="Times New Roman" w:hAnsi="Times New Roman" w:cs="Times New Roman"/>
                <w:bCs/>
                <w:noProof/>
                <w:color w:val="000000"/>
                <w:sz w:val="18"/>
                <w:szCs w:val="18"/>
              </w:rPr>
              <w:t xml:space="preserve">13 </w:t>
            </w:r>
            <w:r w:rsidRPr="00D8731C">
              <w:rPr>
                <w:rFonts w:ascii="Times New Roman" w:hAnsi="Times New Roman" w:cs="Times New Roman"/>
                <w:bCs/>
                <w:noProof/>
                <w:color w:val="000000"/>
                <w:sz w:val="18"/>
                <w:szCs w:val="18"/>
              </w:rPr>
              <w:t>RCR 07 - Cereri de înregistrare a mărcilor și desenelor</w:t>
            </w:r>
          </w:p>
        </w:tc>
        <w:tc>
          <w:tcPr>
            <w:tcW w:w="532"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sidRPr="00D8731C">
              <w:rPr>
                <w:rFonts w:ascii="Times New Roman" w:hAnsi="Times New Roman" w:cs="Times New Roman"/>
                <w:bCs/>
                <w:i/>
                <w:sz w:val="18"/>
                <w:szCs w:val="18"/>
                <w:lang w:val="en-US"/>
              </w:rPr>
              <w:t xml:space="preserve">Cereri de înregistrare a mărcilor </w:t>
            </w:r>
            <w:r>
              <w:rPr>
                <w:rFonts w:ascii="Times New Roman" w:hAnsi="Times New Roman" w:cs="Times New Roman"/>
                <w:bCs/>
                <w:i/>
                <w:sz w:val="18"/>
                <w:szCs w:val="18"/>
                <w:lang w:val="en-US"/>
              </w:rPr>
              <w:t>ș</w:t>
            </w:r>
            <w:r w:rsidRPr="00D8731C">
              <w:rPr>
                <w:rFonts w:ascii="Times New Roman" w:hAnsi="Times New Roman" w:cs="Times New Roman"/>
                <w:bCs/>
                <w:i/>
                <w:sz w:val="18"/>
                <w:szCs w:val="18"/>
                <w:lang w:val="en-US"/>
              </w:rPr>
              <w:t>i design-ului</w:t>
            </w:r>
          </w:p>
        </w:tc>
        <w:tc>
          <w:tcPr>
            <w:tcW w:w="395"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Pr>
                <w:rFonts w:ascii="Times New Roman" w:hAnsi="Times New Roman" w:cs="Times New Roman"/>
                <w:bCs/>
                <w:i/>
                <w:sz w:val="18"/>
                <w:szCs w:val="18"/>
                <w:lang w:val="en-US"/>
              </w:rPr>
              <w:t>0</w:t>
            </w:r>
          </w:p>
        </w:tc>
        <w:tc>
          <w:tcPr>
            <w:tcW w:w="410"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sz w:val="18"/>
                <w:szCs w:val="18"/>
                <w:lang w:val="en-US"/>
              </w:rPr>
            </w:pPr>
            <w:r>
              <w:rPr>
                <w:rFonts w:ascii="Times New Roman" w:hAnsi="Times New Roman" w:cs="Times New Roman"/>
                <w:bCs/>
                <w:sz w:val="18"/>
                <w:szCs w:val="18"/>
                <w:lang w:val="en-US"/>
              </w:rPr>
              <w:t>2020</w:t>
            </w:r>
          </w:p>
        </w:tc>
        <w:tc>
          <w:tcPr>
            <w:tcW w:w="372"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sz w:val="18"/>
                <w:szCs w:val="18"/>
                <w:lang w:val="en-US"/>
              </w:rPr>
            </w:pPr>
            <w:r>
              <w:rPr>
                <w:rFonts w:ascii="Times New Roman" w:hAnsi="Times New Roman" w:cs="Times New Roman"/>
                <w:bCs/>
                <w:sz w:val="18"/>
                <w:szCs w:val="18"/>
                <w:lang w:val="en-US"/>
              </w:rPr>
              <w:t>87</w:t>
            </w:r>
          </w:p>
        </w:tc>
        <w:tc>
          <w:tcPr>
            <w:tcW w:w="369"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sidRPr="00D8731C">
              <w:rPr>
                <w:rFonts w:ascii="Times New Roman" w:hAnsi="Times New Roman" w:cs="Times New Roman"/>
                <w:bCs/>
                <w:i/>
                <w:sz w:val="18"/>
                <w:szCs w:val="18"/>
                <w:lang w:val="en-US"/>
              </w:rPr>
              <w:t>Proiecte susținute, + informa</w:t>
            </w:r>
            <w:r>
              <w:rPr>
                <w:rFonts w:ascii="Times New Roman" w:hAnsi="Times New Roman" w:cs="Times New Roman"/>
                <w:bCs/>
                <w:i/>
                <w:sz w:val="18"/>
                <w:szCs w:val="18"/>
                <w:lang w:val="en-US"/>
              </w:rPr>
              <w:t>ț</w:t>
            </w:r>
            <w:r w:rsidRPr="00D8731C">
              <w:rPr>
                <w:rFonts w:ascii="Times New Roman" w:hAnsi="Times New Roman" w:cs="Times New Roman"/>
                <w:bCs/>
                <w:i/>
                <w:sz w:val="18"/>
                <w:szCs w:val="18"/>
                <w:lang w:val="en-US"/>
              </w:rPr>
              <w:t>ii de la EITT sus</w:t>
            </w:r>
            <w:r>
              <w:rPr>
                <w:rFonts w:ascii="Times New Roman" w:hAnsi="Times New Roman" w:cs="Times New Roman"/>
                <w:bCs/>
                <w:i/>
                <w:sz w:val="18"/>
                <w:szCs w:val="18"/>
                <w:lang w:val="en-US"/>
              </w:rPr>
              <w:t>ț</w:t>
            </w:r>
            <w:r w:rsidRPr="00D8731C">
              <w:rPr>
                <w:rFonts w:ascii="Times New Roman" w:hAnsi="Times New Roman" w:cs="Times New Roman"/>
                <w:bCs/>
                <w:i/>
                <w:sz w:val="18"/>
                <w:szCs w:val="18"/>
                <w:lang w:val="en-US"/>
              </w:rPr>
              <w:t>inute pentru servicii de IPR</w:t>
            </w:r>
          </w:p>
        </w:tc>
        <w:tc>
          <w:tcPr>
            <w:tcW w:w="668"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r>
      <w:tr w:rsidR="000A2CF3" w:rsidRPr="00D8731C" w:rsidTr="007B330B">
        <w:trPr>
          <w:trHeight w:val="286"/>
        </w:trPr>
        <w:tc>
          <w:tcPr>
            <w:tcW w:w="439" w:type="pct"/>
            <w:vMerge/>
            <w:tcBorders>
              <w:left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471" w:type="pct"/>
            <w:vMerge/>
            <w:tcBorders>
              <w:left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267" w:type="pct"/>
            <w:vMerge/>
            <w:tcBorders>
              <w:left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375" w:type="pct"/>
            <w:vMerge/>
            <w:tcBorders>
              <w:left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248"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454"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jc w:val="center"/>
              <w:rPr>
                <w:rFonts w:ascii="Times New Roman" w:hAnsi="Times New Roman" w:cs="Times New Roman"/>
                <w:bCs/>
                <w:noProof/>
                <w:color w:val="000000"/>
                <w:sz w:val="18"/>
                <w:szCs w:val="18"/>
              </w:rPr>
            </w:pPr>
            <w:r>
              <w:rPr>
                <w:rFonts w:ascii="Times New Roman" w:hAnsi="Times New Roman" w:cs="Times New Roman"/>
                <w:bCs/>
                <w:noProof/>
                <w:color w:val="000000"/>
                <w:sz w:val="18"/>
                <w:szCs w:val="18"/>
              </w:rPr>
              <w:t xml:space="preserve">13 </w:t>
            </w:r>
            <w:r w:rsidRPr="00D8731C">
              <w:rPr>
                <w:rFonts w:ascii="Times New Roman" w:hAnsi="Times New Roman" w:cs="Times New Roman"/>
                <w:bCs/>
                <w:noProof/>
                <w:color w:val="000000"/>
                <w:sz w:val="18"/>
                <w:szCs w:val="18"/>
              </w:rPr>
              <w:t>RCR 08 – Publicații din proiectele susținute</w:t>
            </w:r>
          </w:p>
        </w:tc>
        <w:tc>
          <w:tcPr>
            <w:tcW w:w="532"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sidRPr="00D8731C">
              <w:rPr>
                <w:rFonts w:ascii="Times New Roman" w:hAnsi="Times New Roman" w:cs="Times New Roman"/>
                <w:bCs/>
                <w:i/>
                <w:sz w:val="18"/>
                <w:szCs w:val="18"/>
                <w:lang w:val="en-US"/>
              </w:rPr>
              <w:t>Nr. de publica</w:t>
            </w:r>
            <w:r>
              <w:rPr>
                <w:rFonts w:ascii="Times New Roman" w:hAnsi="Times New Roman" w:cs="Times New Roman"/>
                <w:bCs/>
                <w:i/>
                <w:sz w:val="18"/>
                <w:szCs w:val="18"/>
                <w:lang w:val="en-US"/>
              </w:rPr>
              <w:t>ț</w:t>
            </w:r>
            <w:r w:rsidRPr="00D8731C">
              <w:rPr>
                <w:rFonts w:ascii="Times New Roman" w:hAnsi="Times New Roman" w:cs="Times New Roman"/>
                <w:bCs/>
                <w:i/>
                <w:sz w:val="18"/>
                <w:szCs w:val="18"/>
                <w:lang w:val="en-US"/>
              </w:rPr>
              <w:t>ii</w:t>
            </w:r>
          </w:p>
        </w:tc>
        <w:tc>
          <w:tcPr>
            <w:tcW w:w="395"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Pr>
                <w:rFonts w:ascii="Times New Roman" w:hAnsi="Times New Roman" w:cs="Times New Roman"/>
                <w:bCs/>
                <w:i/>
                <w:sz w:val="18"/>
                <w:szCs w:val="18"/>
                <w:lang w:val="en-US"/>
              </w:rPr>
              <w:t>0</w:t>
            </w:r>
          </w:p>
        </w:tc>
        <w:tc>
          <w:tcPr>
            <w:tcW w:w="410"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sz w:val="18"/>
                <w:szCs w:val="18"/>
                <w:lang w:val="en-US"/>
              </w:rPr>
            </w:pPr>
            <w:r>
              <w:rPr>
                <w:rFonts w:ascii="Times New Roman" w:hAnsi="Times New Roman" w:cs="Times New Roman"/>
                <w:bCs/>
                <w:sz w:val="18"/>
                <w:szCs w:val="18"/>
                <w:lang w:val="en-US"/>
              </w:rPr>
              <w:t>2020</w:t>
            </w:r>
          </w:p>
        </w:tc>
        <w:tc>
          <w:tcPr>
            <w:tcW w:w="372"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sz w:val="18"/>
                <w:szCs w:val="18"/>
                <w:lang w:val="en-US"/>
              </w:rPr>
            </w:pPr>
            <w:r>
              <w:rPr>
                <w:rFonts w:ascii="Times New Roman" w:hAnsi="Times New Roman" w:cs="Times New Roman"/>
                <w:bCs/>
                <w:sz w:val="18"/>
                <w:szCs w:val="18"/>
                <w:lang w:val="en-US"/>
              </w:rPr>
              <w:t>12</w:t>
            </w:r>
          </w:p>
        </w:tc>
        <w:tc>
          <w:tcPr>
            <w:tcW w:w="369"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sidRPr="00D8731C">
              <w:rPr>
                <w:rFonts w:ascii="Times New Roman" w:hAnsi="Times New Roman" w:cs="Times New Roman"/>
                <w:bCs/>
                <w:i/>
                <w:sz w:val="18"/>
                <w:szCs w:val="18"/>
                <w:lang w:val="en-US"/>
              </w:rPr>
              <w:t>Proiectele sprijinite</w:t>
            </w:r>
          </w:p>
        </w:tc>
        <w:tc>
          <w:tcPr>
            <w:tcW w:w="668"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sidRPr="00D8731C">
              <w:rPr>
                <w:rFonts w:ascii="Times New Roman" w:hAnsi="Times New Roman" w:cs="Times New Roman"/>
                <w:bCs/>
                <w:i/>
                <w:sz w:val="18"/>
                <w:szCs w:val="18"/>
                <w:lang w:val="en-US"/>
              </w:rPr>
              <w:t>La un an dup</w:t>
            </w:r>
            <w:r>
              <w:rPr>
                <w:rFonts w:ascii="Times New Roman" w:hAnsi="Times New Roman" w:cs="Times New Roman"/>
                <w:bCs/>
                <w:i/>
                <w:sz w:val="18"/>
                <w:szCs w:val="18"/>
                <w:lang w:val="en-US"/>
              </w:rPr>
              <w:t>ă</w:t>
            </w:r>
            <w:r w:rsidRPr="00D8731C">
              <w:rPr>
                <w:rFonts w:ascii="Times New Roman" w:hAnsi="Times New Roman" w:cs="Times New Roman"/>
                <w:bCs/>
                <w:i/>
                <w:sz w:val="18"/>
                <w:szCs w:val="18"/>
                <w:lang w:val="en-US"/>
              </w:rPr>
              <w:t xml:space="preserve"> finalizarea sprijinului</w:t>
            </w:r>
          </w:p>
        </w:tc>
      </w:tr>
      <w:tr w:rsidR="000A2CF3" w:rsidRPr="00D8731C" w:rsidTr="007B330B">
        <w:trPr>
          <w:trHeight w:val="286"/>
        </w:trPr>
        <w:tc>
          <w:tcPr>
            <w:tcW w:w="439" w:type="pct"/>
            <w:vMerge/>
            <w:tcBorders>
              <w:left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471" w:type="pct"/>
            <w:vMerge/>
            <w:tcBorders>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267" w:type="pct"/>
            <w:vMerge/>
            <w:tcBorders>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375" w:type="pct"/>
            <w:vMerge/>
            <w:tcBorders>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248"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454"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jc w:val="center"/>
              <w:rPr>
                <w:rFonts w:ascii="Times New Roman" w:hAnsi="Times New Roman" w:cs="Times New Roman"/>
                <w:bCs/>
                <w:noProof/>
                <w:color w:val="000000"/>
                <w:sz w:val="18"/>
                <w:szCs w:val="18"/>
              </w:rPr>
            </w:pPr>
            <w:r>
              <w:rPr>
                <w:rFonts w:ascii="Times New Roman" w:hAnsi="Times New Roman" w:cs="Times New Roman"/>
                <w:bCs/>
                <w:sz w:val="18"/>
                <w:szCs w:val="18"/>
                <w:lang w:eastAsia="en-GB"/>
              </w:rPr>
              <w:t xml:space="preserve">13 </w:t>
            </w:r>
            <w:r w:rsidRPr="00D8731C">
              <w:rPr>
                <w:rFonts w:ascii="Times New Roman" w:hAnsi="Times New Roman" w:cs="Times New Roman"/>
                <w:bCs/>
                <w:sz w:val="18"/>
                <w:szCs w:val="18"/>
                <w:lang w:eastAsia="en-GB"/>
              </w:rPr>
              <w:t>RCR 102 – Research jobs created in supported entities</w:t>
            </w:r>
          </w:p>
        </w:tc>
        <w:tc>
          <w:tcPr>
            <w:tcW w:w="532"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sidRPr="00D8731C">
              <w:rPr>
                <w:rFonts w:ascii="Times New Roman" w:hAnsi="Times New Roman" w:cs="Times New Roman"/>
                <w:bCs/>
                <w:i/>
                <w:sz w:val="18"/>
                <w:szCs w:val="18"/>
                <w:lang w:val="en-US"/>
              </w:rPr>
              <w:t>Num</w:t>
            </w:r>
            <w:r>
              <w:rPr>
                <w:rFonts w:ascii="Times New Roman" w:hAnsi="Times New Roman" w:cs="Times New Roman"/>
                <w:bCs/>
                <w:i/>
                <w:sz w:val="18"/>
                <w:szCs w:val="18"/>
                <w:lang w:val="en-US"/>
              </w:rPr>
              <w:t>ă</w:t>
            </w:r>
            <w:r w:rsidRPr="00D8731C">
              <w:rPr>
                <w:rFonts w:ascii="Times New Roman" w:hAnsi="Times New Roman" w:cs="Times New Roman"/>
                <w:bCs/>
                <w:i/>
                <w:sz w:val="18"/>
                <w:szCs w:val="18"/>
                <w:lang w:val="en-US"/>
              </w:rPr>
              <w:t>r de angaja</w:t>
            </w:r>
            <w:r>
              <w:rPr>
                <w:rFonts w:ascii="Times New Roman" w:hAnsi="Times New Roman" w:cs="Times New Roman"/>
                <w:bCs/>
                <w:i/>
                <w:sz w:val="18"/>
                <w:szCs w:val="18"/>
                <w:lang w:val="en-US"/>
              </w:rPr>
              <w:t>ț</w:t>
            </w:r>
            <w:r w:rsidRPr="00D8731C">
              <w:rPr>
                <w:rFonts w:ascii="Times New Roman" w:hAnsi="Times New Roman" w:cs="Times New Roman"/>
                <w:bCs/>
                <w:i/>
                <w:sz w:val="18"/>
                <w:szCs w:val="18"/>
                <w:lang w:val="en-US"/>
              </w:rPr>
              <w:t>i cercetătornorm</w:t>
            </w:r>
            <w:r>
              <w:rPr>
                <w:rFonts w:ascii="Times New Roman" w:hAnsi="Times New Roman" w:cs="Times New Roman"/>
                <w:bCs/>
                <w:i/>
                <w:sz w:val="18"/>
                <w:szCs w:val="18"/>
                <w:lang w:val="en-US"/>
              </w:rPr>
              <w:t>ă</w:t>
            </w:r>
            <w:r w:rsidRPr="00D8731C">
              <w:rPr>
                <w:rFonts w:ascii="Times New Roman" w:hAnsi="Times New Roman" w:cs="Times New Roman"/>
                <w:bCs/>
                <w:i/>
                <w:sz w:val="18"/>
                <w:szCs w:val="18"/>
                <w:lang w:val="en-US"/>
              </w:rPr>
              <w:t xml:space="preserve"> </w:t>
            </w:r>
            <w:r>
              <w:rPr>
                <w:rFonts w:ascii="Times New Roman" w:hAnsi="Times New Roman" w:cs="Times New Roman"/>
                <w:bCs/>
                <w:i/>
                <w:sz w:val="18"/>
                <w:szCs w:val="18"/>
                <w:lang w:val="en-US"/>
              </w:rPr>
              <w:t>î</w:t>
            </w:r>
            <w:r w:rsidRPr="00D8731C">
              <w:rPr>
                <w:rFonts w:ascii="Times New Roman" w:hAnsi="Times New Roman" w:cs="Times New Roman"/>
                <w:bCs/>
                <w:i/>
                <w:sz w:val="18"/>
                <w:szCs w:val="18"/>
                <w:lang w:val="en-US"/>
              </w:rPr>
              <w:t>ntreag</w:t>
            </w:r>
            <w:r>
              <w:rPr>
                <w:rFonts w:ascii="Times New Roman" w:hAnsi="Times New Roman" w:cs="Times New Roman"/>
                <w:bCs/>
                <w:i/>
                <w:sz w:val="18"/>
                <w:szCs w:val="18"/>
                <w:lang w:val="en-US"/>
              </w:rPr>
              <w:t>ă</w:t>
            </w:r>
            <w:r w:rsidRPr="00D8731C">
              <w:rPr>
                <w:rFonts w:ascii="Times New Roman" w:hAnsi="Times New Roman" w:cs="Times New Roman"/>
                <w:bCs/>
                <w:i/>
                <w:sz w:val="18"/>
                <w:szCs w:val="18"/>
                <w:lang w:val="en-US"/>
              </w:rPr>
              <w:t xml:space="preserve"> echivalent </w:t>
            </w:r>
            <w:r>
              <w:rPr>
                <w:rFonts w:ascii="Times New Roman" w:hAnsi="Times New Roman" w:cs="Times New Roman"/>
                <w:bCs/>
                <w:i/>
                <w:sz w:val="18"/>
                <w:szCs w:val="18"/>
                <w:lang w:val="en-US"/>
              </w:rPr>
              <w:t>anual</w:t>
            </w:r>
          </w:p>
        </w:tc>
        <w:tc>
          <w:tcPr>
            <w:tcW w:w="395"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Pr>
                <w:rFonts w:ascii="Times New Roman" w:hAnsi="Times New Roman" w:cs="Times New Roman"/>
                <w:bCs/>
                <w:i/>
                <w:sz w:val="18"/>
                <w:szCs w:val="18"/>
                <w:lang w:val="en-US"/>
              </w:rPr>
              <w:t>0</w:t>
            </w:r>
          </w:p>
        </w:tc>
        <w:tc>
          <w:tcPr>
            <w:tcW w:w="410"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sz w:val="18"/>
                <w:szCs w:val="18"/>
                <w:lang w:val="en-US"/>
              </w:rPr>
            </w:pPr>
            <w:r>
              <w:rPr>
                <w:rFonts w:ascii="Times New Roman" w:hAnsi="Times New Roman" w:cs="Times New Roman"/>
                <w:bCs/>
                <w:sz w:val="18"/>
                <w:szCs w:val="18"/>
                <w:lang w:val="en-US"/>
              </w:rPr>
              <w:t>2020</w:t>
            </w:r>
          </w:p>
        </w:tc>
        <w:tc>
          <w:tcPr>
            <w:tcW w:w="372"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sz w:val="18"/>
                <w:szCs w:val="18"/>
                <w:lang w:val="en-US"/>
              </w:rPr>
            </w:pPr>
            <w:r>
              <w:rPr>
                <w:rFonts w:ascii="Times New Roman" w:hAnsi="Times New Roman" w:cs="Times New Roman"/>
                <w:bCs/>
                <w:sz w:val="18"/>
                <w:szCs w:val="18"/>
                <w:lang w:val="en-US"/>
              </w:rPr>
              <w:t>699</w:t>
            </w:r>
          </w:p>
        </w:tc>
        <w:tc>
          <w:tcPr>
            <w:tcW w:w="369"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sidRPr="00D8731C">
              <w:rPr>
                <w:rFonts w:ascii="Times New Roman" w:hAnsi="Times New Roman" w:cs="Times New Roman"/>
                <w:bCs/>
                <w:i/>
                <w:sz w:val="18"/>
                <w:szCs w:val="18"/>
                <w:lang w:val="en-US"/>
              </w:rPr>
              <w:t>Proiectele sprijinite</w:t>
            </w:r>
          </w:p>
        </w:tc>
        <w:tc>
          <w:tcPr>
            <w:tcW w:w="668"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sidRPr="00D8731C">
              <w:rPr>
                <w:rFonts w:ascii="Times New Roman" w:hAnsi="Times New Roman" w:cs="Times New Roman"/>
                <w:bCs/>
                <w:i/>
                <w:sz w:val="18"/>
                <w:szCs w:val="18"/>
                <w:lang w:val="en-US"/>
              </w:rPr>
              <w:t>La un an dup</w:t>
            </w:r>
            <w:r>
              <w:rPr>
                <w:rFonts w:ascii="Times New Roman" w:hAnsi="Times New Roman" w:cs="Times New Roman"/>
                <w:bCs/>
                <w:i/>
                <w:sz w:val="18"/>
                <w:szCs w:val="18"/>
                <w:lang w:val="en-US"/>
              </w:rPr>
              <w:t>ă</w:t>
            </w:r>
            <w:r w:rsidRPr="00D8731C">
              <w:rPr>
                <w:rFonts w:ascii="Times New Roman" w:hAnsi="Times New Roman" w:cs="Times New Roman"/>
                <w:bCs/>
                <w:i/>
                <w:sz w:val="18"/>
                <w:szCs w:val="18"/>
                <w:lang w:val="en-US"/>
              </w:rPr>
              <w:t xml:space="preserve"> finalizarea sprijinului</w:t>
            </w:r>
          </w:p>
        </w:tc>
      </w:tr>
      <w:tr w:rsidR="000A2CF3" w:rsidRPr="00D8731C" w:rsidTr="007B330B">
        <w:trPr>
          <w:trHeight w:val="286"/>
        </w:trPr>
        <w:tc>
          <w:tcPr>
            <w:tcW w:w="439" w:type="pct"/>
            <w:vMerge/>
            <w:tcBorders>
              <w:left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471" w:type="pct"/>
            <w:vMerge w:val="restart"/>
            <w:tcBorders>
              <w:top w:val="single" w:sz="4" w:space="0" w:color="auto"/>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r>
              <w:rPr>
                <w:rFonts w:ascii="Times New Roman" w:hAnsi="Times New Roman" w:cs="Times New Roman"/>
                <w:b/>
                <w:i/>
                <w:sz w:val="18"/>
                <w:szCs w:val="18"/>
                <w:lang w:val="en-US"/>
              </w:rPr>
              <w:t xml:space="preserve"> </w:t>
            </w:r>
            <w:r w:rsidRPr="00A5342E">
              <w:rPr>
                <w:rFonts w:ascii="Times New Roman" w:hAnsi="Times New Roman" w:cs="Times New Roman"/>
                <w:b/>
                <w:i/>
                <w:sz w:val="18"/>
                <w:szCs w:val="18"/>
                <w:lang w:val="en-US"/>
              </w:rPr>
              <w:t>a</w:t>
            </w:r>
            <w:r>
              <w:rPr>
                <w:rFonts w:ascii="Times New Roman" w:hAnsi="Times New Roman" w:cs="Times New Roman"/>
                <w:b/>
                <w:i/>
                <w:sz w:val="18"/>
                <w:szCs w:val="18"/>
                <w:lang w:val="en-US"/>
              </w:rPr>
              <w:t xml:space="preserve"> </w:t>
            </w:r>
            <w:r w:rsidRPr="00A5342E">
              <w:rPr>
                <w:rFonts w:ascii="Times New Roman" w:hAnsi="Times New Roman" w:cs="Times New Roman"/>
                <w:b/>
                <w:i/>
                <w:sz w:val="18"/>
                <w:szCs w:val="18"/>
                <w:lang w:val="en-US"/>
              </w:rPr>
              <w:t>(iii)</w:t>
            </w:r>
            <w:r>
              <w:rPr>
                <w:rFonts w:ascii="Times New Roman" w:hAnsi="Times New Roman" w:cs="Times New Roman"/>
                <w:b/>
                <w:i/>
                <w:sz w:val="18"/>
                <w:szCs w:val="18"/>
                <w:lang w:val="en-US"/>
              </w:rPr>
              <w:t xml:space="preserve"> </w:t>
            </w:r>
            <w:r w:rsidRPr="00A5342E">
              <w:rPr>
                <w:rFonts w:ascii="Times New Roman" w:hAnsi="Times New Roman" w:cs="Times New Roman"/>
                <w:b/>
                <w:i/>
                <w:sz w:val="18"/>
                <w:szCs w:val="18"/>
                <w:lang w:val="en-US"/>
              </w:rPr>
              <w:t>Impulsionarea creșterii și competitivității IMM-urilor</w:t>
            </w:r>
          </w:p>
        </w:tc>
        <w:tc>
          <w:tcPr>
            <w:tcW w:w="267" w:type="pct"/>
            <w:vMerge w:val="restart"/>
            <w:tcBorders>
              <w:top w:val="single" w:sz="4" w:space="0" w:color="auto"/>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r w:rsidRPr="00195444">
              <w:rPr>
                <w:rFonts w:ascii="Times New Roman" w:hAnsi="Times New Roman" w:cs="Times New Roman"/>
                <w:b/>
                <w:i/>
                <w:sz w:val="18"/>
                <w:szCs w:val="18"/>
                <w:lang w:val="en-US"/>
              </w:rPr>
              <w:t>ERDF</w:t>
            </w:r>
          </w:p>
        </w:tc>
        <w:tc>
          <w:tcPr>
            <w:tcW w:w="375" w:type="pct"/>
            <w:vMerge w:val="restart"/>
            <w:tcBorders>
              <w:top w:val="single" w:sz="4" w:space="0" w:color="auto"/>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r w:rsidRPr="00195444">
              <w:rPr>
                <w:rFonts w:ascii="Times New Roman" w:hAnsi="Times New Roman" w:cs="Times New Roman"/>
                <w:b/>
                <w:i/>
                <w:sz w:val="18"/>
                <w:szCs w:val="18"/>
                <w:lang w:val="en-US"/>
              </w:rPr>
              <w:t>Less devel</w:t>
            </w:r>
            <w:r>
              <w:rPr>
                <w:rFonts w:ascii="Times New Roman" w:hAnsi="Times New Roman" w:cs="Times New Roman"/>
                <w:b/>
                <w:i/>
                <w:sz w:val="18"/>
                <w:szCs w:val="18"/>
                <w:lang w:val="en-US"/>
              </w:rPr>
              <w:t>o</w:t>
            </w:r>
            <w:r w:rsidRPr="00195444">
              <w:rPr>
                <w:rFonts w:ascii="Times New Roman" w:hAnsi="Times New Roman" w:cs="Times New Roman"/>
                <w:b/>
                <w:i/>
                <w:sz w:val="18"/>
                <w:szCs w:val="18"/>
                <w:lang w:val="en-US"/>
              </w:rPr>
              <w:t>ped</w:t>
            </w:r>
          </w:p>
        </w:tc>
        <w:tc>
          <w:tcPr>
            <w:tcW w:w="248" w:type="pct"/>
            <w:tcBorders>
              <w:top w:val="single" w:sz="4" w:space="0" w:color="auto"/>
              <w:left w:val="single" w:sz="4" w:space="0" w:color="auto"/>
              <w:bottom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r w:rsidRPr="00195444">
              <w:rPr>
                <w:rFonts w:ascii="Times New Roman" w:hAnsi="Times New Roman" w:cs="Times New Roman"/>
                <w:b/>
                <w:i/>
                <w:sz w:val="18"/>
                <w:szCs w:val="18"/>
                <w:lang w:val="en-US"/>
              </w:rPr>
              <w:t>RO12</w:t>
            </w:r>
          </w:p>
        </w:tc>
        <w:tc>
          <w:tcPr>
            <w:tcW w:w="454"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jc w:val="center"/>
              <w:rPr>
                <w:rFonts w:ascii="Times New Roman" w:hAnsi="Times New Roman" w:cs="Times New Roman"/>
                <w:bCs/>
                <w:noProof/>
                <w:color w:val="000000"/>
                <w:sz w:val="18"/>
                <w:szCs w:val="18"/>
              </w:rPr>
            </w:pPr>
            <w:r>
              <w:rPr>
                <w:rFonts w:ascii="Times New Roman" w:hAnsi="Times New Roman" w:cs="Times New Roman"/>
                <w:bCs/>
                <w:noProof/>
                <w:color w:val="000000"/>
                <w:sz w:val="18"/>
                <w:szCs w:val="18"/>
              </w:rPr>
              <w:t xml:space="preserve">13 RCR 01 </w:t>
            </w:r>
            <w:r w:rsidRPr="00B5159A">
              <w:rPr>
                <w:rFonts w:ascii="Times New Roman" w:hAnsi="Times New Roman" w:cs="Times New Roman"/>
                <w:bCs/>
                <w:noProof/>
                <w:color w:val="000000"/>
                <w:sz w:val="18"/>
                <w:szCs w:val="18"/>
              </w:rPr>
              <w:t>Locuri de muncă create în entitățile care beneficiază de sprijin</w:t>
            </w:r>
            <w:r w:rsidRPr="00B5159A" w:rsidDel="00B5159A">
              <w:rPr>
                <w:rFonts w:ascii="Times New Roman" w:hAnsi="Times New Roman" w:cs="Times New Roman"/>
                <w:bCs/>
                <w:noProof/>
                <w:color w:val="000000"/>
                <w:sz w:val="18"/>
                <w:szCs w:val="18"/>
              </w:rPr>
              <w:t xml:space="preserve"> </w:t>
            </w:r>
          </w:p>
        </w:tc>
        <w:tc>
          <w:tcPr>
            <w:tcW w:w="532"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sidRPr="00D8731C">
              <w:rPr>
                <w:rFonts w:ascii="Times New Roman" w:hAnsi="Times New Roman" w:cs="Times New Roman"/>
                <w:bCs/>
                <w:i/>
                <w:sz w:val="18"/>
                <w:szCs w:val="18"/>
                <w:lang w:val="en-US"/>
              </w:rPr>
              <w:t>Num</w:t>
            </w:r>
            <w:r>
              <w:rPr>
                <w:rFonts w:ascii="Times New Roman" w:hAnsi="Times New Roman" w:cs="Times New Roman"/>
                <w:bCs/>
                <w:i/>
                <w:sz w:val="18"/>
                <w:szCs w:val="18"/>
                <w:lang w:val="en-US"/>
              </w:rPr>
              <w:t>ă</w:t>
            </w:r>
            <w:r w:rsidRPr="00D8731C">
              <w:rPr>
                <w:rFonts w:ascii="Times New Roman" w:hAnsi="Times New Roman" w:cs="Times New Roman"/>
                <w:bCs/>
                <w:i/>
                <w:sz w:val="18"/>
                <w:szCs w:val="18"/>
                <w:lang w:val="en-US"/>
              </w:rPr>
              <w:t>r de angaja</w:t>
            </w:r>
            <w:r>
              <w:rPr>
                <w:rFonts w:ascii="Times New Roman" w:hAnsi="Times New Roman" w:cs="Times New Roman"/>
                <w:bCs/>
                <w:i/>
                <w:sz w:val="18"/>
                <w:szCs w:val="18"/>
                <w:lang w:val="en-US"/>
              </w:rPr>
              <w:t>ț</w:t>
            </w:r>
            <w:r w:rsidRPr="00D8731C">
              <w:rPr>
                <w:rFonts w:ascii="Times New Roman" w:hAnsi="Times New Roman" w:cs="Times New Roman"/>
                <w:bCs/>
                <w:i/>
                <w:sz w:val="18"/>
                <w:szCs w:val="18"/>
                <w:lang w:val="en-US"/>
              </w:rPr>
              <w:t>i norm</w:t>
            </w:r>
            <w:r>
              <w:rPr>
                <w:rFonts w:ascii="Times New Roman" w:hAnsi="Times New Roman" w:cs="Times New Roman"/>
                <w:bCs/>
                <w:i/>
                <w:sz w:val="18"/>
                <w:szCs w:val="18"/>
                <w:lang w:val="en-US"/>
              </w:rPr>
              <w:t>ă</w:t>
            </w:r>
            <w:r w:rsidRPr="00D8731C">
              <w:rPr>
                <w:rFonts w:ascii="Times New Roman" w:hAnsi="Times New Roman" w:cs="Times New Roman"/>
                <w:bCs/>
                <w:i/>
                <w:sz w:val="18"/>
                <w:szCs w:val="18"/>
                <w:lang w:val="en-US"/>
              </w:rPr>
              <w:t xml:space="preserve"> </w:t>
            </w:r>
            <w:r>
              <w:rPr>
                <w:rFonts w:ascii="Times New Roman" w:hAnsi="Times New Roman" w:cs="Times New Roman"/>
                <w:bCs/>
                <w:i/>
                <w:sz w:val="18"/>
                <w:szCs w:val="18"/>
                <w:lang w:val="en-US"/>
              </w:rPr>
              <w:t>î</w:t>
            </w:r>
            <w:r w:rsidRPr="00D8731C">
              <w:rPr>
                <w:rFonts w:ascii="Times New Roman" w:hAnsi="Times New Roman" w:cs="Times New Roman"/>
                <w:bCs/>
                <w:i/>
                <w:sz w:val="18"/>
                <w:szCs w:val="18"/>
                <w:lang w:val="en-US"/>
              </w:rPr>
              <w:t>ntreag</w:t>
            </w:r>
            <w:r>
              <w:rPr>
                <w:rFonts w:ascii="Times New Roman" w:hAnsi="Times New Roman" w:cs="Times New Roman"/>
                <w:bCs/>
                <w:i/>
                <w:sz w:val="18"/>
                <w:szCs w:val="18"/>
                <w:lang w:val="en-US"/>
              </w:rPr>
              <w:t>ă</w:t>
            </w:r>
            <w:r w:rsidRPr="00D8731C">
              <w:rPr>
                <w:rFonts w:ascii="Times New Roman" w:hAnsi="Times New Roman" w:cs="Times New Roman"/>
                <w:bCs/>
                <w:i/>
                <w:sz w:val="18"/>
                <w:szCs w:val="18"/>
                <w:lang w:val="en-US"/>
              </w:rPr>
              <w:t xml:space="preserve"> echivalent </w:t>
            </w:r>
            <w:r>
              <w:rPr>
                <w:rFonts w:ascii="Times New Roman" w:hAnsi="Times New Roman" w:cs="Times New Roman"/>
                <w:bCs/>
                <w:i/>
                <w:sz w:val="18"/>
                <w:szCs w:val="18"/>
                <w:lang w:val="en-US"/>
              </w:rPr>
              <w:t>anual</w:t>
            </w:r>
            <w:r w:rsidRPr="00D8731C" w:rsidDel="00B5159A">
              <w:rPr>
                <w:rFonts w:ascii="Times New Roman" w:hAnsi="Times New Roman" w:cs="Times New Roman"/>
                <w:bCs/>
                <w:i/>
                <w:sz w:val="18"/>
                <w:szCs w:val="18"/>
                <w:lang w:val="en-US"/>
              </w:rPr>
              <w:t xml:space="preserve"> </w:t>
            </w:r>
          </w:p>
        </w:tc>
        <w:tc>
          <w:tcPr>
            <w:tcW w:w="395"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Pr>
                <w:rFonts w:ascii="Times New Roman" w:hAnsi="Times New Roman" w:cs="Times New Roman"/>
                <w:bCs/>
                <w:i/>
                <w:sz w:val="18"/>
                <w:szCs w:val="18"/>
                <w:lang w:val="en-US"/>
              </w:rPr>
              <w:t>0</w:t>
            </w:r>
          </w:p>
        </w:tc>
        <w:tc>
          <w:tcPr>
            <w:tcW w:w="410"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sz w:val="18"/>
                <w:szCs w:val="18"/>
                <w:lang w:val="en-US"/>
              </w:rPr>
            </w:pPr>
            <w:r>
              <w:rPr>
                <w:rFonts w:ascii="Times New Roman" w:hAnsi="Times New Roman" w:cs="Times New Roman"/>
                <w:bCs/>
                <w:sz w:val="18"/>
                <w:szCs w:val="18"/>
                <w:lang w:val="en-US"/>
              </w:rPr>
              <w:t>2020</w:t>
            </w:r>
          </w:p>
        </w:tc>
        <w:tc>
          <w:tcPr>
            <w:tcW w:w="372"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sz w:val="18"/>
                <w:szCs w:val="18"/>
                <w:lang w:val="en-US"/>
              </w:rPr>
            </w:pPr>
            <w:r>
              <w:rPr>
                <w:rFonts w:ascii="Times New Roman" w:hAnsi="Times New Roman" w:cs="Times New Roman"/>
                <w:bCs/>
                <w:sz w:val="18"/>
                <w:szCs w:val="18"/>
                <w:lang w:val="en-US"/>
              </w:rPr>
              <w:t>1791</w:t>
            </w:r>
          </w:p>
        </w:tc>
        <w:tc>
          <w:tcPr>
            <w:tcW w:w="369"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668"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r>
      <w:tr w:rsidR="000A2CF3" w:rsidRPr="00D8731C" w:rsidTr="007B330B">
        <w:trPr>
          <w:trHeight w:val="286"/>
        </w:trPr>
        <w:tc>
          <w:tcPr>
            <w:tcW w:w="439" w:type="pct"/>
            <w:vMerge/>
            <w:tcBorders>
              <w:left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471" w:type="pct"/>
            <w:vMerge/>
            <w:tcBorders>
              <w:top w:val="single" w:sz="4" w:space="0" w:color="auto"/>
              <w:left w:val="single" w:sz="4" w:space="0" w:color="auto"/>
              <w:right w:val="single" w:sz="4" w:space="0" w:color="auto"/>
            </w:tcBorders>
          </w:tcPr>
          <w:p w:rsidR="000A2CF3" w:rsidRDefault="000A2CF3" w:rsidP="000A2CF3">
            <w:pPr>
              <w:spacing w:after="0" w:line="240" w:lineRule="auto"/>
              <w:rPr>
                <w:rFonts w:ascii="Times New Roman" w:hAnsi="Times New Roman" w:cs="Times New Roman"/>
                <w:b/>
                <w:i/>
                <w:sz w:val="18"/>
                <w:szCs w:val="18"/>
                <w:lang w:val="en-US"/>
              </w:rPr>
            </w:pPr>
          </w:p>
        </w:tc>
        <w:tc>
          <w:tcPr>
            <w:tcW w:w="267" w:type="pct"/>
            <w:vMerge/>
            <w:tcBorders>
              <w:top w:val="single" w:sz="4" w:space="0" w:color="auto"/>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375" w:type="pct"/>
            <w:vMerge/>
            <w:tcBorders>
              <w:top w:val="single" w:sz="4" w:space="0" w:color="auto"/>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248" w:type="pct"/>
            <w:tcBorders>
              <w:top w:val="single" w:sz="4" w:space="0" w:color="auto"/>
              <w:left w:val="single" w:sz="4" w:space="0" w:color="auto"/>
              <w:bottom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454" w:type="pct"/>
            <w:tcBorders>
              <w:top w:val="single" w:sz="4" w:space="0" w:color="auto"/>
              <w:left w:val="single" w:sz="4" w:space="0" w:color="auto"/>
              <w:bottom w:val="single" w:sz="4" w:space="0" w:color="auto"/>
              <w:right w:val="single" w:sz="4" w:space="0" w:color="auto"/>
            </w:tcBorders>
          </w:tcPr>
          <w:p w:rsidR="000A2CF3" w:rsidRDefault="000A2CF3" w:rsidP="000A2CF3">
            <w:pPr>
              <w:spacing w:after="0" w:line="240" w:lineRule="auto"/>
              <w:jc w:val="center"/>
              <w:rPr>
                <w:rFonts w:ascii="Times New Roman" w:hAnsi="Times New Roman" w:cs="Times New Roman"/>
                <w:bCs/>
                <w:noProof/>
                <w:color w:val="000000"/>
                <w:sz w:val="18"/>
                <w:szCs w:val="18"/>
              </w:rPr>
            </w:pPr>
            <w:r>
              <w:rPr>
                <w:rFonts w:ascii="Times New Roman" w:hAnsi="Times New Roman" w:cs="Times New Roman"/>
                <w:bCs/>
                <w:noProof/>
                <w:color w:val="000000"/>
                <w:sz w:val="18"/>
                <w:szCs w:val="18"/>
              </w:rPr>
              <w:t xml:space="preserve">13 </w:t>
            </w:r>
            <w:r w:rsidRPr="00D8731C">
              <w:rPr>
                <w:rFonts w:ascii="Times New Roman" w:hAnsi="Times New Roman" w:cs="Times New Roman"/>
                <w:bCs/>
                <w:noProof/>
                <w:color w:val="000000"/>
                <w:sz w:val="18"/>
                <w:szCs w:val="18"/>
              </w:rPr>
              <w:t xml:space="preserve">RCR 02 - Investiții private </w:t>
            </w:r>
            <w:r w:rsidRPr="00D8731C">
              <w:rPr>
                <w:rFonts w:ascii="Times New Roman" w:hAnsi="Times New Roman" w:cs="Times New Roman"/>
                <w:bCs/>
                <w:noProof/>
                <w:color w:val="000000"/>
                <w:sz w:val="18"/>
                <w:szCs w:val="18"/>
              </w:rPr>
              <w:lastRenderedPageBreak/>
              <w:t>care completează sprijinul public (din care: granturi, instrumente financiare)</w:t>
            </w:r>
          </w:p>
        </w:tc>
        <w:tc>
          <w:tcPr>
            <w:tcW w:w="532"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sidRPr="00D8731C">
              <w:rPr>
                <w:rFonts w:ascii="Times New Roman" w:hAnsi="Times New Roman" w:cs="Times New Roman"/>
                <w:bCs/>
                <w:i/>
                <w:sz w:val="18"/>
                <w:szCs w:val="18"/>
                <w:lang w:val="en-US"/>
              </w:rPr>
              <w:lastRenderedPageBreak/>
              <w:t>Euro</w:t>
            </w:r>
          </w:p>
        </w:tc>
        <w:tc>
          <w:tcPr>
            <w:tcW w:w="395"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Pr>
                <w:rFonts w:ascii="Times New Roman" w:hAnsi="Times New Roman" w:cs="Times New Roman"/>
                <w:bCs/>
                <w:i/>
                <w:sz w:val="18"/>
                <w:szCs w:val="18"/>
                <w:lang w:val="en-US"/>
              </w:rPr>
              <w:t>0</w:t>
            </w:r>
          </w:p>
        </w:tc>
        <w:tc>
          <w:tcPr>
            <w:tcW w:w="410"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sz w:val="18"/>
                <w:szCs w:val="18"/>
                <w:lang w:val="en-US"/>
              </w:rPr>
            </w:pPr>
            <w:r>
              <w:rPr>
                <w:rFonts w:ascii="Times New Roman" w:hAnsi="Times New Roman" w:cs="Times New Roman"/>
                <w:bCs/>
                <w:sz w:val="18"/>
                <w:szCs w:val="18"/>
                <w:lang w:val="en-US"/>
              </w:rPr>
              <w:t>2020</w:t>
            </w:r>
          </w:p>
        </w:tc>
        <w:tc>
          <w:tcPr>
            <w:tcW w:w="372"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sz w:val="18"/>
                <w:szCs w:val="18"/>
                <w:lang w:val="en-US"/>
              </w:rPr>
            </w:pPr>
            <w:r>
              <w:rPr>
                <w:rFonts w:ascii="Times New Roman" w:hAnsi="Times New Roman" w:cs="Times New Roman"/>
                <w:bCs/>
                <w:sz w:val="18"/>
                <w:szCs w:val="18"/>
                <w:lang w:val="en-US"/>
              </w:rPr>
              <w:t>81.841.697</w:t>
            </w:r>
          </w:p>
        </w:tc>
        <w:tc>
          <w:tcPr>
            <w:tcW w:w="369"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sidRPr="00D8731C">
              <w:rPr>
                <w:rFonts w:ascii="Times New Roman" w:hAnsi="Times New Roman" w:cs="Times New Roman"/>
                <w:bCs/>
                <w:i/>
                <w:sz w:val="18"/>
                <w:szCs w:val="18"/>
                <w:lang w:val="en-US"/>
              </w:rPr>
              <w:t>Execu</w:t>
            </w:r>
            <w:r>
              <w:rPr>
                <w:rFonts w:ascii="Times New Roman" w:hAnsi="Times New Roman" w:cs="Times New Roman"/>
                <w:bCs/>
                <w:i/>
                <w:sz w:val="18"/>
                <w:szCs w:val="18"/>
                <w:lang w:val="en-US"/>
              </w:rPr>
              <w:t>ț</w:t>
            </w:r>
            <w:r w:rsidRPr="00D8731C">
              <w:rPr>
                <w:rFonts w:ascii="Times New Roman" w:hAnsi="Times New Roman" w:cs="Times New Roman"/>
                <w:bCs/>
                <w:i/>
                <w:sz w:val="18"/>
                <w:szCs w:val="18"/>
                <w:lang w:val="en-US"/>
              </w:rPr>
              <w:t>ia bugetar</w:t>
            </w:r>
            <w:r>
              <w:rPr>
                <w:rFonts w:ascii="Times New Roman" w:hAnsi="Times New Roman" w:cs="Times New Roman"/>
                <w:bCs/>
                <w:i/>
                <w:sz w:val="18"/>
                <w:szCs w:val="18"/>
                <w:lang w:val="en-US"/>
              </w:rPr>
              <w:t>ă</w:t>
            </w:r>
            <w:r w:rsidRPr="00D8731C">
              <w:rPr>
                <w:rFonts w:ascii="Times New Roman" w:hAnsi="Times New Roman" w:cs="Times New Roman"/>
                <w:bCs/>
                <w:i/>
                <w:sz w:val="18"/>
                <w:szCs w:val="18"/>
                <w:lang w:val="en-US"/>
              </w:rPr>
              <w:t xml:space="preserve"> a </w:t>
            </w:r>
            <w:r w:rsidRPr="00D8731C">
              <w:rPr>
                <w:rFonts w:ascii="Times New Roman" w:hAnsi="Times New Roman" w:cs="Times New Roman"/>
                <w:bCs/>
                <w:i/>
                <w:sz w:val="18"/>
                <w:szCs w:val="18"/>
                <w:lang w:val="en-US"/>
              </w:rPr>
              <w:lastRenderedPageBreak/>
              <w:t>proiectelor finan</w:t>
            </w:r>
            <w:r>
              <w:rPr>
                <w:rFonts w:ascii="Times New Roman" w:hAnsi="Times New Roman" w:cs="Times New Roman"/>
                <w:bCs/>
                <w:i/>
                <w:sz w:val="18"/>
                <w:szCs w:val="18"/>
                <w:lang w:val="en-US"/>
              </w:rPr>
              <w:t>ț</w:t>
            </w:r>
            <w:r w:rsidRPr="00D8731C">
              <w:rPr>
                <w:rFonts w:ascii="Times New Roman" w:hAnsi="Times New Roman" w:cs="Times New Roman"/>
                <w:bCs/>
                <w:i/>
                <w:sz w:val="18"/>
                <w:szCs w:val="18"/>
                <w:lang w:val="en-US"/>
              </w:rPr>
              <w:t>ate</w:t>
            </w:r>
          </w:p>
        </w:tc>
        <w:tc>
          <w:tcPr>
            <w:tcW w:w="668" w:type="pct"/>
            <w:tcBorders>
              <w:top w:val="single" w:sz="4" w:space="0" w:color="auto"/>
              <w:left w:val="single" w:sz="4" w:space="0" w:color="auto"/>
              <w:bottom w:val="single" w:sz="4" w:space="0" w:color="auto"/>
              <w:right w:val="single" w:sz="4" w:space="0" w:color="auto"/>
            </w:tcBorders>
          </w:tcPr>
          <w:p w:rsidR="000A2CF3" w:rsidRDefault="000A2CF3" w:rsidP="000A2CF3">
            <w:pPr>
              <w:spacing w:after="0" w:line="240" w:lineRule="auto"/>
              <w:rPr>
                <w:rFonts w:ascii="Times New Roman" w:hAnsi="Times New Roman" w:cs="Times New Roman"/>
                <w:bCs/>
                <w:i/>
                <w:sz w:val="18"/>
                <w:szCs w:val="18"/>
                <w:lang w:val="en-US"/>
              </w:rPr>
            </w:pPr>
            <w:r w:rsidRPr="00D8731C">
              <w:rPr>
                <w:rFonts w:ascii="Times New Roman" w:hAnsi="Times New Roman" w:cs="Times New Roman"/>
                <w:bCs/>
                <w:i/>
                <w:sz w:val="18"/>
                <w:szCs w:val="18"/>
                <w:lang w:val="en-US"/>
              </w:rPr>
              <w:lastRenderedPageBreak/>
              <w:t>Contribu</w:t>
            </w:r>
            <w:r>
              <w:rPr>
                <w:rFonts w:ascii="Times New Roman" w:hAnsi="Times New Roman" w:cs="Times New Roman"/>
                <w:bCs/>
                <w:i/>
                <w:sz w:val="18"/>
                <w:szCs w:val="18"/>
                <w:lang w:val="en-US"/>
              </w:rPr>
              <w:t>ț</w:t>
            </w:r>
            <w:r w:rsidRPr="00D8731C">
              <w:rPr>
                <w:rFonts w:ascii="Times New Roman" w:hAnsi="Times New Roman" w:cs="Times New Roman"/>
                <w:bCs/>
                <w:i/>
                <w:sz w:val="18"/>
                <w:szCs w:val="18"/>
                <w:lang w:val="en-US"/>
              </w:rPr>
              <w:t>ie privat</w:t>
            </w:r>
            <w:r>
              <w:rPr>
                <w:rFonts w:ascii="Times New Roman" w:hAnsi="Times New Roman" w:cs="Times New Roman"/>
                <w:bCs/>
                <w:i/>
                <w:sz w:val="18"/>
                <w:szCs w:val="18"/>
                <w:lang w:val="en-US"/>
              </w:rPr>
              <w:t>ă</w:t>
            </w:r>
            <w:r w:rsidRPr="00D8731C">
              <w:rPr>
                <w:rFonts w:ascii="Times New Roman" w:hAnsi="Times New Roman" w:cs="Times New Roman"/>
                <w:bCs/>
                <w:i/>
                <w:sz w:val="18"/>
                <w:szCs w:val="18"/>
                <w:lang w:val="en-US"/>
              </w:rPr>
              <w:t xml:space="preserve"> la costuri eligibile + costuri ne-</w:t>
            </w:r>
            <w:r w:rsidRPr="00D8731C">
              <w:rPr>
                <w:rFonts w:ascii="Times New Roman" w:hAnsi="Times New Roman" w:cs="Times New Roman"/>
                <w:bCs/>
                <w:i/>
                <w:sz w:val="18"/>
                <w:szCs w:val="18"/>
                <w:lang w:val="en-US"/>
              </w:rPr>
              <w:lastRenderedPageBreak/>
              <w:t>eligibile+TVA</w:t>
            </w:r>
          </w:p>
          <w:p w:rsidR="000A2CF3" w:rsidRPr="00D8731C" w:rsidRDefault="000A2CF3" w:rsidP="000A2CF3">
            <w:pPr>
              <w:spacing w:after="0" w:line="240" w:lineRule="auto"/>
              <w:rPr>
                <w:rFonts w:ascii="Times New Roman" w:hAnsi="Times New Roman" w:cs="Times New Roman"/>
                <w:bCs/>
                <w:i/>
                <w:sz w:val="18"/>
                <w:szCs w:val="18"/>
                <w:lang w:val="en-US"/>
              </w:rPr>
            </w:pPr>
          </w:p>
        </w:tc>
      </w:tr>
      <w:tr w:rsidR="000A2CF3" w:rsidRPr="00D8731C" w:rsidTr="007B330B">
        <w:trPr>
          <w:trHeight w:val="286"/>
        </w:trPr>
        <w:tc>
          <w:tcPr>
            <w:tcW w:w="439" w:type="pct"/>
            <w:vMerge/>
            <w:tcBorders>
              <w:left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471" w:type="pct"/>
            <w:vMerge/>
            <w:tcBorders>
              <w:left w:val="single" w:sz="4" w:space="0" w:color="auto"/>
              <w:right w:val="single" w:sz="4" w:space="0" w:color="auto"/>
            </w:tcBorders>
          </w:tcPr>
          <w:p w:rsidR="000A2CF3" w:rsidRDefault="000A2CF3" w:rsidP="000A2CF3">
            <w:pPr>
              <w:spacing w:after="0" w:line="240" w:lineRule="auto"/>
              <w:rPr>
                <w:rFonts w:ascii="Times New Roman" w:hAnsi="Times New Roman" w:cs="Times New Roman"/>
                <w:b/>
                <w:i/>
                <w:sz w:val="18"/>
                <w:szCs w:val="18"/>
                <w:lang w:val="en-US"/>
              </w:rPr>
            </w:pPr>
          </w:p>
        </w:tc>
        <w:tc>
          <w:tcPr>
            <w:tcW w:w="267" w:type="pct"/>
            <w:vMerge/>
            <w:tcBorders>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375" w:type="pct"/>
            <w:vMerge/>
            <w:tcBorders>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248" w:type="pct"/>
            <w:tcBorders>
              <w:top w:val="single" w:sz="4" w:space="0" w:color="auto"/>
              <w:left w:val="single" w:sz="4" w:space="0" w:color="auto"/>
              <w:bottom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454" w:type="pct"/>
            <w:tcBorders>
              <w:top w:val="single" w:sz="4" w:space="0" w:color="auto"/>
              <w:left w:val="single" w:sz="4" w:space="0" w:color="auto"/>
              <w:bottom w:val="single" w:sz="4" w:space="0" w:color="auto"/>
              <w:right w:val="single" w:sz="4" w:space="0" w:color="auto"/>
            </w:tcBorders>
          </w:tcPr>
          <w:p w:rsidR="000A2CF3" w:rsidRDefault="000A2CF3" w:rsidP="000A2CF3">
            <w:pPr>
              <w:spacing w:after="0" w:line="240" w:lineRule="auto"/>
              <w:jc w:val="center"/>
              <w:rPr>
                <w:rFonts w:ascii="Times New Roman" w:hAnsi="Times New Roman" w:cs="Times New Roman"/>
                <w:bCs/>
                <w:noProof/>
                <w:color w:val="000000"/>
                <w:sz w:val="18"/>
                <w:szCs w:val="18"/>
              </w:rPr>
            </w:pPr>
            <w:r>
              <w:rPr>
                <w:rFonts w:ascii="Times New Roman" w:hAnsi="Times New Roman" w:cs="Times New Roman"/>
                <w:bCs/>
                <w:noProof/>
                <w:color w:val="000000"/>
                <w:sz w:val="18"/>
                <w:szCs w:val="18"/>
              </w:rPr>
              <w:t xml:space="preserve">13 </w:t>
            </w:r>
            <w:r w:rsidRPr="00D8731C">
              <w:rPr>
                <w:rFonts w:ascii="Times New Roman" w:hAnsi="Times New Roman" w:cs="Times New Roman"/>
                <w:bCs/>
                <w:noProof/>
                <w:color w:val="000000"/>
                <w:sz w:val="18"/>
                <w:szCs w:val="18"/>
              </w:rPr>
              <w:t>RCR 03 - IMM-uri care introduc inovații în materie de produse sau procese</w:t>
            </w:r>
          </w:p>
        </w:tc>
        <w:tc>
          <w:tcPr>
            <w:tcW w:w="532"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sidRPr="00D8731C">
              <w:rPr>
                <w:rFonts w:ascii="Times New Roman" w:hAnsi="Times New Roman" w:cs="Times New Roman"/>
                <w:bCs/>
                <w:i/>
                <w:sz w:val="18"/>
                <w:szCs w:val="18"/>
                <w:lang w:val="en-US"/>
              </w:rPr>
              <w:t>Întreprinderi</w:t>
            </w:r>
          </w:p>
        </w:tc>
        <w:tc>
          <w:tcPr>
            <w:tcW w:w="395"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Pr>
                <w:rFonts w:ascii="Times New Roman" w:hAnsi="Times New Roman" w:cs="Times New Roman"/>
                <w:bCs/>
                <w:i/>
                <w:sz w:val="18"/>
                <w:szCs w:val="18"/>
                <w:lang w:val="en-US"/>
              </w:rPr>
              <w:t>0</w:t>
            </w:r>
          </w:p>
        </w:tc>
        <w:tc>
          <w:tcPr>
            <w:tcW w:w="410"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sz w:val="18"/>
                <w:szCs w:val="18"/>
                <w:lang w:val="en-US"/>
              </w:rPr>
            </w:pPr>
            <w:r>
              <w:rPr>
                <w:rFonts w:ascii="Times New Roman" w:hAnsi="Times New Roman" w:cs="Times New Roman"/>
                <w:bCs/>
                <w:sz w:val="18"/>
                <w:szCs w:val="18"/>
                <w:lang w:val="en-US"/>
              </w:rPr>
              <w:t>2020</w:t>
            </w:r>
          </w:p>
        </w:tc>
        <w:tc>
          <w:tcPr>
            <w:tcW w:w="372"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sz w:val="18"/>
                <w:szCs w:val="18"/>
                <w:lang w:val="en-US"/>
              </w:rPr>
            </w:pPr>
            <w:r>
              <w:rPr>
                <w:rFonts w:ascii="Times New Roman" w:hAnsi="Times New Roman" w:cs="Times New Roman"/>
                <w:bCs/>
                <w:sz w:val="18"/>
                <w:szCs w:val="18"/>
                <w:lang w:val="en-US"/>
              </w:rPr>
              <w:t>167</w:t>
            </w:r>
          </w:p>
        </w:tc>
        <w:tc>
          <w:tcPr>
            <w:tcW w:w="369"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sidRPr="00D8731C">
              <w:rPr>
                <w:rFonts w:ascii="Times New Roman" w:hAnsi="Times New Roman" w:cs="Times New Roman"/>
                <w:bCs/>
                <w:i/>
                <w:sz w:val="18"/>
                <w:szCs w:val="18"/>
                <w:lang w:val="en-US"/>
              </w:rPr>
              <w:t>Proiecte finanțate + furnizori de CDI sus</w:t>
            </w:r>
            <w:r>
              <w:rPr>
                <w:rFonts w:ascii="Times New Roman" w:hAnsi="Times New Roman" w:cs="Times New Roman"/>
                <w:bCs/>
                <w:i/>
                <w:sz w:val="18"/>
                <w:szCs w:val="18"/>
                <w:lang w:val="en-US"/>
              </w:rPr>
              <w:t>ț</w:t>
            </w:r>
            <w:r w:rsidRPr="00D8731C">
              <w:rPr>
                <w:rFonts w:ascii="Times New Roman" w:hAnsi="Times New Roman" w:cs="Times New Roman"/>
                <w:bCs/>
                <w:i/>
                <w:sz w:val="18"/>
                <w:szCs w:val="18"/>
                <w:lang w:val="en-US"/>
              </w:rPr>
              <w:t>inu</w:t>
            </w:r>
            <w:r>
              <w:rPr>
                <w:rFonts w:ascii="Times New Roman" w:hAnsi="Times New Roman" w:cs="Times New Roman"/>
                <w:bCs/>
                <w:i/>
                <w:sz w:val="18"/>
                <w:szCs w:val="18"/>
                <w:lang w:val="en-US"/>
              </w:rPr>
              <w:t>ț</w:t>
            </w:r>
            <w:r w:rsidRPr="00D8731C">
              <w:rPr>
                <w:rFonts w:ascii="Times New Roman" w:hAnsi="Times New Roman" w:cs="Times New Roman"/>
                <w:bCs/>
                <w:i/>
                <w:sz w:val="18"/>
                <w:szCs w:val="18"/>
                <w:lang w:val="en-US"/>
              </w:rPr>
              <w:t>i</w:t>
            </w:r>
          </w:p>
        </w:tc>
        <w:tc>
          <w:tcPr>
            <w:tcW w:w="668"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r>
      <w:tr w:rsidR="000A2CF3" w:rsidRPr="00D8731C" w:rsidTr="007B330B">
        <w:trPr>
          <w:trHeight w:val="286"/>
        </w:trPr>
        <w:tc>
          <w:tcPr>
            <w:tcW w:w="439" w:type="pct"/>
            <w:vMerge/>
            <w:tcBorders>
              <w:left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471" w:type="pct"/>
            <w:vMerge/>
            <w:tcBorders>
              <w:left w:val="single" w:sz="4" w:space="0" w:color="auto"/>
              <w:right w:val="single" w:sz="4" w:space="0" w:color="auto"/>
            </w:tcBorders>
          </w:tcPr>
          <w:p w:rsidR="000A2CF3" w:rsidRDefault="000A2CF3" w:rsidP="000A2CF3">
            <w:pPr>
              <w:spacing w:after="0" w:line="240" w:lineRule="auto"/>
              <w:rPr>
                <w:rFonts w:ascii="Times New Roman" w:hAnsi="Times New Roman" w:cs="Times New Roman"/>
                <w:b/>
                <w:i/>
                <w:sz w:val="18"/>
                <w:szCs w:val="18"/>
                <w:lang w:val="en-US"/>
              </w:rPr>
            </w:pPr>
          </w:p>
        </w:tc>
        <w:tc>
          <w:tcPr>
            <w:tcW w:w="267" w:type="pct"/>
            <w:vMerge/>
            <w:tcBorders>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375" w:type="pct"/>
            <w:vMerge/>
            <w:tcBorders>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248" w:type="pct"/>
            <w:tcBorders>
              <w:top w:val="single" w:sz="4" w:space="0" w:color="auto"/>
              <w:left w:val="single" w:sz="4" w:space="0" w:color="auto"/>
              <w:bottom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454"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jc w:val="center"/>
              <w:rPr>
                <w:rFonts w:ascii="Times New Roman" w:hAnsi="Times New Roman" w:cs="Times New Roman"/>
                <w:bCs/>
                <w:noProof/>
                <w:color w:val="000000"/>
                <w:sz w:val="18"/>
                <w:szCs w:val="18"/>
              </w:rPr>
            </w:pPr>
            <w:r>
              <w:rPr>
                <w:rFonts w:ascii="Times New Roman" w:hAnsi="Times New Roman" w:cs="Times New Roman"/>
                <w:bCs/>
                <w:noProof/>
                <w:color w:val="000000"/>
                <w:sz w:val="18"/>
                <w:szCs w:val="18"/>
              </w:rPr>
              <w:t xml:space="preserve">13 </w:t>
            </w:r>
            <w:r w:rsidRPr="00D8731C">
              <w:rPr>
                <w:rFonts w:ascii="Times New Roman" w:hAnsi="Times New Roman" w:cs="Times New Roman"/>
                <w:bCs/>
                <w:noProof/>
                <w:color w:val="000000"/>
                <w:sz w:val="18"/>
                <w:szCs w:val="18"/>
              </w:rPr>
              <w:t>RCR 04 - IMM-uri care introduc inovații în materie de comercializare sau organizare</w:t>
            </w:r>
          </w:p>
        </w:tc>
        <w:tc>
          <w:tcPr>
            <w:tcW w:w="532"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Pr>
                <w:rFonts w:ascii="Times New Roman" w:hAnsi="Times New Roman" w:cs="Times New Roman"/>
                <w:bCs/>
                <w:i/>
                <w:sz w:val="18"/>
                <w:szCs w:val="18"/>
                <w:lang w:val="en-US"/>
              </w:rPr>
              <w:t>Î</w:t>
            </w:r>
            <w:r w:rsidRPr="00D8731C">
              <w:rPr>
                <w:rFonts w:ascii="Times New Roman" w:hAnsi="Times New Roman" w:cs="Times New Roman"/>
                <w:bCs/>
                <w:i/>
                <w:sz w:val="18"/>
                <w:szCs w:val="18"/>
                <w:lang w:val="en-US"/>
              </w:rPr>
              <w:t>ntreprinderi</w:t>
            </w:r>
          </w:p>
        </w:tc>
        <w:tc>
          <w:tcPr>
            <w:tcW w:w="395"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Pr>
                <w:rFonts w:ascii="Times New Roman" w:hAnsi="Times New Roman" w:cs="Times New Roman"/>
                <w:bCs/>
                <w:i/>
                <w:sz w:val="18"/>
                <w:szCs w:val="18"/>
                <w:lang w:val="en-US"/>
              </w:rPr>
              <w:t>0</w:t>
            </w:r>
          </w:p>
        </w:tc>
        <w:tc>
          <w:tcPr>
            <w:tcW w:w="410"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sz w:val="18"/>
                <w:szCs w:val="18"/>
                <w:lang w:val="en-US"/>
              </w:rPr>
            </w:pPr>
            <w:r>
              <w:rPr>
                <w:rFonts w:ascii="Times New Roman" w:hAnsi="Times New Roman" w:cs="Times New Roman"/>
                <w:bCs/>
                <w:sz w:val="18"/>
                <w:szCs w:val="18"/>
                <w:lang w:val="en-US"/>
              </w:rPr>
              <w:t>2020</w:t>
            </w:r>
          </w:p>
        </w:tc>
        <w:tc>
          <w:tcPr>
            <w:tcW w:w="372"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sz w:val="18"/>
                <w:szCs w:val="18"/>
                <w:lang w:val="en-US"/>
              </w:rPr>
            </w:pPr>
            <w:r>
              <w:rPr>
                <w:rFonts w:ascii="Times New Roman" w:hAnsi="Times New Roman" w:cs="Times New Roman"/>
                <w:bCs/>
                <w:sz w:val="18"/>
                <w:szCs w:val="18"/>
                <w:lang w:val="en-US"/>
              </w:rPr>
              <w:t>173</w:t>
            </w:r>
          </w:p>
        </w:tc>
        <w:tc>
          <w:tcPr>
            <w:tcW w:w="369"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sidRPr="00D8731C">
              <w:rPr>
                <w:rFonts w:ascii="Times New Roman" w:hAnsi="Times New Roman" w:cs="Times New Roman"/>
                <w:bCs/>
                <w:i/>
                <w:sz w:val="18"/>
                <w:szCs w:val="18"/>
                <w:lang w:val="en-US"/>
              </w:rPr>
              <w:t>Proiecte finanțate + furnizori de CDI sus</w:t>
            </w:r>
            <w:r>
              <w:rPr>
                <w:rFonts w:ascii="Times New Roman" w:hAnsi="Times New Roman" w:cs="Times New Roman"/>
                <w:bCs/>
                <w:i/>
                <w:sz w:val="18"/>
                <w:szCs w:val="18"/>
                <w:lang w:val="en-US"/>
              </w:rPr>
              <w:t>ț</w:t>
            </w:r>
            <w:r w:rsidRPr="00D8731C">
              <w:rPr>
                <w:rFonts w:ascii="Times New Roman" w:hAnsi="Times New Roman" w:cs="Times New Roman"/>
                <w:bCs/>
                <w:i/>
                <w:sz w:val="18"/>
                <w:szCs w:val="18"/>
                <w:lang w:val="en-US"/>
              </w:rPr>
              <w:t>inu</w:t>
            </w:r>
            <w:r>
              <w:rPr>
                <w:rFonts w:ascii="Times New Roman" w:hAnsi="Times New Roman" w:cs="Times New Roman"/>
                <w:bCs/>
                <w:i/>
                <w:sz w:val="18"/>
                <w:szCs w:val="18"/>
                <w:lang w:val="en-US"/>
              </w:rPr>
              <w:t>ț</w:t>
            </w:r>
            <w:r w:rsidRPr="00D8731C">
              <w:rPr>
                <w:rFonts w:ascii="Times New Roman" w:hAnsi="Times New Roman" w:cs="Times New Roman"/>
                <w:bCs/>
                <w:i/>
                <w:sz w:val="18"/>
                <w:szCs w:val="18"/>
                <w:lang w:val="en-US"/>
              </w:rPr>
              <w:t>i</w:t>
            </w:r>
          </w:p>
        </w:tc>
        <w:tc>
          <w:tcPr>
            <w:tcW w:w="668"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r>
      <w:tr w:rsidR="000A2CF3" w:rsidTr="007B330B">
        <w:trPr>
          <w:trHeight w:val="286"/>
        </w:trPr>
        <w:tc>
          <w:tcPr>
            <w:tcW w:w="439" w:type="pct"/>
            <w:vMerge/>
            <w:tcBorders>
              <w:left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471" w:type="pct"/>
            <w:vMerge/>
            <w:tcBorders>
              <w:left w:val="single" w:sz="4" w:space="0" w:color="auto"/>
              <w:right w:val="single" w:sz="4" w:space="0" w:color="auto"/>
            </w:tcBorders>
          </w:tcPr>
          <w:p w:rsidR="000A2CF3" w:rsidRPr="00A5342E" w:rsidRDefault="000A2CF3" w:rsidP="000A2CF3">
            <w:pPr>
              <w:spacing w:after="0" w:line="240" w:lineRule="auto"/>
              <w:rPr>
                <w:rFonts w:ascii="Times New Roman" w:hAnsi="Times New Roman" w:cs="Times New Roman"/>
                <w:b/>
                <w:i/>
                <w:sz w:val="18"/>
                <w:szCs w:val="18"/>
                <w:lang w:val="en-US"/>
              </w:rPr>
            </w:pPr>
          </w:p>
        </w:tc>
        <w:tc>
          <w:tcPr>
            <w:tcW w:w="267" w:type="pct"/>
            <w:vMerge/>
            <w:tcBorders>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375" w:type="pct"/>
            <w:vMerge/>
            <w:tcBorders>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248" w:type="pct"/>
            <w:tcBorders>
              <w:top w:val="single" w:sz="4" w:space="0" w:color="auto"/>
              <w:left w:val="single" w:sz="4" w:space="0" w:color="auto"/>
              <w:bottom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454" w:type="pct"/>
            <w:tcBorders>
              <w:top w:val="single" w:sz="4" w:space="0" w:color="auto"/>
              <w:left w:val="single" w:sz="4" w:space="0" w:color="auto"/>
              <w:bottom w:val="single" w:sz="4" w:space="0" w:color="auto"/>
              <w:right w:val="single" w:sz="4" w:space="0" w:color="auto"/>
            </w:tcBorders>
          </w:tcPr>
          <w:p w:rsidR="000A2CF3" w:rsidRPr="00561595" w:rsidRDefault="000A2CF3" w:rsidP="000A2CF3">
            <w:pPr>
              <w:spacing w:after="0" w:line="240" w:lineRule="auto"/>
              <w:jc w:val="center"/>
              <w:rPr>
                <w:rFonts w:ascii="Times New Roman" w:hAnsi="Times New Roman" w:cs="Times New Roman"/>
                <w:bCs/>
                <w:sz w:val="18"/>
                <w:szCs w:val="18"/>
                <w:lang w:eastAsia="en-GB"/>
              </w:rPr>
            </w:pPr>
            <w:r>
              <w:rPr>
                <w:rFonts w:ascii="Times New Roman" w:hAnsi="Times New Roman" w:cs="Times New Roman"/>
                <w:bCs/>
                <w:sz w:val="18"/>
                <w:szCs w:val="18"/>
                <w:lang w:eastAsia="en-GB"/>
              </w:rPr>
              <w:t xml:space="preserve">13.RCR 05 - </w:t>
            </w:r>
            <w:r w:rsidRPr="00B5159A">
              <w:rPr>
                <w:rFonts w:ascii="Times New Roman" w:hAnsi="Times New Roman" w:cs="Times New Roman"/>
                <w:bCs/>
                <w:sz w:val="18"/>
                <w:szCs w:val="18"/>
                <w:lang w:eastAsia="en-GB"/>
              </w:rPr>
              <w:t>IMM-uri care introduc inovații la nivel intern</w:t>
            </w:r>
          </w:p>
        </w:tc>
        <w:tc>
          <w:tcPr>
            <w:tcW w:w="532" w:type="pct"/>
            <w:tcBorders>
              <w:top w:val="single" w:sz="4" w:space="0" w:color="auto"/>
              <w:left w:val="single" w:sz="4" w:space="0" w:color="auto"/>
              <w:bottom w:val="single" w:sz="4" w:space="0" w:color="auto"/>
              <w:right w:val="single" w:sz="4" w:space="0" w:color="auto"/>
            </w:tcBorders>
          </w:tcPr>
          <w:p w:rsidR="000A2CF3" w:rsidRDefault="000A2CF3" w:rsidP="000A2CF3">
            <w:pPr>
              <w:spacing w:after="0" w:line="240" w:lineRule="auto"/>
              <w:rPr>
                <w:rFonts w:ascii="Times New Roman" w:hAnsi="Times New Roman" w:cs="Times New Roman"/>
                <w:bCs/>
                <w:i/>
                <w:sz w:val="18"/>
                <w:szCs w:val="18"/>
                <w:lang w:val="en-US"/>
              </w:rPr>
            </w:pPr>
            <w:r>
              <w:rPr>
                <w:rFonts w:ascii="Times New Roman" w:hAnsi="Times New Roman" w:cs="Times New Roman"/>
                <w:bCs/>
                <w:i/>
                <w:sz w:val="18"/>
                <w:szCs w:val="18"/>
                <w:lang w:val="en-US"/>
              </w:rPr>
              <w:t>Î</w:t>
            </w:r>
            <w:r w:rsidRPr="00D8731C">
              <w:rPr>
                <w:rFonts w:ascii="Times New Roman" w:hAnsi="Times New Roman" w:cs="Times New Roman"/>
                <w:bCs/>
                <w:i/>
                <w:sz w:val="18"/>
                <w:szCs w:val="18"/>
                <w:lang w:val="en-US"/>
              </w:rPr>
              <w:t>ntreprinderi</w:t>
            </w:r>
          </w:p>
        </w:tc>
        <w:tc>
          <w:tcPr>
            <w:tcW w:w="395"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Pr>
                <w:rFonts w:ascii="Times New Roman" w:hAnsi="Times New Roman" w:cs="Times New Roman"/>
                <w:bCs/>
                <w:i/>
                <w:sz w:val="18"/>
                <w:szCs w:val="18"/>
                <w:lang w:val="en-US"/>
              </w:rPr>
              <w:t>0</w:t>
            </w:r>
          </w:p>
        </w:tc>
        <w:tc>
          <w:tcPr>
            <w:tcW w:w="410"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sz w:val="18"/>
                <w:szCs w:val="18"/>
                <w:lang w:val="en-US"/>
              </w:rPr>
            </w:pPr>
            <w:r>
              <w:rPr>
                <w:rFonts w:ascii="Times New Roman" w:hAnsi="Times New Roman" w:cs="Times New Roman"/>
                <w:bCs/>
                <w:sz w:val="18"/>
                <w:szCs w:val="18"/>
                <w:lang w:val="en-US"/>
              </w:rPr>
              <w:t>2020</w:t>
            </w:r>
          </w:p>
        </w:tc>
        <w:tc>
          <w:tcPr>
            <w:tcW w:w="372"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sz w:val="18"/>
                <w:szCs w:val="18"/>
                <w:lang w:val="en-US"/>
              </w:rPr>
            </w:pPr>
            <w:r>
              <w:rPr>
                <w:rFonts w:ascii="Times New Roman" w:hAnsi="Times New Roman" w:cs="Times New Roman"/>
                <w:bCs/>
                <w:sz w:val="18"/>
                <w:szCs w:val="18"/>
                <w:lang w:val="en-US"/>
              </w:rPr>
              <w:t>81</w:t>
            </w:r>
          </w:p>
        </w:tc>
        <w:tc>
          <w:tcPr>
            <w:tcW w:w="369" w:type="pct"/>
            <w:tcBorders>
              <w:top w:val="single" w:sz="4" w:space="0" w:color="auto"/>
              <w:left w:val="single" w:sz="4" w:space="0" w:color="auto"/>
              <w:bottom w:val="single" w:sz="4" w:space="0" w:color="auto"/>
              <w:right w:val="single" w:sz="4" w:space="0" w:color="auto"/>
            </w:tcBorders>
          </w:tcPr>
          <w:p w:rsidR="000A2CF3" w:rsidRDefault="000A2CF3" w:rsidP="000A2CF3">
            <w:pPr>
              <w:spacing w:after="0" w:line="240" w:lineRule="auto"/>
              <w:rPr>
                <w:rFonts w:ascii="Times New Roman" w:hAnsi="Times New Roman" w:cs="Times New Roman"/>
                <w:bCs/>
                <w:i/>
                <w:sz w:val="18"/>
                <w:szCs w:val="18"/>
                <w:lang w:val="en-US"/>
              </w:rPr>
            </w:pPr>
          </w:p>
        </w:tc>
        <w:tc>
          <w:tcPr>
            <w:tcW w:w="668" w:type="pct"/>
            <w:tcBorders>
              <w:top w:val="single" w:sz="4" w:space="0" w:color="auto"/>
              <w:left w:val="single" w:sz="4" w:space="0" w:color="auto"/>
              <w:bottom w:val="single" w:sz="4" w:space="0" w:color="auto"/>
              <w:right w:val="single" w:sz="4" w:space="0" w:color="auto"/>
            </w:tcBorders>
          </w:tcPr>
          <w:p w:rsidR="000A2CF3" w:rsidRDefault="000A2CF3" w:rsidP="000A2CF3">
            <w:pPr>
              <w:spacing w:after="0" w:line="240" w:lineRule="auto"/>
              <w:rPr>
                <w:rFonts w:ascii="Times New Roman" w:hAnsi="Times New Roman" w:cs="Times New Roman"/>
                <w:bCs/>
                <w:i/>
                <w:sz w:val="18"/>
                <w:szCs w:val="18"/>
                <w:lang w:val="en-US"/>
              </w:rPr>
            </w:pPr>
          </w:p>
        </w:tc>
      </w:tr>
      <w:tr w:rsidR="000A2CF3" w:rsidTr="007B330B">
        <w:trPr>
          <w:trHeight w:val="286"/>
        </w:trPr>
        <w:tc>
          <w:tcPr>
            <w:tcW w:w="439" w:type="pct"/>
            <w:vMerge/>
            <w:tcBorders>
              <w:left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471" w:type="pct"/>
            <w:vMerge/>
            <w:tcBorders>
              <w:left w:val="single" w:sz="4" w:space="0" w:color="auto"/>
              <w:right w:val="single" w:sz="4" w:space="0" w:color="auto"/>
            </w:tcBorders>
          </w:tcPr>
          <w:p w:rsidR="000A2CF3" w:rsidRPr="00A5342E" w:rsidRDefault="000A2CF3" w:rsidP="000A2CF3">
            <w:pPr>
              <w:spacing w:after="0" w:line="240" w:lineRule="auto"/>
              <w:rPr>
                <w:rFonts w:ascii="Times New Roman" w:hAnsi="Times New Roman" w:cs="Times New Roman"/>
                <w:b/>
                <w:i/>
                <w:sz w:val="18"/>
                <w:szCs w:val="18"/>
                <w:lang w:val="en-US"/>
              </w:rPr>
            </w:pPr>
          </w:p>
        </w:tc>
        <w:tc>
          <w:tcPr>
            <w:tcW w:w="267" w:type="pct"/>
            <w:vMerge/>
            <w:tcBorders>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375" w:type="pct"/>
            <w:vMerge/>
            <w:tcBorders>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248" w:type="pct"/>
            <w:tcBorders>
              <w:top w:val="single" w:sz="4" w:space="0" w:color="auto"/>
              <w:left w:val="single" w:sz="4" w:space="0" w:color="auto"/>
              <w:bottom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454" w:type="pct"/>
            <w:tcBorders>
              <w:top w:val="single" w:sz="4" w:space="0" w:color="auto"/>
              <w:left w:val="single" w:sz="4" w:space="0" w:color="auto"/>
              <w:bottom w:val="single" w:sz="4" w:space="0" w:color="auto"/>
              <w:right w:val="single" w:sz="4" w:space="0" w:color="auto"/>
            </w:tcBorders>
          </w:tcPr>
          <w:p w:rsidR="000A2CF3" w:rsidRPr="00561595" w:rsidRDefault="000A2CF3" w:rsidP="000A2CF3">
            <w:pPr>
              <w:spacing w:after="0" w:line="240" w:lineRule="auto"/>
              <w:jc w:val="center"/>
              <w:rPr>
                <w:rFonts w:ascii="Times New Roman" w:hAnsi="Times New Roman" w:cs="Times New Roman"/>
                <w:bCs/>
                <w:sz w:val="18"/>
                <w:szCs w:val="18"/>
                <w:lang w:eastAsia="en-GB"/>
              </w:rPr>
            </w:pPr>
            <w:r>
              <w:rPr>
                <w:rFonts w:ascii="Times New Roman" w:hAnsi="Times New Roman" w:cs="Times New Roman"/>
                <w:bCs/>
                <w:sz w:val="18"/>
                <w:szCs w:val="18"/>
                <w:lang w:eastAsia="en-GB"/>
              </w:rPr>
              <w:t xml:space="preserve">13.RCR 07 - </w:t>
            </w:r>
            <w:r w:rsidRPr="006A67DB">
              <w:rPr>
                <w:rFonts w:ascii="Times New Roman" w:hAnsi="Times New Roman" w:cs="Times New Roman"/>
                <w:bCs/>
                <w:sz w:val="18"/>
                <w:szCs w:val="18"/>
                <w:lang w:eastAsia="en-GB"/>
              </w:rPr>
              <w:t>Cereri de înregistrare a mărcilor și desenelor</w:t>
            </w:r>
          </w:p>
        </w:tc>
        <w:tc>
          <w:tcPr>
            <w:tcW w:w="532" w:type="pct"/>
            <w:tcBorders>
              <w:top w:val="single" w:sz="4" w:space="0" w:color="auto"/>
              <w:left w:val="single" w:sz="4" w:space="0" w:color="auto"/>
              <w:bottom w:val="single" w:sz="4" w:space="0" w:color="auto"/>
              <w:right w:val="single" w:sz="4" w:space="0" w:color="auto"/>
            </w:tcBorders>
          </w:tcPr>
          <w:p w:rsidR="000A2CF3" w:rsidRDefault="000A2CF3" w:rsidP="000A2CF3">
            <w:pPr>
              <w:spacing w:after="0" w:line="240" w:lineRule="auto"/>
              <w:rPr>
                <w:rFonts w:ascii="Times New Roman" w:hAnsi="Times New Roman" w:cs="Times New Roman"/>
                <w:bCs/>
                <w:i/>
                <w:sz w:val="18"/>
                <w:szCs w:val="18"/>
                <w:lang w:val="en-US"/>
              </w:rPr>
            </w:pPr>
            <w:r>
              <w:rPr>
                <w:rFonts w:ascii="Times New Roman" w:hAnsi="Times New Roman" w:cs="Times New Roman"/>
                <w:bCs/>
                <w:i/>
                <w:sz w:val="18"/>
                <w:szCs w:val="18"/>
                <w:lang w:val="en-US"/>
              </w:rPr>
              <w:t>Î</w:t>
            </w:r>
            <w:r w:rsidRPr="00D8731C">
              <w:rPr>
                <w:rFonts w:ascii="Times New Roman" w:hAnsi="Times New Roman" w:cs="Times New Roman"/>
                <w:bCs/>
                <w:i/>
                <w:sz w:val="18"/>
                <w:szCs w:val="18"/>
                <w:lang w:val="en-US"/>
              </w:rPr>
              <w:t>ntreprinderi</w:t>
            </w:r>
          </w:p>
        </w:tc>
        <w:tc>
          <w:tcPr>
            <w:tcW w:w="395"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Pr>
                <w:rFonts w:ascii="Times New Roman" w:hAnsi="Times New Roman" w:cs="Times New Roman"/>
                <w:bCs/>
                <w:i/>
                <w:sz w:val="18"/>
                <w:szCs w:val="18"/>
                <w:lang w:val="en-US"/>
              </w:rPr>
              <w:t>0</w:t>
            </w:r>
          </w:p>
        </w:tc>
        <w:tc>
          <w:tcPr>
            <w:tcW w:w="410"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sz w:val="18"/>
                <w:szCs w:val="18"/>
                <w:lang w:val="en-US"/>
              </w:rPr>
            </w:pPr>
            <w:r>
              <w:rPr>
                <w:rFonts w:ascii="Times New Roman" w:hAnsi="Times New Roman" w:cs="Times New Roman"/>
                <w:bCs/>
                <w:sz w:val="18"/>
                <w:szCs w:val="18"/>
                <w:lang w:val="en-US"/>
              </w:rPr>
              <w:t>2020</w:t>
            </w:r>
          </w:p>
        </w:tc>
        <w:tc>
          <w:tcPr>
            <w:tcW w:w="372"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sz w:val="18"/>
                <w:szCs w:val="18"/>
                <w:lang w:val="en-US"/>
              </w:rPr>
            </w:pPr>
            <w:r>
              <w:rPr>
                <w:rFonts w:ascii="Times New Roman" w:hAnsi="Times New Roman" w:cs="Times New Roman"/>
                <w:bCs/>
                <w:sz w:val="18"/>
                <w:szCs w:val="18"/>
                <w:lang w:val="en-US"/>
              </w:rPr>
              <w:t>111</w:t>
            </w:r>
          </w:p>
        </w:tc>
        <w:tc>
          <w:tcPr>
            <w:tcW w:w="369" w:type="pct"/>
            <w:tcBorders>
              <w:top w:val="single" w:sz="4" w:space="0" w:color="auto"/>
              <w:left w:val="single" w:sz="4" w:space="0" w:color="auto"/>
              <w:bottom w:val="single" w:sz="4" w:space="0" w:color="auto"/>
              <w:right w:val="single" w:sz="4" w:space="0" w:color="auto"/>
            </w:tcBorders>
          </w:tcPr>
          <w:p w:rsidR="000A2CF3" w:rsidRDefault="000A2CF3" w:rsidP="000A2CF3">
            <w:pPr>
              <w:spacing w:after="0" w:line="240" w:lineRule="auto"/>
              <w:rPr>
                <w:rFonts w:ascii="Times New Roman" w:hAnsi="Times New Roman" w:cs="Times New Roman"/>
                <w:bCs/>
                <w:i/>
                <w:sz w:val="18"/>
                <w:szCs w:val="18"/>
                <w:lang w:val="en-US"/>
              </w:rPr>
            </w:pPr>
          </w:p>
        </w:tc>
        <w:tc>
          <w:tcPr>
            <w:tcW w:w="668" w:type="pct"/>
            <w:tcBorders>
              <w:top w:val="single" w:sz="4" w:space="0" w:color="auto"/>
              <w:left w:val="single" w:sz="4" w:space="0" w:color="auto"/>
              <w:bottom w:val="single" w:sz="4" w:space="0" w:color="auto"/>
              <w:right w:val="single" w:sz="4" w:space="0" w:color="auto"/>
            </w:tcBorders>
          </w:tcPr>
          <w:p w:rsidR="000A2CF3" w:rsidRDefault="000A2CF3" w:rsidP="000A2CF3">
            <w:pPr>
              <w:spacing w:after="0" w:line="240" w:lineRule="auto"/>
              <w:rPr>
                <w:rFonts w:ascii="Times New Roman" w:hAnsi="Times New Roman" w:cs="Times New Roman"/>
                <w:bCs/>
                <w:i/>
                <w:sz w:val="18"/>
                <w:szCs w:val="18"/>
                <w:lang w:val="en-US"/>
              </w:rPr>
            </w:pPr>
          </w:p>
        </w:tc>
      </w:tr>
      <w:tr w:rsidR="000A2CF3" w:rsidRPr="00D8731C" w:rsidTr="007B330B">
        <w:trPr>
          <w:trHeight w:val="286"/>
        </w:trPr>
        <w:tc>
          <w:tcPr>
            <w:tcW w:w="439" w:type="pct"/>
            <w:vMerge/>
            <w:tcBorders>
              <w:left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471" w:type="pct"/>
            <w:vMerge/>
            <w:tcBorders>
              <w:left w:val="single" w:sz="4" w:space="0" w:color="auto"/>
              <w:right w:val="single" w:sz="4" w:space="0" w:color="auto"/>
            </w:tcBorders>
          </w:tcPr>
          <w:p w:rsidR="000A2CF3" w:rsidRPr="00A5342E" w:rsidRDefault="000A2CF3" w:rsidP="000A2CF3">
            <w:pPr>
              <w:spacing w:after="0" w:line="240" w:lineRule="auto"/>
              <w:rPr>
                <w:rFonts w:ascii="Times New Roman" w:hAnsi="Times New Roman" w:cs="Times New Roman"/>
                <w:b/>
                <w:i/>
                <w:sz w:val="18"/>
                <w:szCs w:val="18"/>
                <w:lang w:val="en-US"/>
              </w:rPr>
            </w:pPr>
          </w:p>
        </w:tc>
        <w:tc>
          <w:tcPr>
            <w:tcW w:w="267" w:type="pct"/>
            <w:vMerge/>
            <w:tcBorders>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375" w:type="pct"/>
            <w:vMerge/>
            <w:tcBorders>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248" w:type="pct"/>
            <w:tcBorders>
              <w:top w:val="single" w:sz="4" w:space="0" w:color="auto"/>
              <w:left w:val="single" w:sz="4" w:space="0" w:color="auto"/>
              <w:bottom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454" w:type="pct"/>
            <w:tcBorders>
              <w:top w:val="single" w:sz="4" w:space="0" w:color="auto"/>
              <w:left w:val="single" w:sz="4" w:space="0" w:color="auto"/>
              <w:bottom w:val="single" w:sz="4" w:space="0" w:color="auto"/>
              <w:right w:val="single" w:sz="4" w:space="0" w:color="auto"/>
            </w:tcBorders>
          </w:tcPr>
          <w:p w:rsidR="000A2CF3" w:rsidRPr="00561595" w:rsidRDefault="000A2CF3" w:rsidP="000A2CF3">
            <w:pPr>
              <w:spacing w:after="0" w:line="240" w:lineRule="auto"/>
              <w:jc w:val="center"/>
              <w:rPr>
                <w:rFonts w:ascii="Times New Roman" w:hAnsi="Times New Roman" w:cs="Times New Roman"/>
                <w:bCs/>
                <w:sz w:val="18"/>
                <w:szCs w:val="18"/>
                <w:lang w:eastAsia="en-GB"/>
              </w:rPr>
            </w:pPr>
            <w:r w:rsidRPr="00561595">
              <w:rPr>
                <w:rFonts w:ascii="Times New Roman" w:hAnsi="Times New Roman" w:cs="Times New Roman"/>
                <w:bCs/>
                <w:sz w:val="18"/>
                <w:szCs w:val="18"/>
                <w:lang w:eastAsia="en-GB"/>
              </w:rPr>
              <w:t>RCR 17 - Întreprinderi înființate cu 3 ani în urmă aflate încă pe piață</w:t>
            </w:r>
          </w:p>
        </w:tc>
        <w:tc>
          <w:tcPr>
            <w:tcW w:w="532"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Pr>
                <w:rFonts w:ascii="Times New Roman" w:hAnsi="Times New Roman" w:cs="Times New Roman"/>
                <w:bCs/>
                <w:i/>
                <w:sz w:val="18"/>
                <w:szCs w:val="18"/>
                <w:lang w:val="en-US"/>
              </w:rPr>
              <w:t>Întreprinderi</w:t>
            </w:r>
          </w:p>
        </w:tc>
        <w:tc>
          <w:tcPr>
            <w:tcW w:w="395"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Pr>
                <w:rFonts w:ascii="Times New Roman" w:hAnsi="Times New Roman" w:cs="Times New Roman"/>
                <w:bCs/>
                <w:i/>
                <w:sz w:val="18"/>
                <w:szCs w:val="18"/>
                <w:lang w:val="en-US"/>
              </w:rPr>
              <w:t>0</w:t>
            </w:r>
          </w:p>
        </w:tc>
        <w:tc>
          <w:tcPr>
            <w:tcW w:w="410"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sz w:val="18"/>
                <w:szCs w:val="18"/>
                <w:lang w:val="en-US"/>
              </w:rPr>
            </w:pPr>
            <w:r>
              <w:rPr>
                <w:rFonts w:ascii="Times New Roman" w:hAnsi="Times New Roman" w:cs="Times New Roman"/>
                <w:bCs/>
                <w:sz w:val="18"/>
                <w:szCs w:val="18"/>
                <w:lang w:val="en-US"/>
              </w:rPr>
              <w:t>2020</w:t>
            </w:r>
          </w:p>
        </w:tc>
        <w:tc>
          <w:tcPr>
            <w:tcW w:w="372"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sz w:val="18"/>
                <w:szCs w:val="18"/>
                <w:lang w:val="en-US"/>
              </w:rPr>
            </w:pPr>
            <w:r>
              <w:rPr>
                <w:rFonts w:ascii="Times New Roman" w:hAnsi="Times New Roman" w:cs="Times New Roman"/>
                <w:bCs/>
                <w:sz w:val="18"/>
                <w:szCs w:val="18"/>
                <w:lang w:val="en-US"/>
              </w:rPr>
              <w:t>245</w:t>
            </w:r>
          </w:p>
        </w:tc>
        <w:tc>
          <w:tcPr>
            <w:tcW w:w="369"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Pr>
                <w:rFonts w:ascii="Times New Roman" w:hAnsi="Times New Roman" w:cs="Times New Roman"/>
                <w:bCs/>
                <w:i/>
                <w:sz w:val="18"/>
                <w:szCs w:val="18"/>
                <w:lang w:val="en-US"/>
              </w:rPr>
              <w:t>Proiecte susținute</w:t>
            </w:r>
          </w:p>
        </w:tc>
        <w:tc>
          <w:tcPr>
            <w:tcW w:w="668"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Pr>
                <w:rFonts w:ascii="Times New Roman" w:hAnsi="Times New Roman" w:cs="Times New Roman"/>
                <w:bCs/>
                <w:i/>
                <w:sz w:val="18"/>
                <w:szCs w:val="18"/>
                <w:lang w:val="en-US"/>
              </w:rPr>
              <w:t>La finalul următorului an după finalizarea sprijinului</w:t>
            </w:r>
          </w:p>
        </w:tc>
      </w:tr>
      <w:tr w:rsidR="000A2CF3" w:rsidRPr="00D8731C" w:rsidTr="007B330B">
        <w:trPr>
          <w:trHeight w:val="286"/>
        </w:trPr>
        <w:tc>
          <w:tcPr>
            <w:tcW w:w="439" w:type="pct"/>
            <w:vMerge/>
            <w:tcBorders>
              <w:left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471" w:type="pct"/>
            <w:vMerge/>
            <w:tcBorders>
              <w:left w:val="single" w:sz="4" w:space="0" w:color="auto"/>
              <w:right w:val="single" w:sz="4" w:space="0" w:color="auto"/>
            </w:tcBorders>
          </w:tcPr>
          <w:p w:rsidR="000A2CF3" w:rsidRPr="00A5342E" w:rsidRDefault="000A2CF3" w:rsidP="000A2CF3">
            <w:pPr>
              <w:spacing w:after="0" w:line="240" w:lineRule="auto"/>
              <w:rPr>
                <w:rFonts w:ascii="Times New Roman" w:hAnsi="Times New Roman" w:cs="Times New Roman"/>
                <w:b/>
                <w:i/>
                <w:sz w:val="18"/>
                <w:szCs w:val="18"/>
                <w:lang w:val="en-US"/>
              </w:rPr>
            </w:pPr>
          </w:p>
        </w:tc>
        <w:tc>
          <w:tcPr>
            <w:tcW w:w="267" w:type="pct"/>
            <w:vMerge/>
            <w:tcBorders>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375" w:type="pct"/>
            <w:vMerge/>
            <w:tcBorders>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248" w:type="pct"/>
            <w:tcBorders>
              <w:top w:val="single" w:sz="4" w:space="0" w:color="auto"/>
              <w:left w:val="single" w:sz="4" w:space="0" w:color="auto"/>
              <w:bottom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454" w:type="pct"/>
            <w:tcBorders>
              <w:top w:val="single" w:sz="4" w:space="0" w:color="auto"/>
              <w:left w:val="single" w:sz="4" w:space="0" w:color="auto"/>
              <w:bottom w:val="single" w:sz="4" w:space="0" w:color="auto"/>
              <w:right w:val="single" w:sz="4" w:space="0" w:color="auto"/>
            </w:tcBorders>
          </w:tcPr>
          <w:p w:rsidR="000A2CF3" w:rsidRPr="00561595" w:rsidRDefault="000A2CF3" w:rsidP="000A2CF3">
            <w:pPr>
              <w:spacing w:after="0" w:line="240" w:lineRule="auto"/>
              <w:jc w:val="center"/>
              <w:rPr>
                <w:rFonts w:ascii="Times New Roman" w:hAnsi="Times New Roman" w:cs="Times New Roman"/>
                <w:bCs/>
                <w:sz w:val="18"/>
                <w:szCs w:val="18"/>
                <w:lang w:eastAsia="en-GB"/>
              </w:rPr>
            </w:pPr>
            <w:r w:rsidRPr="00561595">
              <w:rPr>
                <w:rFonts w:ascii="Times New Roman" w:hAnsi="Times New Roman" w:cs="Times New Roman"/>
                <w:bCs/>
                <w:sz w:val="18"/>
                <w:szCs w:val="18"/>
                <w:lang w:eastAsia="en-GB"/>
              </w:rPr>
              <w:t xml:space="preserve">RCR 18 - IMM-uri care utilizează servicii pentru pepinierele de afaceri la un an de la crearea </w:t>
            </w:r>
            <w:r w:rsidRPr="00561595">
              <w:rPr>
                <w:rFonts w:ascii="Times New Roman" w:hAnsi="Times New Roman" w:cs="Times New Roman"/>
                <w:bCs/>
                <w:sz w:val="18"/>
                <w:szCs w:val="18"/>
                <w:lang w:eastAsia="en-GB"/>
              </w:rPr>
              <w:lastRenderedPageBreak/>
              <w:t>pepinierei</w:t>
            </w:r>
          </w:p>
        </w:tc>
        <w:tc>
          <w:tcPr>
            <w:tcW w:w="532"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Pr>
                <w:rFonts w:ascii="Times New Roman" w:hAnsi="Times New Roman" w:cs="Times New Roman"/>
                <w:bCs/>
                <w:i/>
                <w:sz w:val="18"/>
                <w:szCs w:val="18"/>
                <w:lang w:val="en-US"/>
              </w:rPr>
              <w:lastRenderedPageBreak/>
              <w:t>Întreprinderi</w:t>
            </w:r>
          </w:p>
        </w:tc>
        <w:tc>
          <w:tcPr>
            <w:tcW w:w="395"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Pr>
                <w:rFonts w:ascii="Times New Roman" w:hAnsi="Times New Roman" w:cs="Times New Roman"/>
                <w:bCs/>
                <w:i/>
                <w:sz w:val="18"/>
                <w:szCs w:val="18"/>
                <w:lang w:val="en-US"/>
              </w:rPr>
              <w:t>0</w:t>
            </w:r>
          </w:p>
        </w:tc>
        <w:tc>
          <w:tcPr>
            <w:tcW w:w="410"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sz w:val="18"/>
                <w:szCs w:val="18"/>
                <w:lang w:val="en-US"/>
              </w:rPr>
            </w:pPr>
            <w:r>
              <w:rPr>
                <w:rFonts w:ascii="Times New Roman" w:hAnsi="Times New Roman" w:cs="Times New Roman"/>
                <w:bCs/>
                <w:sz w:val="18"/>
                <w:szCs w:val="18"/>
                <w:lang w:val="en-US"/>
              </w:rPr>
              <w:t>2020</w:t>
            </w:r>
          </w:p>
        </w:tc>
        <w:tc>
          <w:tcPr>
            <w:tcW w:w="372"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sz w:val="18"/>
                <w:szCs w:val="18"/>
                <w:lang w:val="en-US"/>
              </w:rPr>
            </w:pPr>
            <w:r>
              <w:rPr>
                <w:rFonts w:ascii="Times New Roman" w:hAnsi="Times New Roman" w:cs="Times New Roman"/>
                <w:bCs/>
                <w:sz w:val="18"/>
                <w:szCs w:val="18"/>
                <w:lang w:val="en-US"/>
              </w:rPr>
              <w:t>308</w:t>
            </w:r>
          </w:p>
        </w:tc>
        <w:tc>
          <w:tcPr>
            <w:tcW w:w="369"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Pr>
                <w:rFonts w:ascii="Times New Roman" w:hAnsi="Times New Roman" w:cs="Times New Roman"/>
                <w:bCs/>
                <w:i/>
                <w:sz w:val="18"/>
                <w:szCs w:val="18"/>
                <w:lang w:val="en-US"/>
              </w:rPr>
              <w:t>Proiecte susținute</w:t>
            </w:r>
          </w:p>
        </w:tc>
        <w:tc>
          <w:tcPr>
            <w:tcW w:w="668"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Pr>
                <w:rFonts w:ascii="Times New Roman" w:hAnsi="Times New Roman" w:cs="Times New Roman"/>
                <w:bCs/>
                <w:i/>
                <w:sz w:val="18"/>
                <w:szCs w:val="18"/>
                <w:lang w:val="en-US"/>
              </w:rPr>
              <w:t xml:space="preserve">La un an de la finalizarea capacității de incubare. Pentru proiectele de dezvoltare de incubatoare existente vom lua în considerare </w:t>
            </w:r>
            <w:r>
              <w:rPr>
                <w:rFonts w:ascii="Times New Roman" w:hAnsi="Times New Roman" w:cs="Times New Roman"/>
                <w:bCs/>
                <w:i/>
                <w:sz w:val="18"/>
                <w:szCs w:val="18"/>
                <w:lang w:val="en-US"/>
              </w:rPr>
              <w:lastRenderedPageBreak/>
              <w:t>doar sporul de capacitate după finalizarea proiectului</w:t>
            </w:r>
          </w:p>
        </w:tc>
      </w:tr>
      <w:tr w:rsidR="000A2CF3" w:rsidRPr="00D8731C" w:rsidTr="007B330B">
        <w:trPr>
          <w:trHeight w:val="286"/>
        </w:trPr>
        <w:tc>
          <w:tcPr>
            <w:tcW w:w="439" w:type="pct"/>
            <w:vMerge/>
            <w:tcBorders>
              <w:left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471" w:type="pct"/>
            <w:vMerge/>
            <w:tcBorders>
              <w:left w:val="single" w:sz="4" w:space="0" w:color="auto"/>
              <w:right w:val="single" w:sz="4" w:space="0" w:color="auto"/>
            </w:tcBorders>
          </w:tcPr>
          <w:p w:rsidR="000A2CF3" w:rsidRPr="00A5342E" w:rsidRDefault="000A2CF3" w:rsidP="000A2CF3">
            <w:pPr>
              <w:spacing w:after="0" w:line="240" w:lineRule="auto"/>
              <w:rPr>
                <w:rFonts w:ascii="Times New Roman" w:hAnsi="Times New Roman" w:cs="Times New Roman"/>
                <w:b/>
                <w:i/>
                <w:sz w:val="18"/>
                <w:szCs w:val="18"/>
                <w:lang w:val="en-US"/>
              </w:rPr>
            </w:pPr>
          </w:p>
        </w:tc>
        <w:tc>
          <w:tcPr>
            <w:tcW w:w="267" w:type="pct"/>
            <w:vMerge/>
            <w:tcBorders>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375" w:type="pct"/>
            <w:vMerge/>
            <w:tcBorders>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248" w:type="pct"/>
            <w:tcBorders>
              <w:top w:val="single" w:sz="4" w:space="0" w:color="auto"/>
              <w:left w:val="single" w:sz="4" w:space="0" w:color="auto"/>
              <w:bottom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454" w:type="pct"/>
            <w:tcBorders>
              <w:top w:val="single" w:sz="4" w:space="0" w:color="auto"/>
              <w:left w:val="single" w:sz="4" w:space="0" w:color="auto"/>
              <w:bottom w:val="single" w:sz="4" w:space="0" w:color="auto"/>
              <w:right w:val="single" w:sz="4" w:space="0" w:color="auto"/>
            </w:tcBorders>
          </w:tcPr>
          <w:p w:rsidR="000A2CF3" w:rsidRPr="00561595" w:rsidRDefault="000A2CF3" w:rsidP="000A2CF3">
            <w:pPr>
              <w:spacing w:after="0" w:line="240" w:lineRule="auto"/>
              <w:jc w:val="center"/>
              <w:rPr>
                <w:rFonts w:ascii="Times New Roman" w:hAnsi="Times New Roman" w:cs="Times New Roman"/>
                <w:bCs/>
                <w:sz w:val="18"/>
                <w:szCs w:val="18"/>
                <w:lang w:eastAsia="en-GB"/>
              </w:rPr>
            </w:pPr>
            <w:r w:rsidRPr="00561595">
              <w:rPr>
                <w:rFonts w:ascii="Times New Roman" w:hAnsi="Times New Roman" w:cs="Times New Roman"/>
                <w:bCs/>
                <w:sz w:val="18"/>
                <w:szCs w:val="18"/>
                <w:lang w:eastAsia="en-GB"/>
              </w:rPr>
              <w:t>RCR 19 - Întreprinderi cu cifră de afaceri mare</w:t>
            </w:r>
          </w:p>
        </w:tc>
        <w:tc>
          <w:tcPr>
            <w:tcW w:w="532"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Pr>
                <w:rFonts w:ascii="Times New Roman" w:hAnsi="Times New Roman" w:cs="Times New Roman"/>
                <w:bCs/>
                <w:i/>
                <w:sz w:val="18"/>
                <w:szCs w:val="18"/>
                <w:lang w:val="en-US"/>
              </w:rPr>
              <w:t>Întreprinderi</w:t>
            </w:r>
          </w:p>
        </w:tc>
        <w:tc>
          <w:tcPr>
            <w:tcW w:w="395"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Pr>
                <w:rFonts w:ascii="Times New Roman" w:hAnsi="Times New Roman" w:cs="Times New Roman"/>
                <w:bCs/>
                <w:i/>
                <w:sz w:val="18"/>
                <w:szCs w:val="18"/>
                <w:lang w:val="en-US"/>
              </w:rPr>
              <w:t>0</w:t>
            </w:r>
          </w:p>
        </w:tc>
        <w:tc>
          <w:tcPr>
            <w:tcW w:w="410"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sz w:val="18"/>
                <w:szCs w:val="18"/>
                <w:lang w:val="en-US"/>
              </w:rPr>
            </w:pPr>
            <w:r>
              <w:rPr>
                <w:rFonts w:ascii="Times New Roman" w:hAnsi="Times New Roman" w:cs="Times New Roman"/>
                <w:bCs/>
                <w:sz w:val="18"/>
                <w:szCs w:val="18"/>
                <w:lang w:val="en-US"/>
              </w:rPr>
              <w:t>2020</w:t>
            </w:r>
          </w:p>
        </w:tc>
        <w:tc>
          <w:tcPr>
            <w:tcW w:w="372"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sz w:val="18"/>
                <w:szCs w:val="18"/>
                <w:lang w:val="en-US"/>
              </w:rPr>
            </w:pPr>
            <w:r>
              <w:rPr>
                <w:rFonts w:ascii="Times New Roman" w:hAnsi="Times New Roman" w:cs="Times New Roman"/>
                <w:bCs/>
                <w:sz w:val="18"/>
                <w:szCs w:val="18"/>
                <w:lang w:val="en-US"/>
              </w:rPr>
              <w:t>?</w:t>
            </w:r>
          </w:p>
        </w:tc>
        <w:tc>
          <w:tcPr>
            <w:tcW w:w="369"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Pr>
                <w:rFonts w:ascii="Times New Roman" w:hAnsi="Times New Roman" w:cs="Times New Roman"/>
                <w:bCs/>
                <w:i/>
                <w:sz w:val="18"/>
                <w:szCs w:val="18"/>
                <w:lang w:val="en-US"/>
              </w:rPr>
              <w:t>Situațiile financiare ale proiectelor sprijinite</w:t>
            </w:r>
          </w:p>
        </w:tc>
        <w:tc>
          <w:tcPr>
            <w:tcW w:w="668"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Pr>
                <w:rFonts w:ascii="Times New Roman" w:hAnsi="Times New Roman" w:cs="Times New Roman"/>
                <w:bCs/>
                <w:i/>
                <w:sz w:val="18"/>
                <w:szCs w:val="18"/>
                <w:lang w:val="en-US"/>
              </w:rPr>
              <w:t>La finalul anului următor după finalizarea sprijinului</w:t>
            </w:r>
          </w:p>
        </w:tc>
      </w:tr>
      <w:tr w:rsidR="000A2CF3" w:rsidRPr="00D8731C" w:rsidTr="007B330B">
        <w:trPr>
          <w:trHeight w:val="286"/>
        </w:trPr>
        <w:tc>
          <w:tcPr>
            <w:tcW w:w="439" w:type="pct"/>
            <w:vMerge/>
            <w:tcBorders>
              <w:left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471" w:type="pct"/>
            <w:vMerge/>
            <w:tcBorders>
              <w:left w:val="single" w:sz="4" w:space="0" w:color="auto"/>
              <w:right w:val="single" w:sz="4" w:space="0" w:color="auto"/>
            </w:tcBorders>
          </w:tcPr>
          <w:p w:rsidR="000A2CF3" w:rsidRPr="00A5342E" w:rsidRDefault="000A2CF3" w:rsidP="000A2CF3">
            <w:pPr>
              <w:spacing w:after="0" w:line="240" w:lineRule="auto"/>
              <w:rPr>
                <w:rFonts w:ascii="Times New Roman" w:hAnsi="Times New Roman" w:cs="Times New Roman"/>
                <w:b/>
                <w:i/>
                <w:sz w:val="18"/>
                <w:szCs w:val="18"/>
                <w:lang w:val="en-US"/>
              </w:rPr>
            </w:pPr>
          </w:p>
        </w:tc>
        <w:tc>
          <w:tcPr>
            <w:tcW w:w="267" w:type="pct"/>
            <w:vMerge/>
            <w:tcBorders>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375" w:type="pct"/>
            <w:vMerge/>
            <w:tcBorders>
              <w:left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248" w:type="pct"/>
            <w:tcBorders>
              <w:top w:val="single" w:sz="4" w:space="0" w:color="auto"/>
              <w:left w:val="single" w:sz="4" w:space="0" w:color="auto"/>
              <w:bottom w:val="single" w:sz="4" w:space="0" w:color="auto"/>
              <w:right w:val="single" w:sz="4" w:space="0" w:color="auto"/>
            </w:tcBorders>
          </w:tcPr>
          <w:p w:rsidR="000A2CF3" w:rsidRPr="00195444" w:rsidRDefault="000A2CF3" w:rsidP="000A2CF3">
            <w:pPr>
              <w:spacing w:after="0" w:line="240" w:lineRule="auto"/>
              <w:rPr>
                <w:rFonts w:ascii="Times New Roman" w:hAnsi="Times New Roman" w:cs="Times New Roman"/>
                <w:b/>
                <w:i/>
                <w:sz w:val="18"/>
                <w:szCs w:val="18"/>
                <w:lang w:val="en-US"/>
              </w:rPr>
            </w:pPr>
          </w:p>
        </w:tc>
        <w:tc>
          <w:tcPr>
            <w:tcW w:w="454" w:type="pct"/>
            <w:tcBorders>
              <w:top w:val="single" w:sz="4" w:space="0" w:color="auto"/>
              <w:left w:val="single" w:sz="4" w:space="0" w:color="auto"/>
              <w:bottom w:val="single" w:sz="4" w:space="0" w:color="auto"/>
              <w:right w:val="single" w:sz="4" w:space="0" w:color="auto"/>
            </w:tcBorders>
          </w:tcPr>
          <w:p w:rsidR="000A2CF3" w:rsidRPr="00561595" w:rsidRDefault="000A2CF3" w:rsidP="000A2CF3">
            <w:pPr>
              <w:spacing w:after="0" w:line="240" w:lineRule="auto"/>
              <w:jc w:val="center"/>
              <w:rPr>
                <w:rFonts w:ascii="Times New Roman" w:hAnsi="Times New Roman" w:cs="Times New Roman"/>
                <w:bCs/>
                <w:sz w:val="18"/>
                <w:szCs w:val="18"/>
                <w:lang w:eastAsia="en-GB"/>
              </w:rPr>
            </w:pPr>
            <w:r w:rsidRPr="00561595">
              <w:rPr>
                <w:rFonts w:ascii="Times New Roman" w:hAnsi="Times New Roman" w:cs="Times New Roman"/>
                <w:bCs/>
                <w:sz w:val="18"/>
                <w:szCs w:val="18"/>
                <w:lang w:eastAsia="en-GB"/>
              </w:rPr>
              <w:t xml:space="preserve">RCR 25 </w:t>
            </w:r>
            <w:r>
              <w:rPr>
                <w:rFonts w:ascii="Times New Roman" w:hAnsi="Times New Roman" w:cs="Times New Roman"/>
                <w:bCs/>
                <w:sz w:val="18"/>
                <w:szCs w:val="18"/>
                <w:lang w:eastAsia="en-GB"/>
              </w:rPr>
              <w:t>–</w:t>
            </w:r>
            <w:r w:rsidRPr="00561595">
              <w:rPr>
                <w:rFonts w:ascii="Times New Roman" w:hAnsi="Times New Roman" w:cs="Times New Roman"/>
                <w:bCs/>
                <w:sz w:val="18"/>
                <w:szCs w:val="18"/>
                <w:lang w:eastAsia="en-GB"/>
              </w:rPr>
              <w:t xml:space="preserve"> </w:t>
            </w:r>
            <w:r>
              <w:rPr>
                <w:rFonts w:ascii="Times New Roman" w:hAnsi="Times New Roman" w:cs="Times New Roman"/>
                <w:bCs/>
                <w:sz w:val="18"/>
                <w:szCs w:val="18"/>
                <w:lang w:eastAsia="en-GB"/>
              </w:rPr>
              <w:t>IMM cu o mai mare valoare adaugata / angajat</w:t>
            </w:r>
          </w:p>
        </w:tc>
        <w:tc>
          <w:tcPr>
            <w:tcW w:w="532"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Pr>
                <w:rFonts w:ascii="Times New Roman" w:hAnsi="Times New Roman" w:cs="Times New Roman"/>
                <w:bCs/>
                <w:i/>
                <w:sz w:val="18"/>
                <w:szCs w:val="18"/>
                <w:lang w:val="en-US"/>
              </w:rPr>
              <w:t>Întreprinderi</w:t>
            </w:r>
          </w:p>
        </w:tc>
        <w:tc>
          <w:tcPr>
            <w:tcW w:w="395"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Pr>
                <w:rFonts w:ascii="Times New Roman" w:hAnsi="Times New Roman" w:cs="Times New Roman"/>
                <w:bCs/>
                <w:i/>
                <w:sz w:val="18"/>
                <w:szCs w:val="18"/>
                <w:lang w:val="en-US"/>
              </w:rPr>
              <w:t>0</w:t>
            </w:r>
          </w:p>
        </w:tc>
        <w:tc>
          <w:tcPr>
            <w:tcW w:w="410"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sz w:val="18"/>
                <w:szCs w:val="18"/>
                <w:lang w:val="en-US"/>
              </w:rPr>
            </w:pPr>
            <w:r>
              <w:rPr>
                <w:rFonts w:ascii="Times New Roman" w:hAnsi="Times New Roman" w:cs="Times New Roman"/>
                <w:bCs/>
                <w:sz w:val="18"/>
                <w:szCs w:val="18"/>
                <w:lang w:val="en-US"/>
              </w:rPr>
              <w:t>2020</w:t>
            </w:r>
          </w:p>
        </w:tc>
        <w:tc>
          <w:tcPr>
            <w:tcW w:w="372"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sz w:val="18"/>
                <w:szCs w:val="18"/>
                <w:lang w:val="en-US"/>
              </w:rPr>
            </w:pPr>
            <w:r>
              <w:rPr>
                <w:rFonts w:ascii="Times New Roman" w:hAnsi="Times New Roman" w:cs="Times New Roman"/>
                <w:bCs/>
                <w:sz w:val="18"/>
                <w:szCs w:val="18"/>
                <w:lang w:val="en-US"/>
              </w:rPr>
              <w:t>168</w:t>
            </w:r>
          </w:p>
        </w:tc>
        <w:tc>
          <w:tcPr>
            <w:tcW w:w="369"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Pr>
                <w:rFonts w:ascii="Times New Roman" w:hAnsi="Times New Roman" w:cs="Times New Roman"/>
                <w:bCs/>
                <w:i/>
                <w:sz w:val="18"/>
                <w:szCs w:val="18"/>
                <w:lang w:val="en-US"/>
              </w:rPr>
              <w:t>Situațiile financiare ale proiectelor sprijinite</w:t>
            </w:r>
          </w:p>
        </w:tc>
        <w:tc>
          <w:tcPr>
            <w:tcW w:w="668" w:type="pct"/>
            <w:tcBorders>
              <w:top w:val="single" w:sz="4" w:space="0" w:color="auto"/>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r>
              <w:rPr>
                <w:rFonts w:ascii="Times New Roman" w:hAnsi="Times New Roman" w:cs="Times New Roman"/>
                <w:bCs/>
                <w:i/>
                <w:sz w:val="18"/>
                <w:szCs w:val="18"/>
                <w:lang w:val="en-US"/>
              </w:rPr>
              <w:t>IMM cu minim 2% creștere a valorii adăugate/ angajat, la finalul anului următor după finalizarea sprijinului față de anul anterior demarîrii proiectului</w:t>
            </w:r>
          </w:p>
        </w:tc>
      </w:tr>
      <w:tr w:rsidR="000A2CF3" w:rsidRPr="00D75BF8" w:rsidTr="007B330B">
        <w:trPr>
          <w:trHeight w:val="286"/>
        </w:trPr>
        <w:tc>
          <w:tcPr>
            <w:tcW w:w="439" w:type="pct"/>
            <w:vMerge/>
            <w:tcBorders>
              <w:left w:val="single" w:sz="4" w:space="0" w:color="auto"/>
              <w:bottom w:val="single" w:sz="4" w:space="0" w:color="auto"/>
              <w:right w:val="single" w:sz="4" w:space="0" w:color="auto"/>
            </w:tcBorders>
          </w:tcPr>
          <w:p w:rsidR="000A2CF3" w:rsidRPr="00D8731C" w:rsidRDefault="000A2CF3" w:rsidP="000A2CF3">
            <w:pPr>
              <w:spacing w:after="0" w:line="240" w:lineRule="auto"/>
              <w:rPr>
                <w:rFonts w:ascii="Times New Roman" w:hAnsi="Times New Roman" w:cs="Times New Roman"/>
                <w:bCs/>
                <w:i/>
                <w:sz w:val="18"/>
                <w:szCs w:val="18"/>
                <w:lang w:val="en-US"/>
              </w:rPr>
            </w:pPr>
          </w:p>
        </w:tc>
        <w:tc>
          <w:tcPr>
            <w:tcW w:w="471" w:type="pct"/>
            <w:tcBorders>
              <w:top w:val="single" w:sz="4" w:space="0" w:color="auto"/>
              <w:left w:val="single" w:sz="4" w:space="0" w:color="auto"/>
              <w:bottom w:val="single" w:sz="4" w:space="0" w:color="auto"/>
              <w:right w:val="single" w:sz="4" w:space="0" w:color="auto"/>
            </w:tcBorders>
          </w:tcPr>
          <w:p w:rsidR="000A2CF3" w:rsidRPr="00D75BF8" w:rsidRDefault="000A2CF3" w:rsidP="000A2CF3">
            <w:pPr>
              <w:spacing w:before="120" w:after="120" w:line="240" w:lineRule="auto"/>
              <w:rPr>
                <w:rFonts w:ascii="Times New Roman" w:eastAsia="Times New Roman" w:hAnsi="Times New Roman" w:cs="Times New Roman"/>
                <w:b/>
                <w:bCs/>
                <w:i/>
                <w:iCs/>
                <w:noProof/>
                <w:sz w:val="18"/>
                <w:szCs w:val="18"/>
                <w:lang w:val="en-US"/>
              </w:rPr>
            </w:pPr>
            <w:r w:rsidRPr="00D75BF8">
              <w:rPr>
                <w:rFonts w:ascii="Times New Roman" w:eastAsia="Times New Roman" w:hAnsi="Times New Roman" w:cs="Times New Roman"/>
                <w:b/>
                <w:bCs/>
                <w:i/>
                <w:iCs/>
                <w:noProof/>
                <w:sz w:val="18"/>
                <w:szCs w:val="18"/>
                <w:lang w:val="en-US"/>
              </w:rPr>
              <w:t>a (iv) Dezvoltarea competențelor pentru specializare inteligentă, tranziție industrială și antreprenoriat</w:t>
            </w:r>
          </w:p>
          <w:p w:rsidR="000A2CF3" w:rsidRPr="00D75BF8" w:rsidRDefault="000A2CF3" w:rsidP="000A2CF3">
            <w:pPr>
              <w:spacing w:after="0" w:line="240" w:lineRule="auto"/>
              <w:rPr>
                <w:rFonts w:ascii="Times New Roman" w:hAnsi="Times New Roman" w:cs="Times New Roman"/>
                <w:b/>
                <w:i/>
                <w:sz w:val="18"/>
                <w:szCs w:val="18"/>
                <w:lang w:val="en-US"/>
              </w:rPr>
            </w:pPr>
          </w:p>
        </w:tc>
        <w:tc>
          <w:tcPr>
            <w:tcW w:w="267" w:type="pct"/>
            <w:tcBorders>
              <w:top w:val="single" w:sz="4" w:space="0" w:color="auto"/>
              <w:left w:val="single" w:sz="4" w:space="0" w:color="auto"/>
              <w:bottom w:val="single" w:sz="4" w:space="0" w:color="auto"/>
              <w:right w:val="single" w:sz="4" w:space="0" w:color="auto"/>
            </w:tcBorders>
          </w:tcPr>
          <w:p w:rsidR="000A2CF3" w:rsidRPr="00D75BF8" w:rsidRDefault="000A2CF3" w:rsidP="000A2CF3">
            <w:pPr>
              <w:spacing w:after="0" w:line="240" w:lineRule="auto"/>
              <w:rPr>
                <w:rFonts w:ascii="Times New Roman" w:hAnsi="Times New Roman" w:cs="Times New Roman"/>
                <w:b/>
                <w:i/>
                <w:sz w:val="18"/>
                <w:szCs w:val="18"/>
                <w:lang w:val="en-US"/>
              </w:rPr>
            </w:pPr>
          </w:p>
        </w:tc>
        <w:tc>
          <w:tcPr>
            <w:tcW w:w="375" w:type="pct"/>
            <w:tcBorders>
              <w:top w:val="single" w:sz="4" w:space="0" w:color="auto"/>
              <w:left w:val="single" w:sz="4" w:space="0" w:color="auto"/>
              <w:bottom w:val="single" w:sz="4" w:space="0" w:color="auto"/>
              <w:right w:val="single" w:sz="4" w:space="0" w:color="auto"/>
            </w:tcBorders>
          </w:tcPr>
          <w:p w:rsidR="000A2CF3" w:rsidRPr="00D75BF8" w:rsidRDefault="000A2CF3" w:rsidP="000A2CF3">
            <w:pPr>
              <w:spacing w:after="0" w:line="240" w:lineRule="auto"/>
              <w:rPr>
                <w:rFonts w:ascii="Times New Roman" w:hAnsi="Times New Roman" w:cs="Times New Roman"/>
                <w:b/>
                <w:i/>
                <w:sz w:val="18"/>
                <w:szCs w:val="18"/>
                <w:lang w:val="en-US"/>
              </w:rPr>
            </w:pPr>
          </w:p>
        </w:tc>
        <w:tc>
          <w:tcPr>
            <w:tcW w:w="248" w:type="pct"/>
            <w:tcBorders>
              <w:top w:val="single" w:sz="4" w:space="0" w:color="auto"/>
              <w:left w:val="single" w:sz="4" w:space="0" w:color="auto"/>
              <w:bottom w:val="single" w:sz="4" w:space="0" w:color="auto"/>
              <w:right w:val="single" w:sz="4" w:space="0" w:color="auto"/>
            </w:tcBorders>
          </w:tcPr>
          <w:p w:rsidR="000A2CF3" w:rsidRPr="00D75BF8" w:rsidRDefault="000A2CF3" w:rsidP="000A2CF3">
            <w:pPr>
              <w:spacing w:after="0" w:line="240" w:lineRule="auto"/>
              <w:rPr>
                <w:rFonts w:ascii="Times New Roman" w:hAnsi="Times New Roman" w:cs="Times New Roman"/>
                <w:b/>
                <w:i/>
                <w:sz w:val="18"/>
                <w:szCs w:val="18"/>
                <w:lang w:val="en-US"/>
              </w:rPr>
            </w:pPr>
          </w:p>
        </w:tc>
        <w:tc>
          <w:tcPr>
            <w:tcW w:w="454" w:type="pct"/>
            <w:tcBorders>
              <w:top w:val="single" w:sz="4" w:space="0" w:color="auto"/>
              <w:left w:val="single" w:sz="4" w:space="0" w:color="auto"/>
              <w:bottom w:val="single" w:sz="4" w:space="0" w:color="auto"/>
              <w:right w:val="single" w:sz="4" w:space="0" w:color="auto"/>
            </w:tcBorders>
          </w:tcPr>
          <w:p w:rsidR="000A2CF3" w:rsidRPr="00D75BF8" w:rsidRDefault="000A2CF3" w:rsidP="000A2CF3">
            <w:pPr>
              <w:spacing w:after="0" w:line="240" w:lineRule="auto"/>
              <w:jc w:val="center"/>
              <w:rPr>
                <w:rFonts w:ascii="Times New Roman" w:hAnsi="Times New Roman" w:cs="Times New Roman"/>
                <w:bCs/>
                <w:sz w:val="18"/>
                <w:szCs w:val="18"/>
                <w:lang w:eastAsia="en-GB"/>
              </w:rPr>
            </w:pPr>
            <w:r w:rsidRPr="00D75BF8">
              <w:rPr>
                <w:rFonts w:ascii="Times New Roman" w:hAnsi="Times New Roman" w:cs="Times New Roman"/>
                <w:bCs/>
                <w:sz w:val="18"/>
                <w:szCs w:val="18"/>
                <w:lang w:eastAsia="en-GB"/>
              </w:rPr>
              <w:t>13 RCR 98 – Angajați din IMM-uri care finalizează programe de educație și formare profesională continuă (CVET)</w:t>
            </w:r>
          </w:p>
        </w:tc>
        <w:tc>
          <w:tcPr>
            <w:tcW w:w="532" w:type="pct"/>
            <w:tcBorders>
              <w:top w:val="single" w:sz="4" w:space="0" w:color="auto"/>
              <w:left w:val="single" w:sz="4" w:space="0" w:color="auto"/>
              <w:bottom w:val="single" w:sz="4" w:space="0" w:color="auto"/>
              <w:right w:val="single" w:sz="4" w:space="0" w:color="auto"/>
            </w:tcBorders>
          </w:tcPr>
          <w:p w:rsidR="000A2CF3" w:rsidRPr="00D75BF8" w:rsidRDefault="000A2CF3" w:rsidP="000A2CF3">
            <w:pPr>
              <w:spacing w:after="0" w:line="240" w:lineRule="auto"/>
              <w:rPr>
                <w:rFonts w:ascii="Times New Roman" w:hAnsi="Times New Roman" w:cs="Times New Roman"/>
                <w:bCs/>
                <w:i/>
                <w:sz w:val="18"/>
                <w:szCs w:val="18"/>
                <w:lang w:val="en-US"/>
              </w:rPr>
            </w:pPr>
            <w:r w:rsidRPr="00D75BF8">
              <w:rPr>
                <w:rFonts w:ascii="Times New Roman" w:hAnsi="Times New Roman" w:cs="Times New Roman"/>
                <w:bCs/>
                <w:i/>
                <w:sz w:val="18"/>
                <w:szCs w:val="18"/>
                <w:lang w:val="en-US"/>
              </w:rPr>
              <w:t>Persoane</w:t>
            </w:r>
          </w:p>
        </w:tc>
        <w:tc>
          <w:tcPr>
            <w:tcW w:w="395" w:type="pct"/>
            <w:tcBorders>
              <w:top w:val="single" w:sz="4" w:space="0" w:color="auto"/>
              <w:left w:val="single" w:sz="4" w:space="0" w:color="auto"/>
              <w:bottom w:val="single" w:sz="4" w:space="0" w:color="auto"/>
              <w:right w:val="single" w:sz="4" w:space="0" w:color="auto"/>
            </w:tcBorders>
          </w:tcPr>
          <w:p w:rsidR="000A2CF3" w:rsidRPr="00D75BF8" w:rsidRDefault="000A2CF3" w:rsidP="000A2CF3">
            <w:pPr>
              <w:spacing w:after="0" w:line="240" w:lineRule="auto"/>
              <w:rPr>
                <w:rFonts w:ascii="Times New Roman" w:hAnsi="Times New Roman" w:cs="Times New Roman"/>
                <w:bCs/>
                <w:i/>
                <w:sz w:val="18"/>
                <w:szCs w:val="18"/>
                <w:lang w:val="en-US"/>
              </w:rPr>
            </w:pPr>
            <w:r>
              <w:rPr>
                <w:rFonts w:ascii="Times New Roman" w:hAnsi="Times New Roman" w:cs="Times New Roman"/>
                <w:bCs/>
                <w:i/>
                <w:sz w:val="18"/>
                <w:szCs w:val="18"/>
                <w:lang w:val="en-US"/>
              </w:rPr>
              <w:t>0</w:t>
            </w:r>
          </w:p>
        </w:tc>
        <w:tc>
          <w:tcPr>
            <w:tcW w:w="410" w:type="pct"/>
            <w:tcBorders>
              <w:top w:val="single" w:sz="4" w:space="0" w:color="auto"/>
              <w:left w:val="single" w:sz="4" w:space="0" w:color="auto"/>
              <w:bottom w:val="single" w:sz="4" w:space="0" w:color="auto"/>
              <w:right w:val="single" w:sz="4" w:space="0" w:color="auto"/>
            </w:tcBorders>
          </w:tcPr>
          <w:p w:rsidR="000A2CF3" w:rsidRPr="00D75BF8" w:rsidRDefault="000A2CF3" w:rsidP="000A2CF3">
            <w:pPr>
              <w:spacing w:after="0" w:line="240" w:lineRule="auto"/>
              <w:rPr>
                <w:rFonts w:ascii="Times New Roman" w:hAnsi="Times New Roman" w:cs="Times New Roman"/>
                <w:bCs/>
                <w:sz w:val="18"/>
                <w:szCs w:val="18"/>
                <w:lang w:val="en-US"/>
              </w:rPr>
            </w:pPr>
            <w:r>
              <w:rPr>
                <w:rFonts w:ascii="Times New Roman" w:hAnsi="Times New Roman" w:cs="Times New Roman"/>
                <w:bCs/>
                <w:sz w:val="18"/>
                <w:szCs w:val="18"/>
                <w:lang w:val="en-US"/>
              </w:rPr>
              <w:t>2020</w:t>
            </w:r>
          </w:p>
        </w:tc>
        <w:tc>
          <w:tcPr>
            <w:tcW w:w="372" w:type="pct"/>
            <w:tcBorders>
              <w:top w:val="single" w:sz="4" w:space="0" w:color="auto"/>
              <w:left w:val="single" w:sz="4" w:space="0" w:color="auto"/>
              <w:bottom w:val="single" w:sz="4" w:space="0" w:color="auto"/>
              <w:right w:val="single" w:sz="4" w:space="0" w:color="auto"/>
            </w:tcBorders>
          </w:tcPr>
          <w:p w:rsidR="000A2CF3" w:rsidRPr="00D75BF8" w:rsidRDefault="000A2CF3" w:rsidP="000A2CF3">
            <w:pPr>
              <w:spacing w:after="0" w:line="240" w:lineRule="auto"/>
              <w:rPr>
                <w:rFonts w:ascii="Times New Roman" w:hAnsi="Times New Roman" w:cs="Times New Roman"/>
                <w:bCs/>
                <w:sz w:val="18"/>
                <w:szCs w:val="18"/>
                <w:lang w:val="en-US"/>
              </w:rPr>
            </w:pPr>
            <w:r>
              <w:rPr>
                <w:rFonts w:ascii="Times New Roman" w:hAnsi="Times New Roman" w:cs="Times New Roman"/>
                <w:bCs/>
                <w:sz w:val="18"/>
                <w:szCs w:val="18"/>
                <w:lang w:val="en-US"/>
              </w:rPr>
              <w:t>2772</w:t>
            </w:r>
          </w:p>
        </w:tc>
        <w:tc>
          <w:tcPr>
            <w:tcW w:w="369" w:type="pct"/>
            <w:tcBorders>
              <w:top w:val="single" w:sz="4" w:space="0" w:color="auto"/>
              <w:left w:val="single" w:sz="4" w:space="0" w:color="auto"/>
              <w:bottom w:val="single" w:sz="4" w:space="0" w:color="auto"/>
              <w:right w:val="single" w:sz="4" w:space="0" w:color="auto"/>
            </w:tcBorders>
          </w:tcPr>
          <w:p w:rsidR="000A2CF3" w:rsidRPr="00D75BF8" w:rsidRDefault="000A2CF3" w:rsidP="000A2CF3">
            <w:pPr>
              <w:spacing w:after="0" w:line="240" w:lineRule="auto"/>
              <w:rPr>
                <w:rFonts w:ascii="Times New Roman" w:hAnsi="Times New Roman" w:cs="Times New Roman"/>
                <w:bCs/>
                <w:i/>
                <w:sz w:val="18"/>
                <w:szCs w:val="18"/>
                <w:lang w:val="en-US"/>
              </w:rPr>
            </w:pPr>
            <w:r w:rsidRPr="00D75BF8">
              <w:rPr>
                <w:rFonts w:ascii="Times New Roman" w:hAnsi="Times New Roman" w:cs="Times New Roman"/>
                <w:bCs/>
                <w:i/>
                <w:sz w:val="18"/>
                <w:szCs w:val="18"/>
                <w:lang w:val="en-US"/>
              </w:rPr>
              <w:t>Proiecte susținute</w:t>
            </w:r>
          </w:p>
        </w:tc>
        <w:tc>
          <w:tcPr>
            <w:tcW w:w="668" w:type="pct"/>
            <w:tcBorders>
              <w:top w:val="single" w:sz="4" w:space="0" w:color="auto"/>
              <w:left w:val="single" w:sz="4" w:space="0" w:color="auto"/>
              <w:bottom w:val="single" w:sz="4" w:space="0" w:color="auto"/>
              <w:right w:val="single" w:sz="4" w:space="0" w:color="auto"/>
            </w:tcBorders>
          </w:tcPr>
          <w:p w:rsidR="000A2CF3" w:rsidRPr="00D75BF8" w:rsidRDefault="000A2CF3" w:rsidP="000A2CF3">
            <w:pPr>
              <w:spacing w:after="0" w:line="240" w:lineRule="auto"/>
              <w:rPr>
                <w:rFonts w:ascii="Times New Roman" w:hAnsi="Times New Roman" w:cs="Times New Roman"/>
                <w:bCs/>
                <w:i/>
                <w:sz w:val="18"/>
                <w:szCs w:val="18"/>
                <w:lang w:val="en-US"/>
              </w:rPr>
            </w:pPr>
            <w:r w:rsidRPr="00D75BF8">
              <w:rPr>
                <w:rFonts w:ascii="Times New Roman" w:hAnsi="Times New Roman" w:cs="Times New Roman"/>
                <w:bCs/>
                <w:i/>
                <w:sz w:val="18"/>
                <w:szCs w:val="18"/>
                <w:lang w:val="en-US"/>
              </w:rPr>
              <w:t>La finalizarea activităților de instruire și formare profesională</w:t>
            </w:r>
          </w:p>
        </w:tc>
      </w:tr>
    </w:tbl>
    <w:p w:rsidR="00F8597A" w:rsidRDefault="00F8597A" w:rsidP="00F8597A">
      <w:pPr>
        <w:rPr>
          <w:i/>
          <w:lang w:val="en-GB"/>
        </w:rPr>
      </w:pPr>
      <w:r w:rsidRPr="00F000AD">
        <w:rPr>
          <w:i/>
          <w:lang w:val="en-GB"/>
        </w:rPr>
        <w:t>[Point 2.1.1.3 in the Commission proposal has been moved up following changes in Article 17(3)(c) CPR and it is now point 2.1.1.bis]</w:t>
      </w:r>
    </w:p>
    <w:p w:rsidR="00D75BF8" w:rsidRPr="00F000AD" w:rsidRDefault="00D75BF8" w:rsidP="00F8597A">
      <w:pPr>
        <w:rPr>
          <w:b/>
          <w:iCs/>
          <w:lang w:val="en-GB"/>
        </w:rPr>
      </w:pPr>
    </w:p>
    <w:p w:rsidR="00E91EF6" w:rsidRPr="00F000AD" w:rsidRDefault="00E91EF6" w:rsidP="00E91EF6">
      <w:pPr>
        <w:rPr>
          <w:b/>
          <w:u w:val="single"/>
          <w:lang w:val="en-GB"/>
        </w:rPr>
      </w:pPr>
      <w:r w:rsidRPr="00F000AD">
        <w:rPr>
          <w:b/>
          <w:lang w:val="en-GB"/>
        </w:rPr>
        <w:t>2.A Priorities other than technical assistance</w:t>
      </w:r>
    </w:p>
    <w:p w:rsidR="00E91EF6" w:rsidRPr="00F000AD" w:rsidRDefault="00E91EF6" w:rsidP="00E91EF6">
      <w:pPr>
        <w:rPr>
          <w:lang w:val="en-GB"/>
        </w:rPr>
      </w:pPr>
      <w:r w:rsidRPr="00F000AD">
        <w:rPr>
          <w:b/>
          <w:lang w:val="en-GB"/>
        </w:rPr>
        <w:t xml:space="preserve">2.A.1 Title of the priority [300] </w:t>
      </w:r>
      <w:r w:rsidRPr="00F000AD">
        <w:rPr>
          <w:lang w:val="en-GB"/>
        </w:rPr>
        <w:t>(repeated for each priority)*</w:t>
      </w:r>
    </w:p>
    <w:p w:rsidR="00E91EF6" w:rsidRPr="009467D2" w:rsidRDefault="00E91EF6" w:rsidP="00E91EF6">
      <w:pPr>
        <w:rPr>
          <w:b/>
          <w:iCs/>
          <w:sz w:val="28"/>
          <w:szCs w:val="28"/>
          <w:lang w:val="en-GB"/>
        </w:rPr>
      </w:pPr>
      <w:r>
        <w:rPr>
          <w:b/>
          <w:iCs/>
          <w:sz w:val="28"/>
          <w:szCs w:val="28"/>
          <w:lang w:val="en-GB"/>
        </w:rPr>
        <w:t>Prioritatea 2 - O regiune digitală</w:t>
      </w:r>
    </w:p>
    <w:p w:rsidR="00E91EF6" w:rsidRPr="00F000AD" w:rsidRDefault="00E91EF6" w:rsidP="00E91EF6">
      <w:pPr>
        <w:rPr>
          <w:b/>
          <w:iCs/>
          <w:lang w:val="en-GB"/>
        </w:rPr>
      </w:pPr>
      <w:r w:rsidRPr="00F000AD">
        <w:rPr>
          <w:b/>
          <w:iCs/>
          <w:lang w:val="en-GB"/>
        </w:rPr>
        <w:t xml:space="preserve">2.A.2 Indicative breakdown of the programmed resources (EU) by type of intervention </w:t>
      </w:r>
      <w:r w:rsidRPr="00F000AD">
        <w:rPr>
          <w:iCs/>
          <w:lang w:val="en-GB"/>
        </w:rPr>
        <w:t xml:space="preserve">(not applicable to the EMFF) </w:t>
      </w:r>
      <w:r w:rsidRPr="00F000AD">
        <w:rPr>
          <w:i/>
          <w:lang w:val="en-GB"/>
        </w:rPr>
        <w:t>[This was point 2.1.1.3 in the Commission proposal and has been moved up following changes in Article 17(3)(c) CPR]</w:t>
      </w:r>
    </w:p>
    <w:p w:rsidR="00E91EF6" w:rsidRDefault="00E91EF6" w:rsidP="00E91EF6">
      <w:pPr>
        <w:rPr>
          <w:i/>
          <w:lang w:val="en-GB"/>
        </w:rPr>
      </w:pPr>
      <w:r w:rsidRPr="00F000AD">
        <w:rPr>
          <w:i/>
          <w:lang w:val="en-GB"/>
        </w:rPr>
        <w:t>Reference: Article 17(3)(c) CPR</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433"/>
        <w:gridCol w:w="1960"/>
        <w:gridCol w:w="2175"/>
      </w:tblGrid>
      <w:tr w:rsidR="00C31A12" w:rsidRPr="00F000AD" w:rsidTr="00E95FAC">
        <w:tc>
          <w:tcPr>
            <w:tcW w:w="8551" w:type="dxa"/>
            <w:gridSpan w:val="5"/>
            <w:tcBorders>
              <w:top w:val="single" w:sz="4" w:space="0" w:color="auto"/>
              <w:left w:val="single" w:sz="4" w:space="0" w:color="auto"/>
              <w:bottom w:val="single" w:sz="4" w:space="0" w:color="auto"/>
              <w:right w:val="single" w:sz="4" w:space="0" w:color="auto"/>
            </w:tcBorders>
            <w:hideMark/>
          </w:tcPr>
          <w:p w:rsidR="00C31A12" w:rsidRPr="00F000AD" w:rsidRDefault="00C31A12" w:rsidP="008239CE">
            <w:pPr>
              <w:rPr>
                <w:b/>
                <w:iCs/>
                <w:lang w:val="en-US"/>
              </w:rPr>
            </w:pPr>
            <w:r w:rsidRPr="00F000AD">
              <w:rPr>
                <w:b/>
                <w:iCs/>
                <w:lang w:val="en-US"/>
              </w:rPr>
              <w:t>Table 4: Dimension 1 – intervention field</w:t>
            </w:r>
          </w:p>
        </w:tc>
      </w:tr>
      <w:tr w:rsidR="00C31A12" w:rsidRPr="00F000AD" w:rsidTr="00C31A12">
        <w:tc>
          <w:tcPr>
            <w:tcW w:w="1599" w:type="dxa"/>
            <w:tcBorders>
              <w:top w:val="single" w:sz="4" w:space="0" w:color="auto"/>
              <w:left w:val="single" w:sz="4" w:space="0" w:color="auto"/>
              <w:bottom w:val="single" w:sz="4" w:space="0" w:color="auto"/>
              <w:right w:val="single" w:sz="4" w:space="0" w:color="auto"/>
            </w:tcBorders>
            <w:hideMark/>
          </w:tcPr>
          <w:p w:rsidR="00C31A12" w:rsidRPr="00F000AD" w:rsidRDefault="00C31A12" w:rsidP="008239CE">
            <w:pPr>
              <w:rPr>
                <w:b/>
                <w:iCs/>
                <w:lang w:val="en-US"/>
              </w:rPr>
            </w:pPr>
            <w:r w:rsidRPr="00F000AD">
              <w:rPr>
                <w:b/>
                <w:iCs/>
                <w:lang w:val="en-US"/>
              </w:rPr>
              <w:lastRenderedPageBreak/>
              <w:t>Priority No</w:t>
            </w:r>
            <w:r>
              <w:rPr>
                <w:b/>
                <w:iCs/>
                <w:lang w:val="en-US"/>
              </w:rPr>
              <w:t xml:space="preserve"> 2</w:t>
            </w:r>
          </w:p>
        </w:tc>
        <w:tc>
          <w:tcPr>
            <w:tcW w:w="1384" w:type="dxa"/>
            <w:tcBorders>
              <w:top w:val="single" w:sz="4" w:space="0" w:color="auto"/>
              <w:left w:val="single" w:sz="4" w:space="0" w:color="auto"/>
              <w:bottom w:val="single" w:sz="4" w:space="0" w:color="auto"/>
              <w:right w:val="single" w:sz="4" w:space="0" w:color="auto"/>
            </w:tcBorders>
            <w:hideMark/>
          </w:tcPr>
          <w:p w:rsidR="00C31A12" w:rsidRPr="00F000AD" w:rsidRDefault="00C31A12" w:rsidP="008239CE">
            <w:pPr>
              <w:rPr>
                <w:b/>
                <w:iCs/>
                <w:lang w:val="en-US"/>
              </w:rPr>
            </w:pPr>
            <w:r w:rsidRPr="00F000AD">
              <w:rPr>
                <w:b/>
                <w:iCs/>
                <w:lang w:val="en-US"/>
              </w:rPr>
              <w:t>Fund</w:t>
            </w:r>
          </w:p>
        </w:tc>
        <w:tc>
          <w:tcPr>
            <w:tcW w:w="1433" w:type="dxa"/>
            <w:tcBorders>
              <w:top w:val="single" w:sz="4" w:space="0" w:color="auto"/>
              <w:left w:val="single" w:sz="4" w:space="0" w:color="auto"/>
              <w:bottom w:val="single" w:sz="4" w:space="0" w:color="auto"/>
              <w:right w:val="single" w:sz="4" w:space="0" w:color="auto"/>
            </w:tcBorders>
            <w:hideMark/>
          </w:tcPr>
          <w:p w:rsidR="00C31A12" w:rsidRPr="00F000AD" w:rsidRDefault="00C31A12" w:rsidP="008239CE">
            <w:pPr>
              <w:rPr>
                <w:b/>
                <w:iCs/>
                <w:lang w:val="en-US"/>
              </w:rPr>
            </w:pPr>
            <w:r w:rsidRPr="00F000AD">
              <w:rPr>
                <w:b/>
                <w:iCs/>
                <w:lang w:val="en-US"/>
              </w:rPr>
              <w:t>Category of region</w:t>
            </w:r>
            <w:r w:rsidRPr="00F000AD">
              <w:rPr>
                <w:b/>
                <w:iCs/>
                <w:vertAlign w:val="superscript"/>
                <w:lang w:val="en-US"/>
              </w:rPr>
              <w:footnoteReference w:id="31"/>
            </w:r>
          </w:p>
        </w:tc>
        <w:tc>
          <w:tcPr>
            <w:tcW w:w="1960" w:type="dxa"/>
            <w:tcBorders>
              <w:top w:val="single" w:sz="4" w:space="0" w:color="auto"/>
              <w:left w:val="single" w:sz="4" w:space="0" w:color="auto"/>
              <w:bottom w:val="single" w:sz="4" w:space="0" w:color="auto"/>
              <w:right w:val="single" w:sz="4" w:space="0" w:color="auto"/>
            </w:tcBorders>
            <w:hideMark/>
          </w:tcPr>
          <w:p w:rsidR="00C31A12" w:rsidRPr="00F000AD" w:rsidRDefault="00C31A12" w:rsidP="008239CE">
            <w:pPr>
              <w:rPr>
                <w:b/>
                <w:iCs/>
                <w:lang w:val="en-US"/>
              </w:rPr>
            </w:pPr>
            <w:r w:rsidRPr="00F000AD">
              <w:rPr>
                <w:b/>
                <w:iCs/>
                <w:lang w:val="en-US"/>
              </w:rPr>
              <w:t xml:space="preserve">Code </w:t>
            </w:r>
          </w:p>
        </w:tc>
        <w:tc>
          <w:tcPr>
            <w:tcW w:w="2175" w:type="dxa"/>
            <w:tcBorders>
              <w:top w:val="single" w:sz="4" w:space="0" w:color="auto"/>
              <w:left w:val="single" w:sz="4" w:space="0" w:color="auto"/>
              <w:bottom w:val="single" w:sz="4" w:space="0" w:color="auto"/>
              <w:right w:val="single" w:sz="4" w:space="0" w:color="auto"/>
            </w:tcBorders>
            <w:hideMark/>
          </w:tcPr>
          <w:p w:rsidR="00C31A12" w:rsidRPr="00F000AD" w:rsidRDefault="00C31A12" w:rsidP="008239CE">
            <w:pPr>
              <w:rPr>
                <w:b/>
                <w:iCs/>
                <w:lang w:val="en-US"/>
              </w:rPr>
            </w:pPr>
            <w:r w:rsidRPr="00F000AD">
              <w:rPr>
                <w:b/>
                <w:iCs/>
                <w:lang w:val="en-US"/>
              </w:rPr>
              <w:t>Amount (EUR)</w:t>
            </w:r>
          </w:p>
        </w:tc>
      </w:tr>
      <w:tr w:rsidR="005C75DF" w:rsidRPr="00D75BF8" w:rsidTr="00C31A12">
        <w:tc>
          <w:tcPr>
            <w:tcW w:w="1599" w:type="dxa"/>
            <w:tcBorders>
              <w:top w:val="single" w:sz="4" w:space="0" w:color="auto"/>
              <w:left w:val="single" w:sz="4" w:space="0" w:color="auto"/>
              <w:bottom w:val="single" w:sz="4" w:space="0" w:color="auto"/>
              <w:right w:val="single" w:sz="4" w:space="0" w:color="auto"/>
            </w:tcBorders>
          </w:tcPr>
          <w:p w:rsidR="005C75DF" w:rsidRPr="007B330B" w:rsidRDefault="005C75DF" w:rsidP="005C75DF">
            <w:pPr>
              <w:rPr>
                <w:iCs/>
                <w:sz w:val="20"/>
                <w:szCs w:val="20"/>
                <w:lang w:val="en-US"/>
              </w:rPr>
            </w:pPr>
            <w:r w:rsidRPr="007B330B">
              <w:rPr>
                <w:iCs/>
                <w:sz w:val="20"/>
                <w:szCs w:val="20"/>
                <w:lang w:val="en-US"/>
              </w:rPr>
              <w:t>OS a (ii)</w:t>
            </w:r>
          </w:p>
        </w:tc>
        <w:tc>
          <w:tcPr>
            <w:tcW w:w="1384" w:type="dxa"/>
            <w:tcBorders>
              <w:top w:val="single" w:sz="4" w:space="0" w:color="auto"/>
              <w:left w:val="single" w:sz="4" w:space="0" w:color="auto"/>
              <w:bottom w:val="single" w:sz="4" w:space="0" w:color="auto"/>
              <w:right w:val="single" w:sz="4" w:space="0" w:color="auto"/>
            </w:tcBorders>
          </w:tcPr>
          <w:p w:rsidR="005C75DF" w:rsidRPr="007B330B" w:rsidRDefault="005C75DF" w:rsidP="005C75DF">
            <w:pPr>
              <w:rPr>
                <w:iCs/>
                <w:sz w:val="20"/>
                <w:szCs w:val="20"/>
                <w:lang w:val="en-US"/>
              </w:rPr>
            </w:pPr>
            <w:r w:rsidRPr="007B330B">
              <w:rPr>
                <w:iCs/>
                <w:sz w:val="20"/>
                <w:szCs w:val="20"/>
                <w:lang w:val="en-US"/>
              </w:rPr>
              <w:t>FEDR</w:t>
            </w:r>
          </w:p>
        </w:tc>
        <w:tc>
          <w:tcPr>
            <w:tcW w:w="1433" w:type="dxa"/>
            <w:tcBorders>
              <w:top w:val="single" w:sz="4" w:space="0" w:color="auto"/>
              <w:left w:val="single" w:sz="4" w:space="0" w:color="auto"/>
              <w:bottom w:val="single" w:sz="4" w:space="0" w:color="auto"/>
              <w:right w:val="single" w:sz="4" w:space="0" w:color="auto"/>
            </w:tcBorders>
          </w:tcPr>
          <w:p w:rsidR="005C75DF" w:rsidRPr="007B330B" w:rsidRDefault="005C75DF" w:rsidP="005C75DF">
            <w:pPr>
              <w:rPr>
                <w:iCs/>
                <w:sz w:val="20"/>
                <w:szCs w:val="20"/>
                <w:lang w:val="en-US"/>
              </w:rPr>
            </w:pPr>
            <w:r w:rsidRPr="007B330B">
              <w:rPr>
                <w:iCs/>
                <w:sz w:val="20"/>
                <w:szCs w:val="20"/>
                <w:lang w:val="en-US"/>
              </w:rPr>
              <w:t>Mai putin dezvoltată</w:t>
            </w:r>
          </w:p>
        </w:tc>
        <w:tc>
          <w:tcPr>
            <w:tcW w:w="1960" w:type="dxa"/>
            <w:tcBorders>
              <w:top w:val="single" w:sz="4" w:space="0" w:color="auto"/>
              <w:left w:val="single" w:sz="4" w:space="0" w:color="auto"/>
              <w:bottom w:val="single" w:sz="4" w:space="0" w:color="auto"/>
              <w:right w:val="single" w:sz="4" w:space="0" w:color="auto"/>
            </w:tcBorders>
          </w:tcPr>
          <w:p w:rsidR="005C75DF" w:rsidRPr="007B330B" w:rsidRDefault="005C75DF" w:rsidP="005C75DF">
            <w:pPr>
              <w:rPr>
                <w:iCs/>
                <w:sz w:val="20"/>
                <w:szCs w:val="20"/>
                <w:lang w:val="en-US"/>
              </w:rPr>
            </w:pPr>
            <w:r w:rsidRPr="007B330B">
              <w:rPr>
                <w:iCs/>
                <w:sz w:val="20"/>
                <w:szCs w:val="20"/>
                <w:lang w:val="en-US"/>
              </w:rPr>
              <w:t>011 Soluții TIC, servicii electronice și aplicații guvernamentale</w:t>
            </w:r>
          </w:p>
        </w:tc>
        <w:tc>
          <w:tcPr>
            <w:tcW w:w="2175" w:type="dxa"/>
            <w:tcBorders>
              <w:top w:val="single" w:sz="4" w:space="0" w:color="auto"/>
              <w:left w:val="single" w:sz="4" w:space="0" w:color="auto"/>
              <w:bottom w:val="single" w:sz="4" w:space="0" w:color="auto"/>
              <w:right w:val="single" w:sz="4" w:space="0" w:color="auto"/>
            </w:tcBorders>
          </w:tcPr>
          <w:p w:rsidR="005C75DF" w:rsidRPr="007B330B" w:rsidRDefault="005C75DF" w:rsidP="005C75DF">
            <w:pPr>
              <w:rPr>
                <w:iCs/>
                <w:sz w:val="20"/>
                <w:szCs w:val="20"/>
                <w:lang w:val="en-US"/>
              </w:rPr>
            </w:pPr>
            <w:r>
              <w:rPr>
                <w:iCs/>
                <w:sz w:val="20"/>
                <w:szCs w:val="20"/>
                <w:lang w:val="en-US"/>
              </w:rPr>
              <w:t>82.752.181</w:t>
            </w:r>
            <w:r w:rsidRPr="007B330B">
              <w:rPr>
                <w:iCs/>
                <w:sz w:val="20"/>
                <w:szCs w:val="20"/>
                <w:lang w:val="en-US"/>
              </w:rPr>
              <w:t xml:space="preserve"> </w:t>
            </w:r>
          </w:p>
        </w:tc>
      </w:tr>
      <w:tr w:rsidR="005C75DF" w:rsidRPr="00D75BF8" w:rsidTr="00C31A12">
        <w:tc>
          <w:tcPr>
            <w:tcW w:w="1599" w:type="dxa"/>
            <w:tcBorders>
              <w:top w:val="single" w:sz="4" w:space="0" w:color="auto"/>
              <w:left w:val="single" w:sz="4" w:space="0" w:color="auto"/>
              <w:bottom w:val="single" w:sz="4" w:space="0" w:color="auto"/>
              <w:right w:val="single" w:sz="4" w:space="0" w:color="auto"/>
            </w:tcBorders>
          </w:tcPr>
          <w:p w:rsidR="005C75DF" w:rsidRPr="007B330B" w:rsidDel="001E3B2A" w:rsidRDefault="005C75DF" w:rsidP="005C75DF">
            <w:pPr>
              <w:rPr>
                <w:iCs/>
                <w:sz w:val="20"/>
                <w:szCs w:val="20"/>
                <w:lang w:val="en-US"/>
              </w:rPr>
            </w:pPr>
          </w:p>
        </w:tc>
        <w:tc>
          <w:tcPr>
            <w:tcW w:w="1384" w:type="dxa"/>
            <w:tcBorders>
              <w:top w:val="single" w:sz="4" w:space="0" w:color="auto"/>
              <w:left w:val="single" w:sz="4" w:space="0" w:color="auto"/>
              <w:bottom w:val="single" w:sz="4" w:space="0" w:color="auto"/>
              <w:right w:val="single" w:sz="4" w:space="0" w:color="auto"/>
            </w:tcBorders>
          </w:tcPr>
          <w:p w:rsidR="005C75DF" w:rsidRPr="007B330B" w:rsidRDefault="005C75DF" w:rsidP="005C75DF">
            <w:pPr>
              <w:rPr>
                <w:iCs/>
                <w:sz w:val="20"/>
                <w:szCs w:val="20"/>
                <w:lang w:val="en-US"/>
              </w:rPr>
            </w:pPr>
          </w:p>
        </w:tc>
        <w:tc>
          <w:tcPr>
            <w:tcW w:w="1433" w:type="dxa"/>
            <w:tcBorders>
              <w:top w:val="single" w:sz="4" w:space="0" w:color="auto"/>
              <w:left w:val="single" w:sz="4" w:space="0" w:color="auto"/>
              <w:bottom w:val="single" w:sz="4" w:space="0" w:color="auto"/>
              <w:right w:val="single" w:sz="4" w:space="0" w:color="auto"/>
            </w:tcBorders>
          </w:tcPr>
          <w:p w:rsidR="005C75DF" w:rsidRPr="007B330B" w:rsidRDefault="005C75DF" w:rsidP="005C75DF">
            <w:pPr>
              <w:rPr>
                <w:iCs/>
                <w:sz w:val="20"/>
                <w:szCs w:val="20"/>
                <w:lang w:val="en-US"/>
              </w:rPr>
            </w:pPr>
          </w:p>
        </w:tc>
        <w:tc>
          <w:tcPr>
            <w:tcW w:w="1960" w:type="dxa"/>
            <w:tcBorders>
              <w:top w:val="single" w:sz="4" w:space="0" w:color="auto"/>
              <w:left w:val="single" w:sz="4" w:space="0" w:color="auto"/>
              <w:bottom w:val="single" w:sz="4" w:space="0" w:color="auto"/>
              <w:right w:val="single" w:sz="4" w:space="0" w:color="auto"/>
            </w:tcBorders>
          </w:tcPr>
          <w:p w:rsidR="005C75DF" w:rsidRPr="007B330B" w:rsidRDefault="005C75DF" w:rsidP="005C75DF">
            <w:pPr>
              <w:rPr>
                <w:iCs/>
                <w:sz w:val="20"/>
                <w:szCs w:val="20"/>
                <w:lang w:val="en-US"/>
              </w:rPr>
            </w:pPr>
            <w:r w:rsidRPr="007B330B">
              <w:rPr>
                <w:iCs/>
                <w:sz w:val="20"/>
                <w:szCs w:val="20"/>
                <w:lang w:val="en-US"/>
              </w:rPr>
              <w:t>010 Digitalizarea IMM-urilor (inclusiv comerț electronic, activități economice electronice și procese economice în rețea, huburi de inovare digitală, laboratoare vii, antreprenori web și start-upuri în domeniul TIC, B2B)</w:t>
            </w:r>
          </w:p>
        </w:tc>
        <w:tc>
          <w:tcPr>
            <w:tcW w:w="2175" w:type="dxa"/>
            <w:tcBorders>
              <w:top w:val="single" w:sz="4" w:space="0" w:color="auto"/>
              <w:left w:val="single" w:sz="4" w:space="0" w:color="auto"/>
              <w:bottom w:val="single" w:sz="4" w:space="0" w:color="auto"/>
              <w:right w:val="single" w:sz="4" w:space="0" w:color="auto"/>
            </w:tcBorders>
          </w:tcPr>
          <w:p w:rsidR="005C75DF" w:rsidRPr="007B330B" w:rsidRDefault="005C75DF" w:rsidP="005C75DF">
            <w:pPr>
              <w:rPr>
                <w:iCs/>
                <w:sz w:val="20"/>
                <w:szCs w:val="20"/>
                <w:lang w:val="en-US"/>
              </w:rPr>
            </w:pPr>
            <w:r>
              <w:rPr>
                <w:iCs/>
                <w:sz w:val="20"/>
                <w:szCs w:val="20"/>
                <w:lang w:val="en-US"/>
              </w:rPr>
              <w:t>31.550.727</w:t>
            </w:r>
          </w:p>
        </w:tc>
      </w:tr>
      <w:tr w:rsidR="00C31A12" w:rsidRPr="00D75BF8" w:rsidTr="00C31A12">
        <w:tc>
          <w:tcPr>
            <w:tcW w:w="1599" w:type="dxa"/>
            <w:tcBorders>
              <w:top w:val="single" w:sz="4" w:space="0" w:color="auto"/>
              <w:left w:val="single" w:sz="4" w:space="0" w:color="auto"/>
              <w:bottom w:val="single" w:sz="4" w:space="0" w:color="auto"/>
              <w:right w:val="single" w:sz="4" w:space="0" w:color="auto"/>
            </w:tcBorders>
          </w:tcPr>
          <w:p w:rsidR="00C31A12" w:rsidRPr="007B330B" w:rsidRDefault="00C31A12" w:rsidP="008239CE">
            <w:pPr>
              <w:rPr>
                <w:iCs/>
                <w:sz w:val="20"/>
                <w:szCs w:val="20"/>
                <w:lang w:val="en-US"/>
              </w:rPr>
            </w:pPr>
            <w:r w:rsidRPr="007B330B">
              <w:rPr>
                <w:iCs/>
                <w:sz w:val="20"/>
                <w:szCs w:val="20"/>
                <w:lang w:val="en-US"/>
              </w:rPr>
              <w:t>OS a (iv)</w:t>
            </w:r>
          </w:p>
        </w:tc>
        <w:tc>
          <w:tcPr>
            <w:tcW w:w="1384" w:type="dxa"/>
            <w:tcBorders>
              <w:top w:val="single" w:sz="4" w:space="0" w:color="auto"/>
              <w:left w:val="single" w:sz="4" w:space="0" w:color="auto"/>
              <w:bottom w:val="single" w:sz="4" w:space="0" w:color="auto"/>
              <w:right w:val="single" w:sz="4" w:space="0" w:color="auto"/>
            </w:tcBorders>
          </w:tcPr>
          <w:p w:rsidR="00C31A12" w:rsidRPr="007B330B" w:rsidRDefault="00C31A12" w:rsidP="008239CE">
            <w:pPr>
              <w:rPr>
                <w:iCs/>
                <w:sz w:val="20"/>
                <w:szCs w:val="20"/>
                <w:lang w:val="en-US"/>
              </w:rPr>
            </w:pPr>
            <w:r w:rsidRPr="007B330B">
              <w:rPr>
                <w:iCs/>
                <w:sz w:val="20"/>
                <w:szCs w:val="20"/>
                <w:lang w:val="en-US"/>
              </w:rPr>
              <w:t>FEDR</w:t>
            </w:r>
          </w:p>
        </w:tc>
        <w:tc>
          <w:tcPr>
            <w:tcW w:w="1433" w:type="dxa"/>
            <w:tcBorders>
              <w:top w:val="single" w:sz="4" w:space="0" w:color="auto"/>
              <w:left w:val="single" w:sz="4" w:space="0" w:color="auto"/>
              <w:bottom w:val="single" w:sz="4" w:space="0" w:color="auto"/>
              <w:right w:val="single" w:sz="4" w:space="0" w:color="auto"/>
            </w:tcBorders>
          </w:tcPr>
          <w:p w:rsidR="00C31A12" w:rsidRPr="007B330B" w:rsidRDefault="00C31A12" w:rsidP="008239CE">
            <w:pPr>
              <w:rPr>
                <w:iCs/>
                <w:sz w:val="20"/>
                <w:szCs w:val="20"/>
                <w:lang w:val="en-US"/>
              </w:rPr>
            </w:pPr>
            <w:r w:rsidRPr="007B330B">
              <w:rPr>
                <w:iCs/>
                <w:sz w:val="20"/>
                <w:szCs w:val="20"/>
                <w:lang w:val="en-US"/>
              </w:rPr>
              <w:t>Mai putin dezvoltată</w:t>
            </w:r>
          </w:p>
        </w:tc>
        <w:tc>
          <w:tcPr>
            <w:tcW w:w="1960" w:type="dxa"/>
            <w:tcBorders>
              <w:top w:val="single" w:sz="4" w:space="0" w:color="auto"/>
              <w:left w:val="single" w:sz="4" w:space="0" w:color="auto"/>
              <w:bottom w:val="single" w:sz="4" w:space="0" w:color="auto"/>
              <w:right w:val="single" w:sz="4" w:space="0" w:color="auto"/>
            </w:tcBorders>
          </w:tcPr>
          <w:p w:rsidR="00C31A12" w:rsidRPr="007B330B" w:rsidRDefault="00C31A12" w:rsidP="008239CE">
            <w:pPr>
              <w:rPr>
                <w:iCs/>
                <w:sz w:val="20"/>
                <w:szCs w:val="20"/>
                <w:lang w:val="en-US"/>
              </w:rPr>
            </w:pPr>
            <w:r w:rsidRPr="007B330B">
              <w:rPr>
                <w:iCs/>
                <w:sz w:val="20"/>
                <w:szCs w:val="20"/>
                <w:lang w:val="en-US"/>
              </w:rPr>
              <w:t>016 Dezvoltarea competențelor pentru specializare inteligentă, tranziție industrială și antreprenoriat</w:t>
            </w:r>
          </w:p>
        </w:tc>
        <w:tc>
          <w:tcPr>
            <w:tcW w:w="2175" w:type="dxa"/>
            <w:tcBorders>
              <w:top w:val="single" w:sz="4" w:space="0" w:color="auto"/>
              <w:left w:val="single" w:sz="4" w:space="0" w:color="auto"/>
              <w:bottom w:val="single" w:sz="4" w:space="0" w:color="auto"/>
              <w:right w:val="single" w:sz="4" w:space="0" w:color="auto"/>
            </w:tcBorders>
          </w:tcPr>
          <w:p w:rsidR="00C31A12" w:rsidRPr="007B330B" w:rsidRDefault="00C31A12" w:rsidP="00E912F0">
            <w:pPr>
              <w:rPr>
                <w:iCs/>
                <w:sz w:val="20"/>
                <w:szCs w:val="20"/>
                <w:lang w:val="en-US"/>
              </w:rPr>
            </w:pPr>
            <w:r w:rsidRPr="007B330B">
              <w:rPr>
                <w:iCs/>
                <w:sz w:val="20"/>
                <w:szCs w:val="20"/>
                <w:lang w:val="en-US"/>
              </w:rPr>
              <w:t xml:space="preserve"> </w:t>
            </w:r>
            <w:r w:rsidR="00115432" w:rsidRPr="007B330B">
              <w:rPr>
                <w:iCs/>
                <w:sz w:val="20"/>
                <w:szCs w:val="20"/>
                <w:lang w:val="en-US"/>
              </w:rPr>
              <w:t>2.</w:t>
            </w:r>
            <w:r w:rsidR="00E912F0">
              <w:rPr>
                <w:iCs/>
                <w:sz w:val="20"/>
                <w:szCs w:val="20"/>
                <w:lang w:val="en-US"/>
              </w:rPr>
              <w:t>078.235</w:t>
            </w:r>
          </w:p>
        </w:tc>
      </w:tr>
    </w:tbl>
    <w:p w:rsidR="00E91EF6" w:rsidRDefault="00E91EF6" w:rsidP="00E91EF6">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433"/>
        <w:gridCol w:w="1053"/>
        <w:gridCol w:w="2175"/>
      </w:tblGrid>
      <w:tr w:rsidR="00106AA2" w:rsidRPr="00F000AD" w:rsidTr="008239CE">
        <w:tc>
          <w:tcPr>
            <w:tcW w:w="7644" w:type="dxa"/>
            <w:gridSpan w:val="5"/>
            <w:tcBorders>
              <w:top w:val="single" w:sz="4" w:space="0" w:color="auto"/>
              <w:left w:val="single" w:sz="4" w:space="0" w:color="auto"/>
              <w:bottom w:val="single" w:sz="4" w:space="0" w:color="auto"/>
              <w:right w:val="single" w:sz="4" w:space="0" w:color="auto"/>
            </w:tcBorders>
            <w:hideMark/>
          </w:tcPr>
          <w:p w:rsidR="00106AA2" w:rsidRPr="00F000AD" w:rsidRDefault="00106AA2" w:rsidP="008239CE">
            <w:pPr>
              <w:rPr>
                <w:b/>
                <w:iCs/>
                <w:lang w:val="en-US"/>
              </w:rPr>
            </w:pPr>
            <w:r w:rsidRPr="00F000AD">
              <w:rPr>
                <w:b/>
                <w:iCs/>
                <w:lang w:val="en-US"/>
              </w:rPr>
              <w:t>Table 5: Dimension 2 – form of support</w:t>
            </w:r>
          </w:p>
        </w:tc>
      </w:tr>
      <w:tr w:rsidR="00106AA2" w:rsidRPr="00F000AD" w:rsidTr="008239CE">
        <w:tc>
          <w:tcPr>
            <w:tcW w:w="1599" w:type="dxa"/>
            <w:tcBorders>
              <w:top w:val="single" w:sz="4" w:space="0" w:color="auto"/>
              <w:left w:val="single" w:sz="4" w:space="0" w:color="auto"/>
              <w:bottom w:val="single" w:sz="4" w:space="0" w:color="auto"/>
              <w:right w:val="single" w:sz="4" w:space="0" w:color="auto"/>
            </w:tcBorders>
            <w:hideMark/>
          </w:tcPr>
          <w:p w:rsidR="00106AA2" w:rsidRPr="00F000AD" w:rsidRDefault="00106AA2" w:rsidP="008239CE">
            <w:pPr>
              <w:rPr>
                <w:b/>
                <w:iCs/>
                <w:lang w:val="en-US"/>
              </w:rPr>
            </w:pPr>
            <w:r w:rsidRPr="00F000AD">
              <w:rPr>
                <w:b/>
                <w:iCs/>
                <w:lang w:val="en-US"/>
              </w:rPr>
              <w:t>Priority No</w:t>
            </w:r>
          </w:p>
        </w:tc>
        <w:tc>
          <w:tcPr>
            <w:tcW w:w="1384" w:type="dxa"/>
            <w:tcBorders>
              <w:top w:val="single" w:sz="4" w:space="0" w:color="auto"/>
              <w:left w:val="single" w:sz="4" w:space="0" w:color="auto"/>
              <w:bottom w:val="single" w:sz="4" w:space="0" w:color="auto"/>
              <w:right w:val="single" w:sz="4" w:space="0" w:color="auto"/>
            </w:tcBorders>
            <w:hideMark/>
          </w:tcPr>
          <w:p w:rsidR="00106AA2" w:rsidRPr="00F000AD" w:rsidRDefault="00106AA2" w:rsidP="008239CE">
            <w:pPr>
              <w:rPr>
                <w:b/>
                <w:iCs/>
                <w:lang w:val="en-US"/>
              </w:rPr>
            </w:pPr>
            <w:r w:rsidRPr="00F000AD">
              <w:rPr>
                <w:b/>
                <w:iCs/>
                <w:lang w:val="en-US"/>
              </w:rPr>
              <w:t>Fund</w:t>
            </w:r>
          </w:p>
        </w:tc>
        <w:tc>
          <w:tcPr>
            <w:tcW w:w="1433" w:type="dxa"/>
            <w:tcBorders>
              <w:top w:val="single" w:sz="4" w:space="0" w:color="auto"/>
              <w:left w:val="single" w:sz="4" w:space="0" w:color="auto"/>
              <w:bottom w:val="single" w:sz="4" w:space="0" w:color="auto"/>
              <w:right w:val="single" w:sz="4" w:space="0" w:color="auto"/>
            </w:tcBorders>
            <w:hideMark/>
          </w:tcPr>
          <w:p w:rsidR="00106AA2" w:rsidRPr="00F000AD" w:rsidRDefault="00106AA2" w:rsidP="008239CE">
            <w:pPr>
              <w:rPr>
                <w:b/>
                <w:iCs/>
                <w:lang w:val="en-US"/>
              </w:rPr>
            </w:pPr>
            <w:r w:rsidRPr="00F000AD">
              <w:rPr>
                <w:b/>
                <w:iCs/>
                <w:lang w:val="en-US"/>
              </w:rPr>
              <w:t>Category of region</w:t>
            </w:r>
            <w:r w:rsidRPr="00F000AD">
              <w:rPr>
                <w:b/>
                <w:iCs/>
                <w:vertAlign w:val="superscript"/>
                <w:lang w:val="en-US"/>
              </w:rPr>
              <w:footnoteReference w:id="32"/>
            </w:r>
          </w:p>
        </w:tc>
        <w:tc>
          <w:tcPr>
            <w:tcW w:w="1053" w:type="dxa"/>
            <w:tcBorders>
              <w:top w:val="single" w:sz="4" w:space="0" w:color="auto"/>
              <w:left w:val="single" w:sz="4" w:space="0" w:color="auto"/>
              <w:bottom w:val="single" w:sz="4" w:space="0" w:color="auto"/>
              <w:right w:val="single" w:sz="4" w:space="0" w:color="auto"/>
            </w:tcBorders>
            <w:hideMark/>
          </w:tcPr>
          <w:p w:rsidR="00106AA2" w:rsidRPr="00F000AD" w:rsidRDefault="00106AA2" w:rsidP="008239CE">
            <w:pPr>
              <w:rPr>
                <w:b/>
                <w:iCs/>
                <w:lang w:val="en-US"/>
              </w:rPr>
            </w:pPr>
            <w:r w:rsidRPr="00F000AD">
              <w:rPr>
                <w:b/>
                <w:iCs/>
                <w:lang w:val="en-US"/>
              </w:rPr>
              <w:t xml:space="preserve">Code </w:t>
            </w:r>
          </w:p>
        </w:tc>
        <w:tc>
          <w:tcPr>
            <w:tcW w:w="2175" w:type="dxa"/>
            <w:tcBorders>
              <w:top w:val="single" w:sz="4" w:space="0" w:color="auto"/>
              <w:left w:val="single" w:sz="4" w:space="0" w:color="auto"/>
              <w:bottom w:val="single" w:sz="4" w:space="0" w:color="auto"/>
              <w:right w:val="single" w:sz="4" w:space="0" w:color="auto"/>
            </w:tcBorders>
            <w:hideMark/>
          </w:tcPr>
          <w:p w:rsidR="00106AA2" w:rsidRPr="00F000AD" w:rsidRDefault="00106AA2" w:rsidP="008239CE">
            <w:pPr>
              <w:rPr>
                <w:b/>
                <w:iCs/>
                <w:lang w:val="en-US"/>
              </w:rPr>
            </w:pPr>
            <w:r w:rsidRPr="00F000AD">
              <w:rPr>
                <w:b/>
                <w:iCs/>
                <w:lang w:val="en-US"/>
              </w:rPr>
              <w:t>Amount (EUR)</w:t>
            </w:r>
          </w:p>
        </w:tc>
      </w:tr>
      <w:tr w:rsidR="00106AA2" w:rsidRPr="007B330B" w:rsidTr="008239CE">
        <w:tc>
          <w:tcPr>
            <w:tcW w:w="1599" w:type="dxa"/>
            <w:tcBorders>
              <w:top w:val="single" w:sz="4" w:space="0" w:color="auto"/>
              <w:left w:val="single" w:sz="4" w:space="0" w:color="auto"/>
              <w:bottom w:val="single" w:sz="4" w:space="0" w:color="auto"/>
              <w:right w:val="single" w:sz="4" w:space="0" w:color="auto"/>
            </w:tcBorders>
          </w:tcPr>
          <w:p w:rsidR="00106AA2" w:rsidRPr="007B330B" w:rsidRDefault="00106AA2" w:rsidP="008239CE">
            <w:pPr>
              <w:rPr>
                <w:b/>
                <w:iCs/>
                <w:lang w:val="en-US"/>
              </w:rPr>
            </w:pPr>
            <w:r w:rsidRPr="007B330B">
              <w:rPr>
                <w:b/>
                <w:iCs/>
                <w:lang w:val="en-US"/>
              </w:rPr>
              <w:t>2</w:t>
            </w:r>
          </w:p>
        </w:tc>
        <w:tc>
          <w:tcPr>
            <w:tcW w:w="1384" w:type="dxa"/>
            <w:tcBorders>
              <w:top w:val="single" w:sz="4" w:space="0" w:color="auto"/>
              <w:left w:val="single" w:sz="4" w:space="0" w:color="auto"/>
              <w:bottom w:val="single" w:sz="4" w:space="0" w:color="auto"/>
              <w:right w:val="single" w:sz="4" w:space="0" w:color="auto"/>
            </w:tcBorders>
          </w:tcPr>
          <w:p w:rsidR="00106AA2" w:rsidRPr="007B330B" w:rsidRDefault="00106AA2" w:rsidP="008239CE">
            <w:pPr>
              <w:rPr>
                <w:b/>
                <w:iCs/>
                <w:lang w:val="en-US"/>
              </w:rPr>
            </w:pPr>
            <w:r w:rsidRPr="007B330B">
              <w:rPr>
                <w:b/>
                <w:iCs/>
                <w:lang w:val="en-US"/>
              </w:rPr>
              <w:t>FEDR</w:t>
            </w:r>
          </w:p>
        </w:tc>
        <w:tc>
          <w:tcPr>
            <w:tcW w:w="1433" w:type="dxa"/>
            <w:tcBorders>
              <w:top w:val="single" w:sz="4" w:space="0" w:color="auto"/>
              <w:left w:val="single" w:sz="4" w:space="0" w:color="auto"/>
              <w:bottom w:val="single" w:sz="4" w:space="0" w:color="auto"/>
              <w:right w:val="single" w:sz="4" w:space="0" w:color="auto"/>
            </w:tcBorders>
          </w:tcPr>
          <w:p w:rsidR="00106AA2" w:rsidRPr="007B330B" w:rsidRDefault="00106AA2" w:rsidP="008239CE">
            <w:pPr>
              <w:rPr>
                <w:b/>
                <w:iCs/>
                <w:lang w:val="en-US"/>
              </w:rPr>
            </w:pPr>
            <w:r w:rsidRPr="007B330B">
              <w:rPr>
                <w:b/>
                <w:iCs/>
                <w:lang w:val="en-US"/>
              </w:rPr>
              <w:t>Mai putin dezvoltată</w:t>
            </w:r>
          </w:p>
        </w:tc>
        <w:tc>
          <w:tcPr>
            <w:tcW w:w="1053" w:type="dxa"/>
            <w:tcBorders>
              <w:top w:val="single" w:sz="4" w:space="0" w:color="auto"/>
              <w:left w:val="single" w:sz="4" w:space="0" w:color="auto"/>
              <w:bottom w:val="single" w:sz="4" w:space="0" w:color="auto"/>
              <w:right w:val="single" w:sz="4" w:space="0" w:color="auto"/>
            </w:tcBorders>
          </w:tcPr>
          <w:p w:rsidR="00106AA2" w:rsidRPr="007B330B" w:rsidRDefault="00106AA2" w:rsidP="008239CE">
            <w:pPr>
              <w:rPr>
                <w:b/>
                <w:iCs/>
                <w:lang w:val="en-US"/>
              </w:rPr>
            </w:pPr>
            <w:r w:rsidRPr="007B330B">
              <w:rPr>
                <w:b/>
                <w:iCs/>
                <w:lang w:val="en-US"/>
              </w:rPr>
              <w:t>01</w:t>
            </w:r>
          </w:p>
        </w:tc>
        <w:tc>
          <w:tcPr>
            <w:tcW w:w="2175" w:type="dxa"/>
            <w:tcBorders>
              <w:top w:val="single" w:sz="4" w:space="0" w:color="auto"/>
              <w:left w:val="single" w:sz="4" w:space="0" w:color="auto"/>
              <w:bottom w:val="single" w:sz="4" w:space="0" w:color="auto"/>
              <w:right w:val="single" w:sz="4" w:space="0" w:color="auto"/>
            </w:tcBorders>
          </w:tcPr>
          <w:p w:rsidR="00106AA2" w:rsidRPr="007B330B" w:rsidRDefault="00E912F0" w:rsidP="008239CE">
            <w:pPr>
              <w:rPr>
                <w:b/>
                <w:iCs/>
                <w:lang w:val="en-US"/>
              </w:rPr>
            </w:pPr>
            <w:r>
              <w:rPr>
                <w:b/>
                <w:iCs/>
                <w:lang w:val="en-US"/>
              </w:rPr>
              <w:t>116.381.143</w:t>
            </w:r>
          </w:p>
        </w:tc>
      </w:tr>
    </w:tbl>
    <w:p w:rsidR="00106AA2" w:rsidRPr="007B330B" w:rsidRDefault="00106AA2" w:rsidP="00106AA2">
      <w:pPr>
        <w:rPr>
          <w:b/>
          <w:iC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433"/>
        <w:gridCol w:w="1053"/>
        <w:gridCol w:w="1644"/>
        <w:gridCol w:w="531"/>
      </w:tblGrid>
      <w:tr w:rsidR="00106AA2" w:rsidRPr="007B330B" w:rsidTr="008239CE">
        <w:tc>
          <w:tcPr>
            <w:tcW w:w="7644" w:type="dxa"/>
            <w:gridSpan w:val="6"/>
            <w:tcBorders>
              <w:top w:val="single" w:sz="4" w:space="0" w:color="auto"/>
              <w:left w:val="single" w:sz="4" w:space="0" w:color="auto"/>
              <w:bottom w:val="single" w:sz="4" w:space="0" w:color="auto"/>
              <w:right w:val="single" w:sz="4" w:space="0" w:color="auto"/>
            </w:tcBorders>
            <w:hideMark/>
          </w:tcPr>
          <w:p w:rsidR="00106AA2" w:rsidRPr="007B330B" w:rsidRDefault="00106AA2" w:rsidP="008239CE">
            <w:pPr>
              <w:rPr>
                <w:b/>
                <w:iCs/>
                <w:lang w:val="en-US"/>
              </w:rPr>
            </w:pPr>
            <w:r w:rsidRPr="007B330B">
              <w:rPr>
                <w:b/>
                <w:iCs/>
                <w:lang w:val="en-US"/>
              </w:rPr>
              <w:t>Table 6: Dimension 3 – territorial delivery mechanism and territorial focus</w:t>
            </w:r>
          </w:p>
        </w:tc>
      </w:tr>
      <w:tr w:rsidR="00106AA2" w:rsidRPr="007B330B" w:rsidTr="008239CE">
        <w:tc>
          <w:tcPr>
            <w:tcW w:w="1599" w:type="dxa"/>
            <w:tcBorders>
              <w:top w:val="single" w:sz="4" w:space="0" w:color="auto"/>
              <w:left w:val="single" w:sz="4" w:space="0" w:color="auto"/>
              <w:bottom w:val="single" w:sz="4" w:space="0" w:color="auto"/>
              <w:right w:val="single" w:sz="4" w:space="0" w:color="auto"/>
            </w:tcBorders>
            <w:hideMark/>
          </w:tcPr>
          <w:p w:rsidR="00106AA2" w:rsidRPr="007B330B" w:rsidRDefault="00106AA2" w:rsidP="008239CE">
            <w:pPr>
              <w:rPr>
                <w:b/>
                <w:iCs/>
                <w:lang w:val="en-US"/>
              </w:rPr>
            </w:pPr>
            <w:r w:rsidRPr="007B330B">
              <w:rPr>
                <w:b/>
                <w:iCs/>
                <w:lang w:val="en-US"/>
              </w:rPr>
              <w:t>Priority No</w:t>
            </w:r>
          </w:p>
        </w:tc>
        <w:tc>
          <w:tcPr>
            <w:tcW w:w="1384" w:type="dxa"/>
            <w:tcBorders>
              <w:top w:val="single" w:sz="4" w:space="0" w:color="auto"/>
              <w:left w:val="single" w:sz="4" w:space="0" w:color="auto"/>
              <w:bottom w:val="single" w:sz="4" w:space="0" w:color="auto"/>
              <w:right w:val="single" w:sz="4" w:space="0" w:color="auto"/>
            </w:tcBorders>
            <w:hideMark/>
          </w:tcPr>
          <w:p w:rsidR="00106AA2" w:rsidRPr="007B330B" w:rsidRDefault="00106AA2" w:rsidP="008239CE">
            <w:pPr>
              <w:rPr>
                <w:b/>
                <w:iCs/>
                <w:lang w:val="en-US"/>
              </w:rPr>
            </w:pPr>
            <w:r w:rsidRPr="007B330B">
              <w:rPr>
                <w:b/>
                <w:iCs/>
                <w:lang w:val="en-US"/>
              </w:rPr>
              <w:t>Fund</w:t>
            </w:r>
          </w:p>
        </w:tc>
        <w:tc>
          <w:tcPr>
            <w:tcW w:w="1433" w:type="dxa"/>
            <w:tcBorders>
              <w:top w:val="single" w:sz="4" w:space="0" w:color="auto"/>
              <w:left w:val="single" w:sz="4" w:space="0" w:color="auto"/>
              <w:bottom w:val="single" w:sz="4" w:space="0" w:color="auto"/>
              <w:right w:val="single" w:sz="4" w:space="0" w:color="auto"/>
            </w:tcBorders>
            <w:hideMark/>
          </w:tcPr>
          <w:p w:rsidR="00106AA2" w:rsidRPr="007B330B" w:rsidRDefault="00106AA2" w:rsidP="008239CE">
            <w:pPr>
              <w:rPr>
                <w:b/>
                <w:iCs/>
                <w:lang w:val="en-US"/>
              </w:rPr>
            </w:pPr>
            <w:r w:rsidRPr="007B330B">
              <w:rPr>
                <w:b/>
                <w:iCs/>
                <w:lang w:val="en-US"/>
              </w:rPr>
              <w:t>Category of region</w:t>
            </w:r>
            <w:r w:rsidRPr="007B330B">
              <w:rPr>
                <w:b/>
                <w:iCs/>
                <w:vertAlign w:val="superscript"/>
                <w:lang w:val="en-US"/>
              </w:rPr>
              <w:footnoteReference w:id="33"/>
            </w:r>
          </w:p>
        </w:tc>
        <w:tc>
          <w:tcPr>
            <w:tcW w:w="1053" w:type="dxa"/>
            <w:tcBorders>
              <w:top w:val="single" w:sz="4" w:space="0" w:color="auto"/>
              <w:left w:val="single" w:sz="4" w:space="0" w:color="auto"/>
              <w:bottom w:val="single" w:sz="4" w:space="0" w:color="auto"/>
              <w:right w:val="single" w:sz="4" w:space="0" w:color="auto"/>
            </w:tcBorders>
            <w:hideMark/>
          </w:tcPr>
          <w:p w:rsidR="00106AA2" w:rsidRPr="007B330B" w:rsidRDefault="00106AA2" w:rsidP="008239CE">
            <w:pPr>
              <w:rPr>
                <w:b/>
                <w:iCs/>
                <w:lang w:val="en-US"/>
              </w:rPr>
            </w:pPr>
            <w:r w:rsidRPr="007B330B">
              <w:rPr>
                <w:b/>
                <w:iCs/>
                <w:lang w:val="en-US"/>
              </w:rPr>
              <w:t xml:space="preserve">Code </w:t>
            </w:r>
          </w:p>
        </w:tc>
        <w:tc>
          <w:tcPr>
            <w:tcW w:w="2175" w:type="dxa"/>
            <w:gridSpan w:val="2"/>
            <w:tcBorders>
              <w:top w:val="single" w:sz="4" w:space="0" w:color="auto"/>
              <w:left w:val="single" w:sz="4" w:space="0" w:color="auto"/>
              <w:bottom w:val="single" w:sz="4" w:space="0" w:color="auto"/>
              <w:right w:val="single" w:sz="4" w:space="0" w:color="auto"/>
            </w:tcBorders>
            <w:hideMark/>
          </w:tcPr>
          <w:p w:rsidR="00106AA2" w:rsidRPr="007B330B" w:rsidRDefault="00106AA2" w:rsidP="008239CE">
            <w:pPr>
              <w:rPr>
                <w:b/>
                <w:iCs/>
                <w:lang w:val="en-US"/>
              </w:rPr>
            </w:pPr>
            <w:r w:rsidRPr="007B330B">
              <w:rPr>
                <w:b/>
                <w:iCs/>
                <w:lang w:val="en-US"/>
              </w:rPr>
              <w:t>Amount (EUR)</w:t>
            </w:r>
          </w:p>
        </w:tc>
      </w:tr>
      <w:tr w:rsidR="00106AA2" w:rsidRPr="007B330B" w:rsidTr="008239CE">
        <w:tc>
          <w:tcPr>
            <w:tcW w:w="1599" w:type="dxa"/>
            <w:tcBorders>
              <w:top w:val="single" w:sz="4" w:space="0" w:color="auto"/>
              <w:left w:val="single" w:sz="4" w:space="0" w:color="auto"/>
              <w:bottom w:val="single" w:sz="4" w:space="0" w:color="auto"/>
              <w:right w:val="single" w:sz="4" w:space="0" w:color="auto"/>
            </w:tcBorders>
          </w:tcPr>
          <w:p w:rsidR="00106AA2" w:rsidRPr="007B330B" w:rsidRDefault="00106AA2" w:rsidP="008239CE">
            <w:pPr>
              <w:rPr>
                <w:b/>
                <w:iCs/>
                <w:lang w:val="en-US"/>
              </w:rPr>
            </w:pPr>
            <w:r w:rsidRPr="007B330B">
              <w:rPr>
                <w:b/>
                <w:iCs/>
                <w:lang w:val="en-US"/>
              </w:rPr>
              <w:t>2</w:t>
            </w:r>
          </w:p>
        </w:tc>
        <w:tc>
          <w:tcPr>
            <w:tcW w:w="1384" w:type="dxa"/>
            <w:tcBorders>
              <w:top w:val="single" w:sz="4" w:space="0" w:color="auto"/>
              <w:left w:val="single" w:sz="4" w:space="0" w:color="auto"/>
              <w:bottom w:val="single" w:sz="4" w:space="0" w:color="auto"/>
              <w:right w:val="single" w:sz="4" w:space="0" w:color="auto"/>
            </w:tcBorders>
          </w:tcPr>
          <w:p w:rsidR="00106AA2" w:rsidRPr="007B330B" w:rsidRDefault="00106AA2" w:rsidP="008239CE">
            <w:pPr>
              <w:rPr>
                <w:b/>
                <w:iCs/>
                <w:lang w:val="en-US"/>
              </w:rPr>
            </w:pPr>
            <w:r w:rsidRPr="007B330B">
              <w:rPr>
                <w:b/>
                <w:iCs/>
                <w:lang w:val="en-US"/>
              </w:rPr>
              <w:t>FEDR</w:t>
            </w:r>
          </w:p>
        </w:tc>
        <w:tc>
          <w:tcPr>
            <w:tcW w:w="1433" w:type="dxa"/>
            <w:tcBorders>
              <w:top w:val="single" w:sz="4" w:space="0" w:color="auto"/>
              <w:left w:val="single" w:sz="4" w:space="0" w:color="auto"/>
              <w:bottom w:val="single" w:sz="4" w:space="0" w:color="auto"/>
              <w:right w:val="single" w:sz="4" w:space="0" w:color="auto"/>
            </w:tcBorders>
          </w:tcPr>
          <w:p w:rsidR="00106AA2" w:rsidRPr="007B330B" w:rsidRDefault="00106AA2" w:rsidP="008239CE">
            <w:pPr>
              <w:rPr>
                <w:b/>
                <w:iCs/>
                <w:lang w:val="en-US"/>
              </w:rPr>
            </w:pPr>
            <w:r w:rsidRPr="007B330B">
              <w:rPr>
                <w:b/>
                <w:iCs/>
                <w:lang w:val="en-US"/>
              </w:rPr>
              <w:t>Mai putin dezvoltată</w:t>
            </w:r>
          </w:p>
        </w:tc>
        <w:tc>
          <w:tcPr>
            <w:tcW w:w="1053" w:type="dxa"/>
            <w:tcBorders>
              <w:top w:val="single" w:sz="4" w:space="0" w:color="auto"/>
              <w:left w:val="single" w:sz="4" w:space="0" w:color="auto"/>
              <w:bottom w:val="single" w:sz="4" w:space="0" w:color="auto"/>
              <w:right w:val="single" w:sz="4" w:space="0" w:color="auto"/>
            </w:tcBorders>
          </w:tcPr>
          <w:p w:rsidR="00106AA2" w:rsidRPr="007B330B" w:rsidRDefault="00106AA2" w:rsidP="008239CE">
            <w:pPr>
              <w:rPr>
                <w:b/>
                <w:iCs/>
                <w:lang w:val="en-US"/>
              </w:rPr>
            </w:pPr>
            <w:r w:rsidRPr="007B330B">
              <w:rPr>
                <w:b/>
                <w:iCs/>
                <w:lang w:val="en-US"/>
              </w:rPr>
              <w:t>48</w:t>
            </w:r>
          </w:p>
        </w:tc>
        <w:tc>
          <w:tcPr>
            <w:tcW w:w="1644" w:type="dxa"/>
            <w:tcBorders>
              <w:top w:val="single" w:sz="4" w:space="0" w:color="auto"/>
              <w:left w:val="single" w:sz="4" w:space="0" w:color="auto"/>
              <w:bottom w:val="single" w:sz="4" w:space="0" w:color="auto"/>
              <w:right w:val="single" w:sz="4" w:space="0" w:color="auto"/>
            </w:tcBorders>
          </w:tcPr>
          <w:p w:rsidR="00106AA2" w:rsidRPr="007B330B" w:rsidRDefault="00E912F0" w:rsidP="008239CE">
            <w:pPr>
              <w:rPr>
                <w:b/>
                <w:iCs/>
                <w:lang w:val="en-US"/>
              </w:rPr>
            </w:pPr>
            <w:r>
              <w:rPr>
                <w:b/>
                <w:iCs/>
                <w:lang w:val="en-US"/>
              </w:rPr>
              <w:t>116.381.143</w:t>
            </w:r>
          </w:p>
        </w:tc>
        <w:tc>
          <w:tcPr>
            <w:tcW w:w="531" w:type="dxa"/>
            <w:tcBorders>
              <w:top w:val="single" w:sz="4" w:space="0" w:color="auto"/>
              <w:left w:val="single" w:sz="4" w:space="0" w:color="auto"/>
              <w:bottom w:val="single" w:sz="4" w:space="0" w:color="auto"/>
              <w:right w:val="single" w:sz="4" w:space="0" w:color="auto"/>
            </w:tcBorders>
          </w:tcPr>
          <w:p w:rsidR="00106AA2" w:rsidRPr="007B330B" w:rsidRDefault="00106AA2" w:rsidP="008239CE">
            <w:pPr>
              <w:rPr>
                <w:b/>
                <w:iCs/>
                <w:lang w:val="en-US"/>
              </w:rPr>
            </w:pPr>
          </w:p>
        </w:tc>
      </w:tr>
    </w:tbl>
    <w:p w:rsidR="00E91EF6" w:rsidRPr="00F000AD" w:rsidRDefault="00E91EF6" w:rsidP="00E91EF6">
      <w:pPr>
        <w:rPr>
          <w:b/>
          <w:iC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433"/>
        <w:gridCol w:w="1053"/>
        <w:gridCol w:w="2175"/>
      </w:tblGrid>
      <w:tr w:rsidR="00E91EF6" w:rsidRPr="00F000AD" w:rsidTr="005025B9">
        <w:tc>
          <w:tcPr>
            <w:tcW w:w="7644" w:type="dxa"/>
            <w:gridSpan w:val="5"/>
            <w:tcBorders>
              <w:top w:val="single" w:sz="4" w:space="0" w:color="auto"/>
              <w:left w:val="single" w:sz="4" w:space="0" w:color="auto"/>
              <w:bottom w:val="single" w:sz="4" w:space="0" w:color="auto"/>
              <w:right w:val="single" w:sz="4" w:space="0" w:color="auto"/>
            </w:tcBorders>
            <w:hideMark/>
          </w:tcPr>
          <w:p w:rsidR="00E91EF6" w:rsidRPr="007B330B" w:rsidRDefault="00E91EF6" w:rsidP="005025B9">
            <w:pPr>
              <w:rPr>
                <w:b/>
                <w:iCs/>
                <w:lang w:val="en-US"/>
              </w:rPr>
            </w:pPr>
            <w:r w:rsidRPr="007B330B">
              <w:rPr>
                <w:b/>
                <w:iCs/>
                <w:lang w:val="en-US"/>
              </w:rPr>
              <w:lastRenderedPageBreak/>
              <w:t>Table 7: Dimension 6 – ESF+ secondary themes</w:t>
            </w:r>
          </w:p>
        </w:tc>
      </w:tr>
      <w:tr w:rsidR="00E91EF6" w:rsidRPr="00F000AD" w:rsidTr="005025B9">
        <w:tc>
          <w:tcPr>
            <w:tcW w:w="1599" w:type="dxa"/>
            <w:tcBorders>
              <w:top w:val="single" w:sz="4" w:space="0" w:color="auto"/>
              <w:left w:val="single" w:sz="4" w:space="0" w:color="auto"/>
              <w:bottom w:val="single" w:sz="4" w:space="0" w:color="auto"/>
              <w:right w:val="single" w:sz="4" w:space="0" w:color="auto"/>
            </w:tcBorders>
            <w:hideMark/>
          </w:tcPr>
          <w:p w:rsidR="00E91EF6" w:rsidRPr="007B330B" w:rsidRDefault="00E91EF6" w:rsidP="005025B9">
            <w:pPr>
              <w:rPr>
                <w:b/>
                <w:iCs/>
                <w:lang w:val="en-US"/>
              </w:rPr>
            </w:pPr>
            <w:r w:rsidRPr="007B330B">
              <w:rPr>
                <w:b/>
                <w:iCs/>
                <w:lang w:val="en-US"/>
              </w:rPr>
              <w:t>Priority No 2</w:t>
            </w:r>
          </w:p>
        </w:tc>
        <w:tc>
          <w:tcPr>
            <w:tcW w:w="1384" w:type="dxa"/>
            <w:tcBorders>
              <w:top w:val="single" w:sz="4" w:space="0" w:color="auto"/>
              <w:left w:val="single" w:sz="4" w:space="0" w:color="auto"/>
              <w:bottom w:val="single" w:sz="4" w:space="0" w:color="auto"/>
              <w:right w:val="single" w:sz="4" w:space="0" w:color="auto"/>
            </w:tcBorders>
            <w:hideMark/>
          </w:tcPr>
          <w:p w:rsidR="00E91EF6" w:rsidRPr="007B330B" w:rsidRDefault="00E91EF6" w:rsidP="005025B9">
            <w:pPr>
              <w:rPr>
                <w:b/>
                <w:iCs/>
                <w:lang w:val="en-US"/>
              </w:rPr>
            </w:pPr>
            <w:r w:rsidRPr="007B330B">
              <w:rPr>
                <w:b/>
                <w:iCs/>
                <w:lang w:val="en-US"/>
              </w:rPr>
              <w:t>Fund</w:t>
            </w:r>
          </w:p>
        </w:tc>
        <w:tc>
          <w:tcPr>
            <w:tcW w:w="1433" w:type="dxa"/>
            <w:tcBorders>
              <w:top w:val="single" w:sz="4" w:space="0" w:color="auto"/>
              <w:left w:val="single" w:sz="4" w:space="0" w:color="auto"/>
              <w:bottom w:val="single" w:sz="4" w:space="0" w:color="auto"/>
              <w:right w:val="single" w:sz="4" w:space="0" w:color="auto"/>
            </w:tcBorders>
            <w:hideMark/>
          </w:tcPr>
          <w:p w:rsidR="00E91EF6" w:rsidRPr="007B330B" w:rsidRDefault="00E91EF6" w:rsidP="005025B9">
            <w:pPr>
              <w:rPr>
                <w:b/>
                <w:iCs/>
                <w:lang w:val="en-US"/>
              </w:rPr>
            </w:pPr>
            <w:r w:rsidRPr="007B330B">
              <w:rPr>
                <w:b/>
                <w:iCs/>
                <w:lang w:val="en-US"/>
              </w:rPr>
              <w:t>Category of region</w:t>
            </w:r>
          </w:p>
        </w:tc>
        <w:tc>
          <w:tcPr>
            <w:tcW w:w="1053" w:type="dxa"/>
            <w:tcBorders>
              <w:top w:val="single" w:sz="4" w:space="0" w:color="auto"/>
              <w:left w:val="single" w:sz="4" w:space="0" w:color="auto"/>
              <w:bottom w:val="single" w:sz="4" w:space="0" w:color="auto"/>
              <w:right w:val="single" w:sz="4" w:space="0" w:color="auto"/>
            </w:tcBorders>
            <w:hideMark/>
          </w:tcPr>
          <w:p w:rsidR="00E91EF6" w:rsidRPr="007B330B" w:rsidRDefault="00E91EF6" w:rsidP="005025B9">
            <w:pPr>
              <w:rPr>
                <w:b/>
                <w:iCs/>
                <w:lang w:val="en-US"/>
              </w:rPr>
            </w:pPr>
            <w:r w:rsidRPr="007B330B">
              <w:rPr>
                <w:b/>
                <w:iCs/>
                <w:lang w:val="en-US"/>
              </w:rPr>
              <w:t xml:space="preserve">Code </w:t>
            </w:r>
          </w:p>
        </w:tc>
        <w:tc>
          <w:tcPr>
            <w:tcW w:w="2175" w:type="dxa"/>
            <w:tcBorders>
              <w:top w:val="single" w:sz="4" w:space="0" w:color="auto"/>
              <w:left w:val="single" w:sz="4" w:space="0" w:color="auto"/>
              <w:bottom w:val="single" w:sz="4" w:space="0" w:color="auto"/>
              <w:right w:val="single" w:sz="4" w:space="0" w:color="auto"/>
            </w:tcBorders>
            <w:hideMark/>
          </w:tcPr>
          <w:p w:rsidR="00E91EF6" w:rsidRPr="007B330B" w:rsidRDefault="00E91EF6" w:rsidP="005025B9">
            <w:pPr>
              <w:rPr>
                <w:b/>
                <w:iCs/>
                <w:lang w:val="en-US"/>
              </w:rPr>
            </w:pPr>
            <w:r w:rsidRPr="007B330B">
              <w:rPr>
                <w:b/>
                <w:iCs/>
                <w:lang w:val="en-US"/>
              </w:rPr>
              <w:t>Amount (EUR)</w:t>
            </w:r>
          </w:p>
        </w:tc>
      </w:tr>
      <w:tr w:rsidR="00E91EF6" w:rsidRPr="00F000AD" w:rsidTr="005025B9">
        <w:tc>
          <w:tcPr>
            <w:tcW w:w="1599" w:type="dxa"/>
            <w:tcBorders>
              <w:top w:val="single" w:sz="4" w:space="0" w:color="auto"/>
              <w:left w:val="single" w:sz="4" w:space="0" w:color="auto"/>
              <w:bottom w:val="single" w:sz="4" w:space="0" w:color="auto"/>
              <w:right w:val="single" w:sz="4" w:space="0" w:color="auto"/>
            </w:tcBorders>
          </w:tcPr>
          <w:p w:rsidR="00E91EF6" w:rsidRPr="007B330B" w:rsidRDefault="00E91EF6" w:rsidP="005025B9">
            <w:pPr>
              <w:rPr>
                <w:b/>
                <w:iCs/>
                <w:lang w:val="en-US"/>
              </w:rPr>
            </w:pPr>
          </w:p>
        </w:tc>
        <w:tc>
          <w:tcPr>
            <w:tcW w:w="1384" w:type="dxa"/>
            <w:tcBorders>
              <w:top w:val="single" w:sz="4" w:space="0" w:color="auto"/>
              <w:left w:val="single" w:sz="4" w:space="0" w:color="auto"/>
              <w:bottom w:val="single" w:sz="4" w:space="0" w:color="auto"/>
              <w:right w:val="single" w:sz="4" w:space="0" w:color="auto"/>
            </w:tcBorders>
          </w:tcPr>
          <w:p w:rsidR="00E91EF6" w:rsidRPr="007B330B" w:rsidRDefault="00E91EF6" w:rsidP="005025B9">
            <w:pPr>
              <w:rPr>
                <w:b/>
                <w:iCs/>
                <w:lang w:val="en-US"/>
              </w:rPr>
            </w:pPr>
          </w:p>
        </w:tc>
        <w:tc>
          <w:tcPr>
            <w:tcW w:w="1433" w:type="dxa"/>
            <w:tcBorders>
              <w:top w:val="single" w:sz="4" w:space="0" w:color="auto"/>
              <w:left w:val="single" w:sz="4" w:space="0" w:color="auto"/>
              <w:bottom w:val="single" w:sz="4" w:space="0" w:color="auto"/>
              <w:right w:val="single" w:sz="4" w:space="0" w:color="auto"/>
            </w:tcBorders>
          </w:tcPr>
          <w:p w:rsidR="00E91EF6" w:rsidRPr="007B330B" w:rsidRDefault="00E91EF6" w:rsidP="005025B9">
            <w:pPr>
              <w:rPr>
                <w:b/>
                <w:iCs/>
                <w:lang w:val="en-US"/>
              </w:rPr>
            </w:pPr>
          </w:p>
        </w:tc>
        <w:tc>
          <w:tcPr>
            <w:tcW w:w="1053" w:type="dxa"/>
            <w:tcBorders>
              <w:top w:val="single" w:sz="4" w:space="0" w:color="auto"/>
              <w:left w:val="single" w:sz="4" w:space="0" w:color="auto"/>
              <w:bottom w:val="single" w:sz="4" w:space="0" w:color="auto"/>
              <w:right w:val="single" w:sz="4" w:space="0" w:color="auto"/>
            </w:tcBorders>
          </w:tcPr>
          <w:p w:rsidR="00E91EF6" w:rsidRPr="007B330B" w:rsidRDefault="00E91EF6" w:rsidP="005025B9">
            <w:pPr>
              <w:rPr>
                <w:b/>
                <w:iCs/>
                <w:lang w:val="en-US"/>
              </w:rPr>
            </w:pPr>
          </w:p>
        </w:tc>
        <w:tc>
          <w:tcPr>
            <w:tcW w:w="2175" w:type="dxa"/>
            <w:tcBorders>
              <w:top w:val="single" w:sz="4" w:space="0" w:color="auto"/>
              <w:left w:val="single" w:sz="4" w:space="0" w:color="auto"/>
              <w:bottom w:val="single" w:sz="4" w:space="0" w:color="auto"/>
              <w:right w:val="single" w:sz="4" w:space="0" w:color="auto"/>
            </w:tcBorders>
          </w:tcPr>
          <w:p w:rsidR="00E91EF6" w:rsidRPr="007B330B" w:rsidRDefault="00E91EF6" w:rsidP="005025B9">
            <w:pPr>
              <w:rPr>
                <w:b/>
                <w:iCs/>
                <w:lang w:val="en-US"/>
              </w:rPr>
            </w:pPr>
          </w:p>
        </w:tc>
      </w:tr>
    </w:tbl>
    <w:p w:rsidR="00E91EF6" w:rsidRDefault="00E91EF6" w:rsidP="00E91EF6">
      <w:pPr>
        <w:tabs>
          <w:tab w:val="left" w:pos="3150"/>
        </w:tabs>
        <w:rPr>
          <w:lang w:val="en-GB"/>
        </w:rPr>
      </w:pPr>
    </w:p>
    <w:p w:rsidR="00E91EF6" w:rsidRDefault="00E91EF6" w:rsidP="00E91EF6">
      <w:pPr>
        <w:spacing w:before="240" w:after="240" w:line="360" w:lineRule="auto"/>
        <w:rPr>
          <w:rFonts w:ascii="Times New Roman" w:eastAsia="Times New Roman" w:hAnsi="Times New Roman" w:cs="Times New Roman"/>
          <w:b/>
          <w:iCs/>
          <w:noProof/>
          <w:sz w:val="24"/>
          <w:szCs w:val="24"/>
          <w:lang w:val="en-GB"/>
        </w:rPr>
      </w:pPr>
      <w:r w:rsidRPr="002E744B">
        <w:rPr>
          <w:rFonts w:ascii="Times New Roman" w:eastAsia="Times New Roman" w:hAnsi="Times New Roman" w:cs="Times New Roman"/>
          <w:b/>
          <w:iCs/>
          <w:noProof/>
          <w:sz w:val="24"/>
          <w:szCs w:val="24"/>
          <w:lang w:val="en-GB"/>
        </w:rPr>
        <w:t>2.A.3 Specific objective</w:t>
      </w:r>
      <w:r w:rsidRPr="002E744B">
        <w:rPr>
          <w:rFonts w:ascii="Times New Roman" w:eastAsia="Times New Roman" w:hAnsi="Times New Roman" w:cs="Times New Roman"/>
          <w:b/>
          <w:bCs/>
          <w:iCs/>
          <w:noProof/>
          <w:sz w:val="24"/>
          <w:szCs w:val="24"/>
          <w:vertAlign w:val="superscript"/>
          <w:lang w:val="en-GB"/>
        </w:rPr>
        <w:footnoteReference w:id="34"/>
      </w:r>
      <w:r w:rsidRPr="002E744B">
        <w:rPr>
          <w:rFonts w:ascii="Times New Roman" w:eastAsia="Times New Roman" w:hAnsi="Times New Roman" w:cs="Times New Roman"/>
          <w:b/>
          <w:iCs/>
          <w:noProof/>
          <w:sz w:val="24"/>
          <w:szCs w:val="24"/>
          <w:lang w:val="en-GB"/>
        </w:rPr>
        <w:t xml:space="preserve">  (Investment for Jobs and Growth goal) repeated for each selected specific objective for priorities other than technical assistance</w:t>
      </w:r>
    </w:p>
    <w:p w:rsidR="00E91EF6" w:rsidRPr="002E744B" w:rsidRDefault="00E91EF6" w:rsidP="00E91EF6">
      <w:pPr>
        <w:spacing w:before="240" w:after="240" w:line="360" w:lineRule="auto"/>
        <w:rPr>
          <w:rFonts w:ascii="Times New Roman" w:eastAsia="Times New Roman" w:hAnsi="Times New Roman" w:cs="Times New Roman"/>
          <w:b/>
          <w:iCs/>
          <w:noProof/>
          <w:sz w:val="24"/>
          <w:szCs w:val="24"/>
          <w:lang w:val="en-GB"/>
        </w:rPr>
      </w:pPr>
      <w:r w:rsidRPr="00A332B5">
        <w:rPr>
          <w:rFonts w:ascii="Times New Roman" w:eastAsia="Times New Roman" w:hAnsi="Times New Roman" w:cs="Times New Roman"/>
          <w:b/>
          <w:iCs/>
          <w:noProof/>
          <w:sz w:val="24"/>
          <w:szCs w:val="24"/>
          <w:lang w:val="en-GB"/>
        </w:rPr>
        <w:t>OS - a (ii) Fructificarea avantajelor digitalizării, în beneficiul cetățenilor, al companiilor și al guvernelor</w:t>
      </w:r>
    </w:p>
    <w:p w:rsidR="00E91EF6" w:rsidRPr="002E744B" w:rsidRDefault="00E91EF6" w:rsidP="00E91EF6">
      <w:pPr>
        <w:spacing w:before="240" w:after="240" w:line="360" w:lineRule="auto"/>
        <w:rPr>
          <w:rFonts w:ascii="Times New Roman" w:eastAsia="Times New Roman" w:hAnsi="Times New Roman" w:cs="Times New Roman"/>
          <w:b/>
          <w:iCs/>
          <w:noProof/>
          <w:sz w:val="24"/>
          <w:szCs w:val="24"/>
          <w:lang w:val="en-GB"/>
        </w:rPr>
      </w:pPr>
      <w:r w:rsidRPr="002E744B">
        <w:rPr>
          <w:rFonts w:ascii="Times New Roman" w:eastAsia="Times New Roman" w:hAnsi="Times New Roman" w:cs="Times New Roman"/>
          <w:b/>
          <w:iCs/>
          <w:noProof/>
          <w:sz w:val="24"/>
          <w:szCs w:val="24"/>
          <w:lang w:val="en-GB"/>
        </w:rPr>
        <w:t>2.A.3.1 Interventions of the Funds</w:t>
      </w:r>
    </w:p>
    <w:p w:rsidR="00E91EF6" w:rsidRPr="002E744B" w:rsidRDefault="00E91EF6" w:rsidP="00E91EF6">
      <w:pPr>
        <w:spacing w:before="120" w:after="120" w:line="360" w:lineRule="auto"/>
        <w:rPr>
          <w:rFonts w:ascii="Times New Roman" w:eastAsia="Times New Roman" w:hAnsi="Times New Roman" w:cs="Times New Roman"/>
          <w:i/>
          <w:noProof/>
          <w:sz w:val="24"/>
          <w:szCs w:val="24"/>
          <w:lang w:val="en-GB"/>
        </w:rPr>
      </w:pPr>
      <w:r w:rsidRPr="002E744B">
        <w:rPr>
          <w:rFonts w:ascii="Times New Roman" w:eastAsia="Times New Roman" w:hAnsi="Times New Roman" w:cs="Times New Roman"/>
          <w:i/>
          <w:noProof/>
          <w:sz w:val="24"/>
          <w:szCs w:val="24"/>
          <w:lang w:val="en-GB"/>
        </w:rPr>
        <w:t>Reference: Article 17(3)(d)(i),(iii),(iv),(v),(vi);</w:t>
      </w:r>
    </w:p>
    <w:p w:rsidR="00E91EF6" w:rsidRPr="002E744B" w:rsidRDefault="00E91EF6" w:rsidP="00E91EF6">
      <w:pPr>
        <w:bidi/>
        <w:spacing w:before="120" w:after="120" w:line="360" w:lineRule="auto"/>
        <w:jc w:val="right"/>
        <w:rPr>
          <w:rFonts w:ascii="Times New Roman" w:eastAsia="Times New Roman" w:hAnsi="Times New Roman" w:cs="Times New Roman"/>
          <w:b/>
          <w:bCs/>
          <w:i/>
          <w:iCs/>
          <w:noProof/>
          <w:sz w:val="24"/>
          <w:szCs w:val="24"/>
          <w:u w:val="single"/>
          <w:lang w:val="en-GB"/>
        </w:rPr>
      </w:pPr>
      <w:r w:rsidRPr="002E744B">
        <w:rPr>
          <w:rFonts w:ascii="Times New Roman" w:eastAsia="Times New Roman" w:hAnsi="Times New Roman" w:cs="Times New Roman"/>
          <w:i/>
          <w:noProof/>
          <w:sz w:val="24"/>
          <w:szCs w:val="24"/>
          <w:lang w:val="en-GB"/>
        </w:rPr>
        <w:t>The related types of actions – Article 17(3)(d)(i) CPR; Article 6(2) ESF+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91EF6" w:rsidRPr="002E744B" w:rsidTr="005025B9">
        <w:tc>
          <w:tcPr>
            <w:tcW w:w="9288" w:type="dxa"/>
            <w:tcBorders>
              <w:top w:val="single" w:sz="4" w:space="0" w:color="auto"/>
              <w:left w:val="single" w:sz="4" w:space="0" w:color="auto"/>
              <w:bottom w:val="single" w:sz="4" w:space="0" w:color="auto"/>
              <w:right w:val="single" w:sz="4" w:space="0" w:color="auto"/>
            </w:tcBorders>
            <w:hideMark/>
          </w:tcPr>
          <w:p w:rsidR="00E91EF6" w:rsidRPr="005C75DF" w:rsidRDefault="00E91EF6" w:rsidP="005C75DF">
            <w:pPr>
              <w:spacing w:after="0" w:line="240" w:lineRule="auto"/>
              <w:jc w:val="both"/>
              <w:rPr>
                <w:rFonts w:ascii="Times New Roman" w:eastAsia="Times New Roman" w:hAnsi="Times New Roman" w:cs="Times New Roman"/>
                <w:iCs/>
                <w:noProof/>
                <w:szCs w:val="24"/>
                <w:lang w:val="en-US"/>
              </w:rPr>
            </w:pPr>
            <w:r w:rsidRPr="002E744B">
              <w:rPr>
                <w:rFonts w:ascii="Times New Roman" w:eastAsia="Times New Roman" w:hAnsi="Times New Roman" w:cs="Times New Roman"/>
                <w:i/>
                <w:iCs/>
                <w:noProof/>
                <w:szCs w:val="24"/>
                <w:lang w:val="en-US"/>
              </w:rPr>
              <w:t xml:space="preserve">Text field [8 </w:t>
            </w:r>
            <w:r w:rsidRPr="005C75DF">
              <w:rPr>
                <w:rFonts w:ascii="Times New Roman" w:eastAsia="Times New Roman" w:hAnsi="Times New Roman" w:cs="Times New Roman"/>
                <w:iCs/>
                <w:noProof/>
                <w:szCs w:val="24"/>
                <w:lang w:val="en-US"/>
              </w:rPr>
              <w:t>000]</w:t>
            </w:r>
          </w:p>
          <w:p w:rsidR="00732114" w:rsidRPr="00732114" w:rsidRDefault="00732114" w:rsidP="00732114">
            <w:pPr>
              <w:spacing w:after="0" w:line="240" w:lineRule="auto"/>
              <w:rPr>
                <w:rFonts w:ascii="Times New Roman" w:eastAsia="Times New Roman" w:hAnsi="Times New Roman" w:cs="Times New Roman"/>
                <w:iCs/>
                <w:noProof/>
                <w:sz w:val="20"/>
                <w:szCs w:val="20"/>
                <w:lang w:val="en-US"/>
              </w:rPr>
            </w:pPr>
            <w:r w:rsidRPr="00732114">
              <w:rPr>
                <w:rFonts w:ascii="Times New Roman" w:eastAsia="Times New Roman" w:hAnsi="Times New Roman" w:cs="Times New Roman"/>
                <w:iCs/>
                <w:noProof/>
                <w:sz w:val="20"/>
                <w:szCs w:val="20"/>
                <w:lang w:val="en-US"/>
              </w:rPr>
              <w:t>Acțiunile din Prioritatea 2 – O regiune digital</w:t>
            </w:r>
            <w:r w:rsidRPr="00732114">
              <w:rPr>
                <w:rFonts w:ascii="Times New Roman" w:eastAsia="Times New Roman" w:hAnsi="Times New Roman" w:cs="Times New Roman"/>
                <w:iCs/>
                <w:noProof/>
                <w:sz w:val="20"/>
                <w:szCs w:val="20"/>
              </w:rPr>
              <w:t xml:space="preserve">ă </w:t>
            </w:r>
            <w:r w:rsidRPr="00732114">
              <w:rPr>
                <w:rFonts w:ascii="Times New Roman" w:eastAsia="Times New Roman" w:hAnsi="Times New Roman" w:cs="Times New Roman"/>
                <w:iCs/>
                <w:noProof/>
                <w:sz w:val="20"/>
                <w:szCs w:val="20"/>
                <w:lang w:val="en-US"/>
              </w:rPr>
              <w:t>prevăzute ca intervenții pentru acest obiectiv specific sunt:</w:t>
            </w:r>
          </w:p>
          <w:p w:rsidR="00732114" w:rsidRPr="00732114" w:rsidRDefault="00732114" w:rsidP="00732114">
            <w:pPr>
              <w:spacing w:after="0" w:line="240" w:lineRule="auto"/>
              <w:rPr>
                <w:rFonts w:ascii="Times New Roman" w:eastAsia="Times New Roman" w:hAnsi="Times New Roman" w:cs="Times New Roman"/>
                <w:iCs/>
                <w:noProof/>
                <w:sz w:val="20"/>
                <w:szCs w:val="20"/>
                <w:lang w:val="en-US"/>
              </w:rPr>
            </w:pPr>
            <w:r w:rsidRPr="00732114">
              <w:rPr>
                <w:rFonts w:ascii="Times New Roman" w:eastAsia="Times New Roman" w:hAnsi="Times New Roman" w:cs="Times New Roman"/>
                <w:iCs/>
                <w:noProof/>
                <w:sz w:val="20"/>
                <w:szCs w:val="20"/>
                <w:u w:val="single"/>
                <w:lang w:val="en-US"/>
              </w:rPr>
              <w:t>Operațiune 1 Comunităţi digitale pentru o regiune inteligentă cu trei suboperatiuni</w:t>
            </w:r>
            <w:r w:rsidRPr="00732114">
              <w:rPr>
                <w:rFonts w:ascii="Times New Roman" w:eastAsia="Times New Roman" w:hAnsi="Times New Roman" w:cs="Times New Roman"/>
                <w:iCs/>
                <w:noProof/>
                <w:sz w:val="20"/>
                <w:szCs w:val="20"/>
                <w:lang w:val="en-US"/>
              </w:rPr>
              <w:t>:</w:t>
            </w:r>
          </w:p>
          <w:p w:rsidR="00732114" w:rsidRPr="00732114" w:rsidRDefault="00732114" w:rsidP="00732114">
            <w:pPr>
              <w:pStyle w:val="Listparagraf"/>
              <w:numPr>
                <w:ilvl w:val="0"/>
                <w:numId w:val="89"/>
              </w:numPr>
              <w:spacing w:before="0" w:after="0" w:line="240" w:lineRule="auto"/>
              <w:rPr>
                <w:rFonts w:eastAsia="Times New Roman"/>
                <w:iCs/>
                <w:noProof/>
                <w:sz w:val="20"/>
                <w:szCs w:val="20"/>
                <w:lang w:val="en-US"/>
              </w:rPr>
            </w:pPr>
            <w:r w:rsidRPr="00732114">
              <w:rPr>
                <w:rFonts w:eastAsia="Times New Roman"/>
                <w:iCs/>
                <w:noProof/>
                <w:sz w:val="20"/>
                <w:szCs w:val="20"/>
                <w:lang w:val="en-US"/>
              </w:rPr>
              <w:t>sprijin pentru intervenții de tip smart-city, aplicabile municipiilor și orașelor pe baza abordării dezvoltării urbane durabile;</w:t>
            </w:r>
          </w:p>
          <w:p w:rsidR="00732114" w:rsidRPr="00732114" w:rsidRDefault="00732114" w:rsidP="00732114">
            <w:pPr>
              <w:pStyle w:val="Listparagraf"/>
              <w:numPr>
                <w:ilvl w:val="0"/>
                <w:numId w:val="89"/>
              </w:numPr>
              <w:spacing w:before="0" w:after="0" w:line="240" w:lineRule="auto"/>
              <w:rPr>
                <w:rFonts w:eastAsia="Times New Roman"/>
                <w:iCs/>
                <w:noProof/>
                <w:sz w:val="20"/>
                <w:szCs w:val="20"/>
                <w:lang w:val="en-US"/>
              </w:rPr>
            </w:pPr>
            <w:r w:rsidRPr="00732114">
              <w:rPr>
                <w:rFonts w:eastAsia="Times New Roman"/>
                <w:iCs/>
                <w:noProof/>
                <w:sz w:val="20"/>
                <w:szCs w:val="20"/>
                <w:lang w:val="en-US"/>
              </w:rPr>
              <w:t>susținerea digitalizării serviciilor publice la nivel local, inclusiv securitate cibernetică, interoperabilitate pentru proiectele de digitalizare ale serviciilor publice la nivel local;</w:t>
            </w:r>
          </w:p>
          <w:p w:rsidR="00732114" w:rsidRPr="00732114" w:rsidRDefault="00732114" w:rsidP="00732114">
            <w:pPr>
              <w:pStyle w:val="Listparagraf"/>
              <w:numPr>
                <w:ilvl w:val="0"/>
                <w:numId w:val="89"/>
              </w:numPr>
              <w:spacing w:before="0" w:after="0" w:line="240" w:lineRule="auto"/>
              <w:rPr>
                <w:rFonts w:eastAsia="Times New Roman"/>
                <w:iCs/>
                <w:noProof/>
                <w:sz w:val="20"/>
                <w:szCs w:val="20"/>
                <w:lang w:val="en-US"/>
              </w:rPr>
            </w:pPr>
            <w:r w:rsidRPr="00732114">
              <w:rPr>
                <w:rFonts w:eastAsia="Times New Roman"/>
                <w:iCs/>
                <w:noProof/>
                <w:sz w:val="20"/>
                <w:szCs w:val="20"/>
                <w:lang w:val="en-US"/>
              </w:rPr>
              <w:t>Platformă regională pilot de open innovation în domeniul smart-city – proiect strategic regional.</w:t>
            </w:r>
          </w:p>
          <w:p w:rsidR="00732114" w:rsidRPr="00732114" w:rsidRDefault="00732114" w:rsidP="00732114">
            <w:pPr>
              <w:spacing w:after="0" w:line="240" w:lineRule="auto"/>
              <w:rPr>
                <w:rFonts w:ascii="Times New Roman" w:eastAsia="Times New Roman" w:hAnsi="Times New Roman" w:cs="Times New Roman"/>
                <w:iCs/>
                <w:noProof/>
                <w:sz w:val="20"/>
                <w:szCs w:val="20"/>
                <w:u w:val="single"/>
                <w:lang w:val="en-US"/>
              </w:rPr>
            </w:pPr>
            <w:r w:rsidRPr="00732114">
              <w:rPr>
                <w:rFonts w:ascii="Times New Roman" w:eastAsia="Times New Roman" w:hAnsi="Times New Roman" w:cs="Times New Roman"/>
                <w:iCs/>
                <w:noProof/>
                <w:sz w:val="20"/>
                <w:szCs w:val="20"/>
                <w:u w:val="single"/>
                <w:lang w:val="en-US"/>
              </w:rPr>
              <w:t>Operațiune 2 Întreprinderi digitale pentru o economie avansată - sectoarele de specializare inteligentă</w:t>
            </w:r>
            <w:r>
              <w:rPr>
                <w:rFonts w:ascii="Times New Roman" w:eastAsia="Times New Roman" w:hAnsi="Times New Roman" w:cs="Times New Roman"/>
                <w:iCs/>
                <w:noProof/>
                <w:sz w:val="20"/>
                <w:szCs w:val="20"/>
                <w:u w:val="single"/>
                <w:lang w:val="en-US"/>
              </w:rPr>
              <w:t>:</w:t>
            </w:r>
          </w:p>
          <w:p w:rsidR="00732114" w:rsidRPr="00732114" w:rsidRDefault="00732114" w:rsidP="00732114">
            <w:pPr>
              <w:pStyle w:val="Listparagraf"/>
              <w:numPr>
                <w:ilvl w:val="0"/>
                <w:numId w:val="91"/>
              </w:numPr>
              <w:spacing w:before="0" w:after="0" w:line="240" w:lineRule="auto"/>
              <w:rPr>
                <w:rFonts w:eastAsia="Times New Roman"/>
                <w:iCs/>
                <w:noProof/>
                <w:sz w:val="20"/>
                <w:szCs w:val="20"/>
                <w:lang w:val="en-US"/>
              </w:rPr>
            </w:pPr>
            <w:r w:rsidRPr="00732114">
              <w:rPr>
                <w:rFonts w:eastAsia="Times New Roman"/>
                <w:iCs/>
                <w:noProof/>
                <w:sz w:val="20"/>
                <w:szCs w:val="20"/>
                <w:lang w:val="en-US"/>
              </w:rPr>
              <w:t>Sprijinirea digitalizării IMM-urilor</w:t>
            </w:r>
          </w:p>
          <w:p w:rsidR="00732114" w:rsidRPr="00732114" w:rsidRDefault="00732114" w:rsidP="00732114">
            <w:pPr>
              <w:pStyle w:val="Listparagraf"/>
              <w:numPr>
                <w:ilvl w:val="0"/>
                <w:numId w:val="91"/>
              </w:numPr>
              <w:spacing w:before="0" w:after="0" w:line="240" w:lineRule="auto"/>
              <w:rPr>
                <w:rFonts w:eastAsia="Times New Roman"/>
                <w:iCs/>
                <w:noProof/>
                <w:sz w:val="20"/>
                <w:szCs w:val="20"/>
                <w:lang w:val="en-US"/>
              </w:rPr>
            </w:pPr>
            <w:r w:rsidRPr="00732114">
              <w:rPr>
                <w:rFonts w:eastAsia="Times New Roman"/>
                <w:iCs/>
                <w:noProof/>
                <w:sz w:val="20"/>
                <w:szCs w:val="20"/>
                <w:lang w:val="en-US"/>
              </w:rPr>
              <w:t>Creare şi susţinere de hub-uri digitale inovative.</w:t>
            </w:r>
          </w:p>
          <w:p w:rsidR="00732114" w:rsidRDefault="00732114" w:rsidP="00732114">
            <w:pPr>
              <w:spacing w:after="0" w:line="240" w:lineRule="auto"/>
              <w:rPr>
                <w:rFonts w:ascii="Times New Roman" w:eastAsia="Times New Roman" w:hAnsi="Times New Roman" w:cs="Times New Roman"/>
                <w:noProof/>
                <w:sz w:val="20"/>
                <w:szCs w:val="20"/>
                <w:lang w:val="en-US"/>
              </w:rPr>
            </w:pPr>
          </w:p>
          <w:p w:rsidR="00732114" w:rsidRPr="00732114" w:rsidRDefault="00732114" w:rsidP="00732114">
            <w:pPr>
              <w:spacing w:after="0" w:line="240" w:lineRule="auto"/>
              <w:rPr>
                <w:rFonts w:ascii="Times New Roman" w:eastAsia="Times New Roman" w:hAnsi="Times New Roman" w:cs="Times New Roman"/>
                <w:noProof/>
                <w:sz w:val="20"/>
                <w:szCs w:val="20"/>
                <w:lang w:val="en-US"/>
              </w:rPr>
            </w:pPr>
            <w:r w:rsidRPr="00732114">
              <w:rPr>
                <w:rFonts w:ascii="Times New Roman" w:eastAsia="Times New Roman" w:hAnsi="Times New Roman" w:cs="Times New Roman"/>
                <w:noProof/>
                <w:sz w:val="20"/>
                <w:szCs w:val="20"/>
                <w:lang w:val="en-US"/>
              </w:rPr>
              <w:t>Economia europeană îşi asigură competitivitatea la nivel global şi pe premisele digitalizării, care se constituie ca o condiţie esenţială pentru inovare şi creştere sustenabilă. În contextul pandemic al anului 2020, avantajele instrumentelor digitale şi competenţele de utilizare a acestora au devenit mai clare şi au asigurat susţinerea economiilor şi societăţilor. Indicele economiei şi societăţii digitale (DESI) pentru anul 2020, arată că digitalizarea va juca un rol esențial în redresarea economică, întrucât Consiliul European și Comisia s-au angajat să structureze sprijinul pentru redresare în conformitate cu dubla tranziție către neutralitatea climatică și transformarea digitală rezilientă. În acest cadru, implementarea tehnologiei 5G și a rețelelor de foarte mare capacitate (very high capacity networks - VHCN), competențele digitale, digitalizarea întreprinderilor și a administrației publice sunt esențiale pentru o redresare solidă.</w:t>
            </w:r>
          </w:p>
          <w:p w:rsidR="00732114" w:rsidRPr="00732114" w:rsidRDefault="00732114" w:rsidP="00732114">
            <w:pPr>
              <w:spacing w:after="0" w:line="240" w:lineRule="auto"/>
              <w:rPr>
                <w:rFonts w:ascii="Times New Roman" w:eastAsia="Times New Roman" w:hAnsi="Times New Roman" w:cs="Times New Roman"/>
                <w:noProof/>
                <w:sz w:val="20"/>
                <w:szCs w:val="20"/>
                <w:lang w:val="en-US"/>
              </w:rPr>
            </w:pPr>
            <w:r w:rsidRPr="00732114">
              <w:rPr>
                <w:rFonts w:ascii="Times New Roman" w:eastAsia="Times New Roman" w:hAnsi="Times New Roman" w:cs="Times New Roman"/>
                <w:noProof/>
                <w:sz w:val="20"/>
                <w:szCs w:val="20"/>
                <w:lang w:val="en-US"/>
              </w:rPr>
              <w:t>În urma unei chestionări cu privire la proiectele de digitalizare implementate şi intenţiile pentru proiecte viitoare ale administraţiilor urbane din Regiunea Centru, s-au primit răspunsuri de la 11 oraşe. Acestea au implementat până în prezent în medie câte 2 proiecte şi intenţionează continuarea dezvoltării în această direcţie. Din cele 57 de orașe din Regiune, au fost identificate doar 7 care au implementat soluții de smart-city, conform Asociaţiei Române de Smart-city. Beneficiile orașelor smart nu sunt încă bine cunoscute și popularizate. Nevoia de abordare digitală rezidă din dificultăţile locuirii şi administrării aglomeraţiilor urbane. Conform unui raport din iunie 2020, al VegaComp Consulting, care citeaz</w:t>
            </w:r>
            <w:r w:rsidRPr="00732114">
              <w:rPr>
                <w:rFonts w:ascii="Times New Roman" w:eastAsia="Times New Roman" w:hAnsi="Times New Roman" w:cs="Times New Roman"/>
                <w:noProof/>
                <w:sz w:val="20"/>
                <w:szCs w:val="20"/>
              </w:rPr>
              <w:t xml:space="preserve">ă </w:t>
            </w:r>
            <w:r w:rsidRPr="00732114">
              <w:rPr>
                <w:rFonts w:ascii="Times New Roman" w:eastAsia="Times New Roman" w:hAnsi="Times New Roman" w:cs="Times New Roman"/>
                <w:noProof/>
                <w:sz w:val="20"/>
                <w:szCs w:val="20"/>
                <w:lang w:val="en-US"/>
              </w:rPr>
              <w:t>Smart Cities World, piaţa de Smart City, la nivel Mondial, se menține într-o evoluție accelerată, cu o creștere medie anuală estimată la 20%, până în 2025, când piaţa este estimată că va ajunge la 2 trilioane de dolari. Conform aceleiaşi surse, Europa va avea până atunci cele mai mari investiţii în proiecte smart-city.</w:t>
            </w:r>
          </w:p>
          <w:p w:rsidR="00732114" w:rsidRPr="00732114" w:rsidRDefault="00732114" w:rsidP="00732114">
            <w:pPr>
              <w:spacing w:after="0" w:line="240" w:lineRule="auto"/>
              <w:rPr>
                <w:rFonts w:ascii="Times New Roman" w:eastAsia="Times New Roman" w:hAnsi="Times New Roman" w:cs="Times New Roman"/>
                <w:noProof/>
                <w:sz w:val="20"/>
                <w:szCs w:val="20"/>
                <w:lang w:val="en-US"/>
              </w:rPr>
            </w:pPr>
            <w:r w:rsidRPr="00732114">
              <w:rPr>
                <w:rFonts w:ascii="Times New Roman" w:eastAsia="Times New Roman" w:hAnsi="Times New Roman" w:cs="Times New Roman"/>
                <w:noProof/>
                <w:sz w:val="20"/>
                <w:szCs w:val="20"/>
                <w:lang w:val="en-US"/>
              </w:rPr>
              <w:t xml:space="preserve">În Strategia de Specializare Inteligentă a Regiunii Centru este susținută dezvoltarea urbană prin tehnologii noi și procese inovatoare. Prioritatea 1.5 Susținerea orașelor smart a acestei strategii identifică nevoi precum </w:t>
            </w:r>
            <w:r w:rsidRPr="00732114">
              <w:rPr>
                <w:rFonts w:ascii="Times New Roman" w:eastAsia="Times New Roman" w:hAnsi="Times New Roman" w:cs="Times New Roman"/>
                <w:noProof/>
                <w:sz w:val="20"/>
                <w:szCs w:val="20"/>
                <w:lang w:val="en-US"/>
              </w:rPr>
              <w:lastRenderedPageBreak/>
              <w:t>dezvoltarea de politici cuprinzătoare ce necesită a fi aplicate consecvent și adaptate în funcție de dinamica evoluției societății. De asemenea, în dezvoltarea acestor direcții este necesară atragerea de investitori cu potențial de creativitate care să susțină și să îmbunătățească continuu instrumentele specifice de adresare a nevoilor administrației.</w:t>
            </w:r>
          </w:p>
          <w:p w:rsidR="00732114" w:rsidRPr="00732114" w:rsidRDefault="00732114" w:rsidP="00732114">
            <w:pPr>
              <w:spacing w:after="0" w:line="240" w:lineRule="auto"/>
              <w:rPr>
                <w:rFonts w:ascii="Times New Roman" w:eastAsia="Times New Roman" w:hAnsi="Times New Roman" w:cs="Times New Roman"/>
                <w:noProof/>
                <w:sz w:val="20"/>
                <w:szCs w:val="20"/>
                <w:lang w:val="en-US"/>
              </w:rPr>
            </w:pPr>
            <w:r w:rsidRPr="00732114">
              <w:rPr>
                <w:rFonts w:ascii="Times New Roman" w:eastAsia="Times New Roman" w:hAnsi="Times New Roman" w:cs="Times New Roman"/>
                <w:noProof/>
                <w:sz w:val="20"/>
                <w:szCs w:val="20"/>
                <w:lang w:val="en-US"/>
              </w:rPr>
              <w:t>Spre deosebire de POCIDIF, POR Centru vizează intervenţii la nivel regional şi local. Astfel, chiar dacă sunt asigurate finanţări din OS(ii) prin POCIDIF, se specifică în cadrul acestuia că intervențiile sub acest obiectiv vizează digitalizarea în zona administrației publice centrale. O viitoare intervenţie la nivel central, asigurată prin POCIDIF poate viza asigurarea securităţii, a disponibilităţii de integrare într-un sistem de management şi gestiune comun. Acţiunile complementare prin POR 2021-2027 pot viza construirea şi îmbunătăţirea sistemelor locale necesare.</w:t>
            </w:r>
          </w:p>
          <w:p w:rsidR="00732114" w:rsidRPr="00732114" w:rsidRDefault="00732114" w:rsidP="00732114">
            <w:pPr>
              <w:spacing w:after="0" w:line="240" w:lineRule="auto"/>
              <w:rPr>
                <w:rFonts w:ascii="Times New Roman" w:eastAsia="Times New Roman" w:hAnsi="Times New Roman" w:cs="Times New Roman"/>
                <w:iCs/>
                <w:noProof/>
                <w:sz w:val="20"/>
                <w:szCs w:val="20"/>
                <w:lang w:val="en-US"/>
              </w:rPr>
            </w:pPr>
            <w:r w:rsidRPr="00732114">
              <w:rPr>
                <w:rFonts w:ascii="Times New Roman" w:eastAsia="Times New Roman" w:hAnsi="Times New Roman" w:cs="Times New Roman"/>
                <w:iCs/>
                <w:noProof/>
                <w:sz w:val="20"/>
                <w:szCs w:val="20"/>
                <w:lang w:val="en-US"/>
              </w:rPr>
              <w:t>În Regiunea Centru se înregistrează şi extinderea dezvoltării de tip smart city în prima comunitate rurală din ţară. O altă comună din regiune a fost selectată ca partener fără finanţare într-un proiect ce are în vedere aplicare de soluţii smart în comunitate. În condiţiile exprimării interesului mediului rural în această direcţie, merită explorată posibilitatea adresării finanţării şi către acesta.</w:t>
            </w:r>
          </w:p>
          <w:p w:rsidR="00732114" w:rsidRPr="00732114" w:rsidRDefault="00732114" w:rsidP="00732114">
            <w:pPr>
              <w:spacing w:after="0" w:line="240" w:lineRule="auto"/>
              <w:rPr>
                <w:rFonts w:ascii="Times New Roman" w:eastAsia="Times New Roman" w:hAnsi="Times New Roman" w:cs="Times New Roman"/>
                <w:iCs/>
                <w:noProof/>
                <w:sz w:val="20"/>
                <w:szCs w:val="20"/>
                <w:lang w:val="en-US"/>
              </w:rPr>
            </w:pPr>
            <w:r w:rsidRPr="00732114">
              <w:rPr>
                <w:rFonts w:ascii="Times New Roman" w:eastAsia="Times New Roman" w:hAnsi="Times New Roman" w:cs="Times New Roman"/>
                <w:iCs/>
                <w:noProof/>
                <w:sz w:val="20"/>
                <w:szCs w:val="20"/>
                <w:lang w:val="en-US"/>
              </w:rPr>
              <w:t>Susținerea digitalizării în companii este justificată şi de poziționarea României în clasamentele europene de profil (cel mai cunoscut fiind DESI). România se situează pe locul 27 din cele 28 de state membre ale UE în cadrul Indicelui economiei și societății digitale (DESI) pentru 2019 al CE. România înregistrează cele mai bune rezultate la dimensiunea „Conectivitate”, dar digitalizarea economiei a rămas în urmă. Întreprinderile din România profită de posibilitățile oferite de big data (11% față de media UE de 12%), dar doar 9% utilizează rețelele de socializare (comparativ cu media UE de 21%). Doar 8% din totalul IMM-urilor fac vânzări online (față de media UE de 17%), în timp ce 2% dintre acestea efectuează vânzări online transfrontaliere (comparativ cu media UE de 8%). Doar 8% din IMM-urile din Bulgaria și România sunt digitalizate.</w:t>
            </w:r>
          </w:p>
          <w:p w:rsidR="00732114" w:rsidRPr="00732114" w:rsidRDefault="00732114" w:rsidP="00732114">
            <w:pPr>
              <w:spacing w:after="0" w:line="240" w:lineRule="auto"/>
              <w:rPr>
                <w:rFonts w:ascii="Times New Roman" w:eastAsia="Times New Roman" w:hAnsi="Times New Roman" w:cs="Times New Roman"/>
                <w:iCs/>
                <w:noProof/>
                <w:sz w:val="20"/>
                <w:szCs w:val="20"/>
                <w:lang w:val="en-US"/>
              </w:rPr>
            </w:pPr>
            <w:r w:rsidRPr="00732114">
              <w:rPr>
                <w:rFonts w:ascii="Times New Roman" w:eastAsia="Times New Roman" w:hAnsi="Times New Roman" w:cs="Times New Roman"/>
                <w:iCs/>
                <w:noProof/>
                <w:sz w:val="20"/>
                <w:szCs w:val="20"/>
                <w:lang w:val="en-US"/>
              </w:rPr>
              <w:t>Un alt efect urmărit este structurarea unei piețe regionale de soluții de digitalizare pentru companii. În lipsa unei piețe locale, dezvoltarea ofertei de soluții este încetinită, companiile regionale de ITC rămân inferioare în lanțul valoric sectorial, în lipsa unor clienți locali pentru care să furnizeze soluții. Catalizarea cererii de soluții de digitalizare din partea companiilor va avea ca efect o creștere a ofertei. Furnizorii locali vor fi stimulați să dezvolte soluții adaptate acestor nevoi. Tipuri de operațiuni susținute: investiții pentru servicii și echipamente necesare pentru transformarea digitală a IMM-urilor, adoptarea tehnologiilor și a instrumentelor digitale care conduc la inovarea modelului de afaceri, sprijin pentru dezvoltarea și implementarea de noi modele de afaceri pentru IMM-uri, inclusiv internaționalizare.</w:t>
            </w:r>
          </w:p>
          <w:p w:rsidR="00732114" w:rsidRPr="00732114" w:rsidRDefault="00732114" w:rsidP="00732114">
            <w:pPr>
              <w:spacing w:after="0" w:line="240" w:lineRule="auto"/>
              <w:rPr>
                <w:rFonts w:ascii="Times New Roman" w:eastAsia="Times New Roman" w:hAnsi="Times New Roman" w:cs="Times New Roman"/>
                <w:iCs/>
                <w:noProof/>
                <w:sz w:val="20"/>
                <w:szCs w:val="20"/>
                <w:lang w:val="en-US"/>
              </w:rPr>
            </w:pPr>
            <w:r w:rsidRPr="00732114">
              <w:rPr>
                <w:rFonts w:ascii="Times New Roman" w:eastAsia="Times New Roman" w:hAnsi="Times New Roman" w:cs="Times New Roman"/>
                <w:iCs/>
                <w:noProof/>
                <w:sz w:val="20"/>
                <w:szCs w:val="20"/>
                <w:lang w:val="en-US"/>
              </w:rPr>
              <w:t>De asemenea, pentru partea de servicii asociate digitalizării, este important ca IMM-urile să fie sprijinite în identificarea soluțiilor potrivite, adaptate nevoilor și capacităților tehnice și financiare, inclusiv în etapa post-intervenție. Această componentă poate fi susținută prin vouchere pentru accesarea de servicii, inclusiv prin intermediul Hub-urilor Inovative Digitale. O altă orientare a intervenției poate fi ansamblarea de pachete de produse și servicii de digitalizare care să fie accesate de IMM-uri cu susținere de la POR, cu finanțări între 50.000 și 150.000 euro. Finanţările se pot orienta spre achiziții de licențe software, dar și utilizare pe bază de subscripție a serviciilor de tip software-as-a-service (SaaS), soluții care pot fi gestionate de un Digital Innovation Hub.</w:t>
            </w:r>
          </w:p>
          <w:p w:rsidR="00E91EF6" w:rsidRPr="002E744B" w:rsidRDefault="00732114" w:rsidP="00732114">
            <w:pPr>
              <w:spacing w:after="0" w:line="240" w:lineRule="auto"/>
              <w:jc w:val="both"/>
              <w:rPr>
                <w:rFonts w:ascii="Times New Roman" w:eastAsia="Times New Roman" w:hAnsi="Times New Roman" w:cs="Times New Roman"/>
                <w:i/>
                <w:noProof/>
                <w:lang w:val="en-US"/>
              </w:rPr>
            </w:pPr>
            <w:r w:rsidRPr="00732114">
              <w:rPr>
                <w:rFonts w:ascii="Times New Roman" w:eastAsia="Times New Roman" w:hAnsi="Times New Roman" w:cs="Times New Roman"/>
                <w:iCs/>
                <w:noProof/>
                <w:sz w:val="20"/>
                <w:szCs w:val="20"/>
                <w:lang w:val="en-US"/>
              </w:rPr>
              <w:t>Dimensiunea actuală a pieței de servicii pe care le poate presta un hub digital, cum rezultă din date și din discuții cu actorii regionali este mică. Șansele de supraviețuire a DIH după epuizarea sprijinului public sunt reduse, mai ales dacă sunt finanțate mai multe şi concurează între ele. Este nevoie să se finanțeze unul, maximum două huburi la nivel de regiune, care să fie sprijinite să intre în rețele europene. Este necesar ca hubul să reunească universități din regiune, clusterele de profil și actori privați interesați, pe principii de proximitate geografică și neutralitate tehnologică.</w:t>
            </w:r>
          </w:p>
        </w:tc>
      </w:tr>
    </w:tbl>
    <w:p w:rsidR="00E91EF6" w:rsidRPr="002E744B" w:rsidRDefault="00E91EF6" w:rsidP="00E91EF6">
      <w:pPr>
        <w:spacing w:before="120" w:after="120" w:line="360" w:lineRule="auto"/>
        <w:rPr>
          <w:rFonts w:ascii="Times New Roman" w:eastAsia="Times New Roman" w:hAnsi="Times New Roman" w:cs="Times New Roman"/>
          <w:b/>
          <w:i/>
          <w:iCs/>
          <w:noProof/>
          <w:sz w:val="24"/>
          <w:szCs w:val="24"/>
          <w:lang w:val="en-GB"/>
        </w:rPr>
      </w:pPr>
      <w:r w:rsidRPr="002E744B">
        <w:rPr>
          <w:rFonts w:ascii="Times New Roman" w:eastAsia="Times New Roman" w:hAnsi="Times New Roman" w:cs="Times New Roman"/>
          <w:i/>
          <w:noProof/>
          <w:sz w:val="24"/>
          <w:szCs w:val="24"/>
          <w:lang w:val="en-GB"/>
        </w:rPr>
        <w:lastRenderedPageBreak/>
        <w:t>The main target groups - Article 17(3)(d)(iii):</w:t>
      </w:r>
    </w:p>
    <w:p w:rsidR="00E91EF6" w:rsidRPr="005C75DF" w:rsidRDefault="00E91EF6" w:rsidP="005C75DF">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Cs/>
          <w:noProof/>
          <w:sz w:val="24"/>
          <w:szCs w:val="24"/>
          <w:lang w:val="en-GB"/>
        </w:rPr>
      </w:pPr>
      <w:r w:rsidRPr="005C75DF">
        <w:rPr>
          <w:rFonts w:ascii="Times New Roman" w:eastAsia="Times New Roman" w:hAnsi="Times New Roman" w:cs="Times New Roman"/>
          <w:iCs/>
          <w:noProof/>
          <w:sz w:val="24"/>
          <w:szCs w:val="24"/>
          <w:lang w:val="en-GB"/>
        </w:rPr>
        <w:t>Text field [1 000]</w:t>
      </w:r>
    </w:p>
    <w:p w:rsidR="00E91EF6" w:rsidRPr="005C75DF" w:rsidRDefault="00E91EF6">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noProof/>
          <w:sz w:val="20"/>
          <w:szCs w:val="20"/>
          <w:lang w:val="en-GB"/>
        </w:rPr>
      </w:pPr>
      <w:r w:rsidRPr="005C75DF">
        <w:rPr>
          <w:rFonts w:ascii="Times New Roman" w:eastAsia="Times New Roman" w:hAnsi="Times New Roman" w:cs="Times New Roman"/>
          <w:noProof/>
          <w:sz w:val="24"/>
          <w:lang w:val="en-GB"/>
        </w:rPr>
        <w:t>-</w:t>
      </w:r>
      <w:r w:rsidRPr="005C75DF">
        <w:rPr>
          <w:rFonts w:ascii="Times New Roman" w:eastAsia="Times New Roman" w:hAnsi="Times New Roman" w:cs="Times New Roman"/>
          <w:noProof/>
          <w:sz w:val="24"/>
          <w:lang w:val="en-GB"/>
        </w:rPr>
        <w:tab/>
      </w:r>
      <w:r w:rsidRPr="005C75DF">
        <w:rPr>
          <w:rFonts w:ascii="Times New Roman" w:eastAsia="Times New Roman" w:hAnsi="Times New Roman" w:cs="Times New Roman"/>
          <w:noProof/>
          <w:sz w:val="20"/>
          <w:szCs w:val="20"/>
          <w:lang w:val="en-GB"/>
        </w:rPr>
        <w:t>Grupul țintă este format din următoarele categorii și persoane:</w:t>
      </w:r>
    </w:p>
    <w:p w:rsidR="00E91EF6" w:rsidRPr="005C75DF" w:rsidRDefault="00E91EF6">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noProof/>
          <w:sz w:val="20"/>
          <w:szCs w:val="20"/>
          <w:lang w:val="en-GB"/>
        </w:rPr>
      </w:pPr>
      <w:r w:rsidRPr="005C75DF">
        <w:rPr>
          <w:rFonts w:ascii="Times New Roman" w:eastAsia="Times New Roman" w:hAnsi="Times New Roman" w:cs="Times New Roman"/>
          <w:noProof/>
          <w:sz w:val="20"/>
          <w:szCs w:val="20"/>
          <w:lang w:val="en-GB"/>
        </w:rPr>
        <w:t>-</w:t>
      </w:r>
      <w:r w:rsidRPr="005C75DF">
        <w:rPr>
          <w:rFonts w:ascii="Times New Roman" w:eastAsia="Times New Roman" w:hAnsi="Times New Roman" w:cs="Times New Roman"/>
          <w:noProof/>
          <w:sz w:val="20"/>
          <w:szCs w:val="20"/>
          <w:lang w:val="en-GB"/>
        </w:rPr>
        <w:tab/>
        <w:t xml:space="preserve">UAT, </w:t>
      </w:r>
    </w:p>
    <w:p w:rsidR="00E91EF6" w:rsidRPr="005C75DF" w:rsidRDefault="00E91EF6">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noProof/>
          <w:sz w:val="20"/>
          <w:szCs w:val="20"/>
          <w:lang w:val="en-GB"/>
        </w:rPr>
      </w:pPr>
      <w:r w:rsidRPr="005C75DF">
        <w:rPr>
          <w:rFonts w:ascii="Times New Roman" w:eastAsia="Times New Roman" w:hAnsi="Times New Roman" w:cs="Times New Roman"/>
          <w:noProof/>
          <w:sz w:val="20"/>
          <w:szCs w:val="20"/>
          <w:lang w:val="en-GB"/>
        </w:rPr>
        <w:t>-</w:t>
      </w:r>
      <w:r w:rsidRPr="005C75DF">
        <w:rPr>
          <w:rFonts w:ascii="Times New Roman" w:eastAsia="Times New Roman" w:hAnsi="Times New Roman" w:cs="Times New Roman"/>
          <w:noProof/>
          <w:sz w:val="20"/>
          <w:szCs w:val="20"/>
          <w:lang w:val="en-GB"/>
        </w:rPr>
        <w:tab/>
        <w:t>Angajații UAT,organizatii private (antreprenori, ONG) pentru soluții de tip smart city,</w:t>
      </w:r>
    </w:p>
    <w:p w:rsidR="00E91EF6" w:rsidRPr="005C75DF" w:rsidRDefault="00E91EF6">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noProof/>
          <w:sz w:val="20"/>
          <w:szCs w:val="20"/>
          <w:lang w:val="en-GB"/>
        </w:rPr>
      </w:pPr>
      <w:r w:rsidRPr="005C75DF">
        <w:rPr>
          <w:rFonts w:ascii="Times New Roman" w:eastAsia="Times New Roman" w:hAnsi="Times New Roman" w:cs="Times New Roman"/>
          <w:noProof/>
          <w:sz w:val="20"/>
          <w:szCs w:val="20"/>
          <w:lang w:val="en-GB"/>
        </w:rPr>
        <w:t>-</w:t>
      </w:r>
      <w:r w:rsidRPr="005C75DF">
        <w:rPr>
          <w:rFonts w:ascii="Times New Roman" w:eastAsia="Times New Roman" w:hAnsi="Times New Roman" w:cs="Times New Roman"/>
          <w:noProof/>
          <w:sz w:val="20"/>
          <w:szCs w:val="20"/>
          <w:lang w:val="en-GB"/>
        </w:rPr>
        <w:tab/>
        <w:t>Locuitorii din zonele care beneficiază de implementarea proiectelor,</w:t>
      </w:r>
    </w:p>
    <w:p w:rsidR="00E91EF6" w:rsidRPr="005C75DF" w:rsidRDefault="00E91EF6">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noProof/>
          <w:sz w:val="20"/>
          <w:szCs w:val="20"/>
          <w:lang w:val="en-GB"/>
        </w:rPr>
      </w:pPr>
      <w:r w:rsidRPr="005C75DF">
        <w:rPr>
          <w:rFonts w:ascii="Times New Roman" w:eastAsia="Times New Roman" w:hAnsi="Times New Roman" w:cs="Times New Roman"/>
          <w:noProof/>
          <w:sz w:val="20"/>
          <w:szCs w:val="20"/>
          <w:lang w:val="en-GB"/>
        </w:rPr>
        <w:t>-</w:t>
      </w:r>
      <w:r w:rsidRPr="005C75DF">
        <w:rPr>
          <w:rFonts w:ascii="Times New Roman" w:eastAsia="Times New Roman" w:hAnsi="Times New Roman" w:cs="Times New Roman"/>
          <w:noProof/>
          <w:sz w:val="20"/>
          <w:szCs w:val="20"/>
          <w:lang w:val="en-GB"/>
        </w:rPr>
        <w:tab/>
        <w:t>Întreprinderi private din zonele care beneficiază de implementarea proiectelor,</w:t>
      </w:r>
    </w:p>
    <w:p w:rsidR="00E91EF6" w:rsidRPr="005C75DF" w:rsidRDefault="00E91EF6">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noProof/>
          <w:sz w:val="20"/>
          <w:szCs w:val="20"/>
          <w:lang w:val="en-GB"/>
        </w:rPr>
      </w:pPr>
      <w:r w:rsidRPr="005C75DF">
        <w:rPr>
          <w:rFonts w:ascii="Times New Roman" w:eastAsia="Times New Roman" w:hAnsi="Times New Roman" w:cs="Times New Roman"/>
          <w:noProof/>
          <w:sz w:val="20"/>
          <w:szCs w:val="20"/>
          <w:lang w:val="en-GB"/>
        </w:rPr>
        <w:t>-</w:t>
      </w:r>
      <w:r w:rsidRPr="005C75DF">
        <w:rPr>
          <w:rFonts w:ascii="Times New Roman" w:eastAsia="Times New Roman" w:hAnsi="Times New Roman" w:cs="Times New Roman"/>
          <w:noProof/>
          <w:sz w:val="20"/>
          <w:szCs w:val="20"/>
          <w:lang w:val="en-GB"/>
        </w:rPr>
        <w:tab/>
        <w:t>Antreprenori interesați de dezvoltare în zonele beneficiare,</w:t>
      </w:r>
    </w:p>
    <w:p w:rsidR="00E91EF6" w:rsidRPr="005C75DF" w:rsidRDefault="00E91EF6" w:rsidP="005C75DF">
      <w:pPr>
        <w:spacing w:after="0" w:line="240" w:lineRule="auto"/>
        <w:rPr>
          <w:rFonts w:ascii="Times New Roman" w:eastAsia="Times New Roman" w:hAnsi="Times New Roman" w:cs="Times New Roman"/>
          <w:noProof/>
          <w:sz w:val="24"/>
          <w:szCs w:val="24"/>
          <w:lang w:val="en-GB"/>
        </w:rPr>
      </w:pPr>
      <w:r w:rsidRPr="005C75DF">
        <w:rPr>
          <w:rFonts w:ascii="Times New Roman" w:eastAsia="Times New Roman" w:hAnsi="Times New Roman" w:cs="Times New Roman"/>
          <w:noProof/>
          <w:sz w:val="24"/>
          <w:szCs w:val="24"/>
          <w:lang w:val="en-GB"/>
        </w:rPr>
        <w:t>Specific territories tageted, including the planned use of territorial tools – Article 17(3)(d)(iv)</w:t>
      </w:r>
    </w:p>
    <w:p w:rsidR="00E91EF6" w:rsidRPr="005C75DF" w:rsidRDefault="00E91EF6" w:rsidP="005C75DF">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Cs/>
          <w:noProof/>
          <w:sz w:val="24"/>
          <w:szCs w:val="24"/>
          <w:lang w:val="en-GB"/>
        </w:rPr>
      </w:pPr>
      <w:r w:rsidRPr="005C75DF">
        <w:rPr>
          <w:rFonts w:ascii="Times New Roman" w:eastAsia="Times New Roman" w:hAnsi="Times New Roman" w:cs="Times New Roman"/>
          <w:iCs/>
          <w:noProof/>
          <w:sz w:val="24"/>
          <w:szCs w:val="24"/>
          <w:lang w:val="en-GB"/>
        </w:rPr>
        <w:t>Text field [2 000]</w:t>
      </w:r>
    </w:p>
    <w:p w:rsidR="00E91EF6" w:rsidRPr="005C75DF" w:rsidRDefault="00E91EF6" w:rsidP="005C75DF">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Cs/>
          <w:noProof/>
          <w:sz w:val="24"/>
          <w:szCs w:val="24"/>
          <w:lang w:val="en-GB"/>
        </w:rPr>
      </w:pPr>
      <w:r w:rsidRPr="005C75DF">
        <w:rPr>
          <w:rFonts w:ascii="Times New Roman" w:eastAsia="Times New Roman" w:hAnsi="Times New Roman" w:cs="Times New Roman"/>
          <w:iCs/>
          <w:noProof/>
          <w:sz w:val="24"/>
          <w:szCs w:val="24"/>
          <w:lang w:val="en-GB"/>
        </w:rPr>
        <w:t>Regiunea Centru</w:t>
      </w:r>
    </w:p>
    <w:p w:rsidR="00040631" w:rsidRPr="005C75DF" w:rsidRDefault="00040631">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Cs/>
          <w:noProof/>
          <w:sz w:val="20"/>
          <w:szCs w:val="20"/>
          <w:lang w:val="en-GB"/>
        </w:rPr>
      </w:pPr>
      <w:r w:rsidRPr="005C75DF">
        <w:rPr>
          <w:rFonts w:ascii="Times New Roman" w:eastAsia="Times New Roman" w:hAnsi="Times New Roman" w:cs="Times New Roman"/>
          <w:iCs/>
          <w:noProof/>
          <w:sz w:val="20"/>
          <w:szCs w:val="20"/>
          <w:lang w:val="en-GB"/>
        </w:rPr>
        <w:t>Suboperatiunea smartcity va contribui la dezvoltarea urbana durabila. Astfel aceasta va acoperi Regiunea Centru, mediul urban și mediul rural aferent ZUF si zonelor metropolitane (ZM). Interventiile vor trebui justificate din perspectiva includerii in SIDU.</w:t>
      </w:r>
    </w:p>
    <w:p w:rsidR="00040631" w:rsidRPr="005C75DF" w:rsidRDefault="00040631" w:rsidP="005C75DF">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Cs/>
          <w:noProof/>
          <w:sz w:val="20"/>
          <w:szCs w:val="20"/>
          <w:lang w:val="en-GB"/>
        </w:rPr>
      </w:pPr>
      <w:r w:rsidRPr="005C75DF">
        <w:rPr>
          <w:rFonts w:ascii="Times New Roman" w:eastAsia="Times New Roman" w:hAnsi="Times New Roman" w:cs="Times New Roman"/>
          <w:iCs/>
          <w:noProof/>
          <w:sz w:val="20"/>
          <w:szCs w:val="20"/>
          <w:lang w:val="en-GB"/>
        </w:rPr>
        <w:t xml:space="preserve">In conformitate cu OUG 156/2020 privind unele măsuri pentru sustinerea dezvoltarii teritoriale a localitatilor urbane si rurale din Romania cu finantare din fonduri externe nerambursabile, art. 6, fondurile destinate dezvoltării urbane </w:t>
      </w:r>
      <w:r w:rsidRPr="005C75DF">
        <w:rPr>
          <w:rFonts w:ascii="Times New Roman" w:eastAsia="Times New Roman" w:hAnsi="Times New Roman" w:cs="Times New Roman"/>
          <w:iCs/>
          <w:noProof/>
          <w:sz w:val="20"/>
          <w:szCs w:val="20"/>
          <w:lang w:val="en-GB"/>
        </w:rPr>
        <w:lastRenderedPageBreak/>
        <w:t xml:space="preserve">durabile sunt impartite intre categoriile de municipii si orase orase in functie de ponderea pe care oreprezinta populatia categoriilor respective de municipii si orase in total populatie urbana la nivel regional. Astfel fondurile sunt impartite pe 3 categorii de municipii si orase: </w:t>
      </w:r>
    </w:p>
    <w:p w:rsidR="00040631" w:rsidRPr="005C75DF" w:rsidRDefault="00040631" w:rsidP="005C75DF">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Cs/>
          <w:noProof/>
          <w:sz w:val="20"/>
          <w:szCs w:val="20"/>
        </w:rPr>
      </w:pPr>
      <w:r w:rsidRPr="005C75DF">
        <w:rPr>
          <w:rFonts w:ascii="Times New Roman" w:eastAsia="Times New Roman" w:hAnsi="Times New Roman" w:cs="Times New Roman"/>
          <w:iCs/>
          <w:noProof/>
          <w:sz w:val="20"/>
          <w:szCs w:val="20"/>
        </w:rPr>
        <w:t>Municipiile resedinta de judet  - 50,14% din fondurile alocate la nivel regional pentru dezvoltare urbana</w:t>
      </w:r>
    </w:p>
    <w:p w:rsidR="00040631" w:rsidRPr="005C75DF" w:rsidRDefault="00040631" w:rsidP="005C75DF">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Cs/>
          <w:noProof/>
          <w:sz w:val="20"/>
          <w:szCs w:val="20"/>
        </w:rPr>
      </w:pPr>
      <w:r w:rsidRPr="005C75DF">
        <w:rPr>
          <w:rFonts w:ascii="Times New Roman" w:eastAsia="Times New Roman" w:hAnsi="Times New Roman" w:cs="Times New Roman"/>
          <w:iCs/>
          <w:noProof/>
          <w:sz w:val="20"/>
          <w:szCs w:val="20"/>
        </w:rPr>
        <w:t>Municipii – 27.30% din fondurile alocate la nivel regional pentru dezvoltare urbana</w:t>
      </w:r>
    </w:p>
    <w:p w:rsidR="00040631" w:rsidRPr="005C75DF" w:rsidRDefault="00040631" w:rsidP="005C75DF">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Cs/>
          <w:noProof/>
          <w:sz w:val="20"/>
          <w:szCs w:val="20"/>
        </w:rPr>
      </w:pPr>
      <w:r w:rsidRPr="005C75DF">
        <w:rPr>
          <w:rFonts w:ascii="Times New Roman" w:eastAsia="Times New Roman" w:hAnsi="Times New Roman" w:cs="Times New Roman"/>
          <w:iCs/>
          <w:noProof/>
          <w:sz w:val="20"/>
          <w:szCs w:val="20"/>
        </w:rPr>
        <w:t>Orase – 22,56% din fondurile alocate la nive regional pentru dezvoltare urbana</w:t>
      </w:r>
    </w:p>
    <w:p w:rsidR="00040631" w:rsidRPr="005C75DF" w:rsidRDefault="00040631" w:rsidP="005C75DF">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Cs/>
          <w:noProof/>
          <w:sz w:val="20"/>
          <w:szCs w:val="20"/>
          <w:lang w:val="en-GB"/>
        </w:rPr>
      </w:pPr>
      <w:r w:rsidRPr="005C75DF">
        <w:rPr>
          <w:rFonts w:ascii="Times New Roman" w:eastAsia="Times New Roman" w:hAnsi="Times New Roman" w:cs="Times New Roman"/>
          <w:iCs/>
          <w:noProof/>
          <w:sz w:val="20"/>
          <w:szCs w:val="20"/>
          <w:lang w:val="en-GB"/>
        </w:rPr>
        <w:t>Pentru municipiile resedinta de judet si municipii va exista o alocare predefinita care va avea la bază un procent de 35% din fondurile totale repeartizat in mod egal si 65% va fi repartizat in functie de numarul total al populatiei.</w:t>
      </w:r>
    </w:p>
    <w:p w:rsidR="00040631" w:rsidRPr="005C75DF" w:rsidRDefault="00040631" w:rsidP="005C75DF">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noProof/>
          <w:sz w:val="24"/>
          <w:lang w:val="en-GB"/>
        </w:rPr>
      </w:pPr>
      <w:r w:rsidRPr="005C75DF">
        <w:rPr>
          <w:rFonts w:ascii="Times New Roman" w:eastAsia="Times New Roman" w:hAnsi="Times New Roman" w:cs="Times New Roman"/>
          <w:iCs/>
          <w:noProof/>
          <w:sz w:val="20"/>
          <w:szCs w:val="20"/>
          <w:lang w:val="en-GB"/>
        </w:rPr>
        <w:t>Investitiile de la nivelul oraselor vor fi selectate pentru finantare in baza unui apel competitiv la nivel regional</w:t>
      </w:r>
    </w:p>
    <w:p w:rsidR="00E91EF6" w:rsidRPr="002E744B" w:rsidRDefault="00E91EF6" w:rsidP="00E91EF6">
      <w:pPr>
        <w:spacing w:before="120" w:after="120" w:line="360" w:lineRule="auto"/>
        <w:rPr>
          <w:rFonts w:ascii="Times New Roman" w:eastAsia="Times New Roman" w:hAnsi="Times New Roman" w:cs="Times New Roman"/>
          <w:b/>
          <w:i/>
          <w:iCs/>
          <w:noProof/>
          <w:sz w:val="24"/>
          <w:szCs w:val="24"/>
          <w:lang w:val="en-GB"/>
        </w:rPr>
      </w:pPr>
      <w:r w:rsidRPr="002E744B">
        <w:rPr>
          <w:rFonts w:ascii="Times New Roman" w:eastAsia="Times New Roman" w:hAnsi="Times New Roman" w:cs="Times New Roman"/>
          <w:i/>
          <w:noProof/>
          <w:sz w:val="24"/>
          <w:szCs w:val="24"/>
          <w:lang w:val="en-GB"/>
        </w:rPr>
        <w:t>The interregional and transnational actions  –Article – 17(3)(d)(v)</w:t>
      </w:r>
    </w:p>
    <w:p w:rsidR="00E91EF6" w:rsidRPr="005C75DF" w:rsidRDefault="00E91EF6" w:rsidP="005C75DF">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Cs/>
          <w:noProof/>
          <w:sz w:val="24"/>
          <w:szCs w:val="24"/>
          <w:lang w:val="en-GB"/>
        </w:rPr>
      </w:pPr>
      <w:r w:rsidRPr="005C75DF">
        <w:rPr>
          <w:rFonts w:ascii="Times New Roman" w:eastAsia="Times New Roman" w:hAnsi="Times New Roman" w:cs="Times New Roman"/>
          <w:iCs/>
          <w:noProof/>
          <w:sz w:val="24"/>
          <w:szCs w:val="24"/>
          <w:lang w:val="en-GB"/>
        </w:rPr>
        <w:t>Text field [2 000]</w:t>
      </w:r>
    </w:p>
    <w:p w:rsidR="00E91EF6" w:rsidRPr="005C75DF" w:rsidRDefault="00E91EF6" w:rsidP="005C75DF">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noProof/>
          <w:sz w:val="20"/>
          <w:szCs w:val="20"/>
          <w:lang w:val="en-GB"/>
        </w:rPr>
      </w:pPr>
      <w:r w:rsidRPr="005C75DF">
        <w:rPr>
          <w:rFonts w:ascii="Times New Roman" w:eastAsia="Times New Roman" w:hAnsi="Times New Roman" w:cs="Times New Roman"/>
          <w:noProof/>
          <w:sz w:val="20"/>
          <w:szCs w:val="20"/>
          <w:lang w:val="en-GB"/>
        </w:rPr>
        <w:t>Este de așteptat ca, pentru serviciile de digitalizare, cel puțin o parte din întreprinderi să apeleze la serviciile unui Hub Inovativ Digital (ceea ce va fi, de altfel, încurajat). Aceste Hub-uri, pentru a putea îndeplini rolul de facilitator al difuzării tehnologiilor digitale, vor fi nevoite să coopereze cu structuri similare din alte state membre, în special cu cele reunite în I4MS, Smart Anything Everywhere (SAE), Data Pitch Innovation Programme, ODINE, ECHORD++, ROBOTT-NET, RODINE, ACTPHAST 4.0, EPRISE, SESAME.NET, EIT Digital, MIDIH, coordonate inclusiv prin dihnet.eu.</w:t>
      </w:r>
    </w:p>
    <w:p w:rsidR="00E91EF6" w:rsidRPr="005C75DF" w:rsidRDefault="00E91EF6" w:rsidP="005C75DF">
      <w:pPr>
        <w:spacing w:after="0" w:line="240" w:lineRule="auto"/>
        <w:jc w:val="both"/>
        <w:rPr>
          <w:rFonts w:ascii="Times New Roman" w:eastAsia="Times New Roman" w:hAnsi="Times New Roman" w:cs="Times New Roman"/>
          <w:iCs/>
          <w:noProof/>
          <w:sz w:val="24"/>
          <w:szCs w:val="24"/>
          <w:lang w:val="en-GB"/>
        </w:rPr>
      </w:pPr>
      <w:r w:rsidRPr="005C75DF">
        <w:rPr>
          <w:rFonts w:ascii="Times New Roman" w:eastAsia="Times New Roman" w:hAnsi="Times New Roman" w:cs="Times New Roman"/>
          <w:noProof/>
          <w:sz w:val="24"/>
          <w:szCs w:val="24"/>
          <w:lang w:val="en-GB"/>
        </w:rPr>
        <w:t>The planned use of financial instruments – Article – 17(3)(d)(vi)</w:t>
      </w:r>
    </w:p>
    <w:p w:rsidR="00E91EF6" w:rsidRPr="005C75DF" w:rsidRDefault="00E91EF6" w:rsidP="005C75DF">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Cs/>
          <w:noProof/>
          <w:sz w:val="24"/>
          <w:szCs w:val="24"/>
          <w:lang w:val="en-GB"/>
        </w:rPr>
      </w:pPr>
      <w:r w:rsidRPr="005C75DF">
        <w:rPr>
          <w:rFonts w:ascii="Times New Roman" w:eastAsia="Times New Roman" w:hAnsi="Times New Roman" w:cs="Times New Roman"/>
          <w:iCs/>
          <w:noProof/>
          <w:sz w:val="24"/>
          <w:szCs w:val="24"/>
          <w:lang w:val="en-GB"/>
        </w:rPr>
        <w:t>Text field [1 000]</w:t>
      </w:r>
    </w:p>
    <w:p w:rsidR="00E91EF6" w:rsidRPr="005C75DF" w:rsidRDefault="00E91EF6" w:rsidP="005C75DF">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noProof/>
          <w:sz w:val="24"/>
          <w:lang w:val="en-GB"/>
        </w:rPr>
      </w:pPr>
      <w:r w:rsidRPr="005C75DF">
        <w:rPr>
          <w:rFonts w:ascii="Times New Roman" w:eastAsia="Times New Roman" w:hAnsi="Times New Roman" w:cs="Times New Roman"/>
          <w:iCs/>
          <w:noProof/>
          <w:sz w:val="24"/>
          <w:szCs w:val="24"/>
          <w:lang w:val="en-GB"/>
        </w:rPr>
        <w:t>-</w:t>
      </w:r>
    </w:p>
    <w:p w:rsidR="00E91EF6" w:rsidRPr="00174F85" w:rsidRDefault="00E91EF6" w:rsidP="00E91EF6">
      <w:pPr>
        <w:spacing w:before="120" w:after="120" w:line="240" w:lineRule="auto"/>
        <w:rPr>
          <w:rFonts w:ascii="Times New Roman" w:eastAsia="Times New Roman" w:hAnsi="Times New Roman" w:cs="Times New Roman"/>
          <w:b/>
          <w:iCs/>
          <w:noProof/>
          <w:sz w:val="24"/>
          <w:szCs w:val="24"/>
          <w:lang w:val="en-GB"/>
        </w:rPr>
      </w:pPr>
      <w:r w:rsidRPr="002E744B">
        <w:rPr>
          <w:rFonts w:ascii="Times New Roman" w:eastAsia="Times New Roman" w:hAnsi="Times New Roman" w:cs="Times New Roman"/>
          <w:b/>
          <w:iCs/>
          <w:noProof/>
          <w:sz w:val="24"/>
          <w:szCs w:val="24"/>
          <w:lang w:val="en-GB"/>
        </w:rPr>
        <w:br w:type="page"/>
      </w:r>
      <w:r w:rsidRPr="00174F85">
        <w:rPr>
          <w:rFonts w:ascii="Times New Roman" w:eastAsia="Times New Roman" w:hAnsi="Times New Roman" w:cs="Times New Roman"/>
          <w:b/>
          <w:iCs/>
          <w:noProof/>
          <w:sz w:val="24"/>
          <w:szCs w:val="24"/>
          <w:lang w:val="en-GB"/>
        </w:rPr>
        <w:lastRenderedPageBreak/>
        <w:t>2.A.3 Specific objective</w:t>
      </w:r>
      <w:r w:rsidRPr="00174F85">
        <w:rPr>
          <w:rFonts w:ascii="Times New Roman" w:eastAsia="Times New Roman" w:hAnsi="Times New Roman" w:cs="Times New Roman"/>
          <w:b/>
          <w:bCs/>
          <w:iCs/>
          <w:noProof/>
          <w:sz w:val="24"/>
          <w:szCs w:val="24"/>
          <w:vertAlign w:val="superscript"/>
          <w:lang w:val="en-GB"/>
        </w:rPr>
        <w:footnoteReference w:id="35"/>
      </w:r>
      <w:r w:rsidRPr="00174F85">
        <w:rPr>
          <w:rFonts w:ascii="Times New Roman" w:eastAsia="Times New Roman" w:hAnsi="Times New Roman" w:cs="Times New Roman"/>
          <w:b/>
          <w:iCs/>
          <w:noProof/>
          <w:sz w:val="24"/>
          <w:szCs w:val="24"/>
          <w:lang w:val="en-GB"/>
        </w:rPr>
        <w:t xml:space="preserve">  (Investment for Jobs and Growth goal) repeated for each selected specific objective for priorities other than technical assistance</w:t>
      </w:r>
    </w:p>
    <w:p w:rsidR="00E91EF6" w:rsidRDefault="00E91EF6" w:rsidP="00E91EF6">
      <w:pPr>
        <w:spacing w:before="240" w:after="240" w:line="360" w:lineRule="auto"/>
        <w:rPr>
          <w:rFonts w:ascii="Times New Roman" w:eastAsia="Times New Roman" w:hAnsi="Times New Roman" w:cs="Times New Roman"/>
          <w:b/>
          <w:iCs/>
          <w:noProof/>
          <w:sz w:val="24"/>
          <w:szCs w:val="24"/>
          <w:lang w:val="en-GB"/>
        </w:rPr>
      </w:pPr>
      <w:r>
        <w:rPr>
          <w:rFonts w:ascii="Times New Roman" w:eastAsia="Times New Roman" w:hAnsi="Times New Roman" w:cs="Times New Roman"/>
          <w:b/>
          <w:iCs/>
          <w:noProof/>
          <w:sz w:val="24"/>
          <w:szCs w:val="24"/>
          <w:lang w:val="en-GB"/>
        </w:rPr>
        <w:t xml:space="preserve">OS </w:t>
      </w:r>
      <w:r w:rsidRPr="00574DE6">
        <w:rPr>
          <w:rFonts w:ascii="Times New Roman" w:eastAsia="Times New Roman" w:hAnsi="Times New Roman" w:cs="Times New Roman"/>
          <w:b/>
          <w:iCs/>
          <w:noProof/>
          <w:sz w:val="24"/>
          <w:szCs w:val="24"/>
          <w:lang w:val="en-GB"/>
        </w:rPr>
        <w:t xml:space="preserve">a (iv) </w:t>
      </w:r>
      <w:r>
        <w:rPr>
          <w:rFonts w:ascii="Times New Roman" w:eastAsia="Times New Roman" w:hAnsi="Times New Roman" w:cs="Times New Roman"/>
          <w:b/>
          <w:iCs/>
          <w:noProof/>
          <w:sz w:val="24"/>
          <w:szCs w:val="24"/>
          <w:lang w:val="en-GB"/>
        </w:rPr>
        <w:t xml:space="preserve">- </w:t>
      </w:r>
      <w:r w:rsidRPr="00574DE6">
        <w:rPr>
          <w:rFonts w:ascii="Times New Roman" w:eastAsia="Times New Roman" w:hAnsi="Times New Roman" w:cs="Times New Roman"/>
          <w:b/>
          <w:iCs/>
          <w:noProof/>
          <w:sz w:val="24"/>
          <w:szCs w:val="24"/>
          <w:lang w:val="en-GB"/>
        </w:rPr>
        <w:t>Dezvoltarea competențelor pentru specializare inteligentă, tranziție industrială și antreprenoriat</w:t>
      </w:r>
    </w:p>
    <w:p w:rsidR="00E91EF6" w:rsidRPr="00174F85" w:rsidRDefault="00E91EF6" w:rsidP="00E91EF6">
      <w:pPr>
        <w:spacing w:before="240" w:after="240" w:line="360" w:lineRule="auto"/>
        <w:rPr>
          <w:rFonts w:ascii="Times New Roman" w:eastAsia="Times New Roman" w:hAnsi="Times New Roman" w:cs="Times New Roman"/>
          <w:b/>
          <w:iCs/>
          <w:noProof/>
          <w:sz w:val="24"/>
          <w:szCs w:val="24"/>
          <w:lang w:val="en-GB"/>
        </w:rPr>
      </w:pPr>
      <w:r w:rsidRPr="00174F85">
        <w:rPr>
          <w:rFonts w:ascii="Times New Roman" w:eastAsia="Times New Roman" w:hAnsi="Times New Roman" w:cs="Times New Roman"/>
          <w:b/>
          <w:iCs/>
          <w:noProof/>
          <w:sz w:val="24"/>
          <w:szCs w:val="24"/>
          <w:lang w:val="en-GB"/>
        </w:rPr>
        <w:t>2.A.3.1 Interventions of the Funds</w:t>
      </w:r>
    </w:p>
    <w:p w:rsidR="00E91EF6" w:rsidRPr="00174F85" w:rsidRDefault="00E91EF6" w:rsidP="00E91EF6">
      <w:pPr>
        <w:spacing w:before="120" w:after="120" w:line="360" w:lineRule="auto"/>
        <w:rPr>
          <w:rFonts w:ascii="Times New Roman" w:eastAsia="Times New Roman" w:hAnsi="Times New Roman" w:cs="Times New Roman"/>
          <w:i/>
          <w:noProof/>
          <w:sz w:val="24"/>
          <w:szCs w:val="24"/>
          <w:lang w:val="en-GB"/>
        </w:rPr>
      </w:pPr>
      <w:r w:rsidRPr="00174F85">
        <w:rPr>
          <w:rFonts w:ascii="Times New Roman" w:eastAsia="Times New Roman" w:hAnsi="Times New Roman" w:cs="Times New Roman"/>
          <w:i/>
          <w:noProof/>
          <w:sz w:val="24"/>
          <w:szCs w:val="24"/>
          <w:lang w:val="en-GB"/>
        </w:rPr>
        <w:t>Reference: Article 17(3)(d)(i),(iii),(iv),(v),(vi);</w:t>
      </w:r>
    </w:p>
    <w:p w:rsidR="00E91EF6" w:rsidRPr="00174F85" w:rsidRDefault="00E91EF6" w:rsidP="00E91EF6">
      <w:pPr>
        <w:bidi/>
        <w:spacing w:before="120" w:after="120" w:line="360" w:lineRule="auto"/>
        <w:jc w:val="right"/>
        <w:rPr>
          <w:rFonts w:ascii="Times New Roman" w:eastAsia="Times New Roman" w:hAnsi="Times New Roman" w:cs="Times New Roman"/>
          <w:b/>
          <w:bCs/>
          <w:i/>
          <w:iCs/>
          <w:noProof/>
          <w:sz w:val="24"/>
          <w:szCs w:val="24"/>
          <w:u w:val="single"/>
          <w:lang w:val="en-GB"/>
        </w:rPr>
      </w:pPr>
      <w:r w:rsidRPr="00174F85">
        <w:rPr>
          <w:rFonts w:ascii="Times New Roman" w:eastAsia="Times New Roman" w:hAnsi="Times New Roman" w:cs="Times New Roman"/>
          <w:i/>
          <w:noProof/>
          <w:sz w:val="24"/>
          <w:szCs w:val="24"/>
          <w:lang w:val="en-GB"/>
        </w:rPr>
        <w:t>The related types of actions – Article 17(3)(d)(i) CPR; Article 6(2) ESF+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91EF6" w:rsidRPr="00E521D7" w:rsidTr="005025B9">
        <w:tc>
          <w:tcPr>
            <w:tcW w:w="9288" w:type="dxa"/>
            <w:tcBorders>
              <w:top w:val="single" w:sz="4" w:space="0" w:color="auto"/>
              <w:left w:val="single" w:sz="4" w:space="0" w:color="auto"/>
              <w:bottom w:val="single" w:sz="4" w:space="0" w:color="auto"/>
              <w:right w:val="single" w:sz="4" w:space="0" w:color="auto"/>
            </w:tcBorders>
            <w:hideMark/>
          </w:tcPr>
          <w:p w:rsidR="00E91EF6" w:rsidRPr="005C75DF" w:rsidRDefault="00E91EF6" w:rsidP="005C75DF">
            <w:pPr>
              <w:spacing w:after="0" w:line="240" w:lineRule="auto"/>
              <w:jc w:val="both"/>
              <w:rPr>
                <w:rFonts w:ascii="Times New Roman" w:eastAsia="Times New Roman" w:hAnsi="Times New Roman" w:cs="Times New Roman"/>
                <w:iCs/>
                <w:noProof/>
                <w:szCs w:val="24"/>
                <w:lang w:val="en-US"/>
              </w:rPr>
            </w:pPr>
            <w:r w:rsidRPr="005C75DF">
              <w:rPr>
                <w:rFonts w:ascii="Times New Roman" w:eastAsia="Times New Roman" w:hAnsi="Times New Roman" w:cs="Times New Roman"/>
                <w:iCs/>
                <w:noProof/>
                <w:szCs w:val="24"/>
                <w:lang w:val="en-US"/>
              </w:rPr>
              <w:t>Text field [8 000]</w:t>
            </w:r>
          </w:p>
          <w:p w:rsidR="00E91EF6" w:rsidRPr="005C75DF" w:rsidRDefault="00E91EF6" w:rsidP="005C75DF">
            <w:pPr>
              <w:spacing w:after="0" w:line="240" w:lineRule="auto"/>
              <w:jc w:val="both"/>
              <w:rPr>
                <w:rFonts w:ascii="Times New Roman" w:eastAsia="Times New Roman" w:hAnsi="Times New Roman" w:cs="Times New Roman"/>
                <w:iCs/>
                <w:noProof/>
                <w:sz w:val="20"/>
                <w:szCs w:val="20"/>
                <w:lang w:val="en-US"/>
              </w:rPr>
            </w:pPr>
            <w:r w:rsidRPr="005C75DF">
              <w:rPr>
                <w:rFonts w:ascii="Times New Roman" w:eastAsia="Times New Roman" w:hAnsi="Times New Roman" w:cs="Times New Roman"/>
                <w:iCs/>
                <w:noProof/>
                <w:sz w:val="20"/>
                <w:szCs w:val="20"/>
                <w:lang w:val="en-US"/>
              </w:rPr>
              <w:t>Acţiunile prevăzute în cadrul Priorităţii 2 O regiune digitală în legătură cu obiectivul specific (Dezvoltarea competențelor pentru specializare inteligentă, tranziție industrială și antreprenoriat) sunt:</w:t>
            </w:r>
          </w:p>
          <w:p w:rsidR="00E91EF6" w:rsidRPr="005C75DF" w:rsidRDefault="00E91EF6" w:rsidP="005C75DF">
            <w:pPr>
              <w:spacing w:after="0" w:line="240" w:lineRule="auto"/>
              <w:jc w:val="both"/>
              <w:rPr>
                <w:rFonts w:ascii="Times New Roman" w:eastAsia="Times New Roman" w:hAnsi="Times New Roman" w:cs="Times New Roman"/>
                <w:iCs/>
                <w:noProof/>
                <w:sz w:val="20"/>
                <w:szCs w:val="20"/>
                <w:lang w:val="en-US"/>
              </w:rPr>
            </w:pPr>
            <w:r w:rsidRPr="005C75DF">
              <w:rPr>
                <w:rFonts w:ascii="Times New Roman" w:eastAsia="Times New Roman" w:hAnsi="Times New Roman" w:cs="Times New Roman"/>
                <w:iCs/>
                <w:noProof/>
                <w:sz w:val="20"/>
                <w:szCs w:val="20"/>
                <w:lang w:val="en-US"/>
              </w:rPr>
              <w:t>Operațiune 1 Comunităţi digitale pentru o regiune inteligentă</w:t>
            </w:r>
          </w:p>
          <w:p w:rsidR="00E91EF6" w:rsidRPr="005C75DF" w:rsidRDefault="00E91EF6" w:rsidP="005C75DF">
            <w:pPr>
              <w:pStyle w:val="Listparagraf"/>
              <w:numPr>
                <w:ilvl w:val="0"/>
                <w:numId w:val="71"/>
              </w:numPr>
              <w:spacing w:before="0" w:after="0" w:line="240" w:lineRule="auto"/>
              <w:jc w:val="both"/>
              <w:rPr>
                <w:rFonts w:eastAsia="Times New Roman"/>
                <w:iCs/>
                <w:noProof/>
                <w:sz w:val="20"/>
                <w:szCs w:val="20"/>
                <w:lang w:val="en-US"/>
              </w:rPr>
            </w:pPr>
            <w:r w:rsidRPr="005C75DF">
              <w:rPr>
                <w:rFonts w:eastAsia="Times New Roman"/>
                <w:iCs/>
                <w:noProof/>
                <w:sz w:val="20"/>
                <w:szCs w:val="20"/>
                <w:lang w:val="en-US"/>
              </w:rPr>
              <w:t>instruirea personalului din administraţie pentru operarea platformelor digitale;</w:t>
            </w:r>
          </w:p>
          <w:p w:rsidR="00E91EF6" w:rsidRPr="005C75DF" w:rsidRDefault="00E91EF6" w:rsidP="005C75DF">
            <w:pPr>
              <w:pStyle w:val="Listparagraf"/>
              <w:numPr>
                <w:ilvl w:val="0"/>
                <w:numId w:val="71"/>
              </w:numPr>
              <w:spacing w:before="0" w:after="0" w:line="240" w:lineRule="auto"/>
              <w:jc w:val="both"/>
              <w:rPr>
                <w:rFonts w:eastAsia="Times New Roman"/>
                <w:iCs/>
                <w:noProof/>
                <w:sz w:val="20"/>
                <w:szCs w:val="20"/>
                <w:lang w:val="en-US"/>
              </w:rPr>
            </w:pPr>
            <w:r w:rsidRPr="005C75DF">
              <w:rPr>
                <w:rFonts w:eastAsia="Times New Roman"/>
                <w:iCs/>
                <w:noProof/>
                <w:sz w:val="20"/>
                <w:szCs w:val="20"/>
                <w:lang w:val="en-US"/>
              </w:rPr>
              <w:t>instruirea elevilor şi a personalului didactic în vederea utilizării instrumentelor digitale;</w:t>
            </w:r>
          </w:p>
          <w:p w:rsidR="00E91EF6" w:rsidRPr="005C75DF" w:rsidRDefault="00E91EF6" w:rsidP="005C75DF">
            <w:pPr>
              <w:spacing w:after="0" w:line="240" w:lineRule="auto"/>
              <w:jc w:val="both"/>
              <w:rPr>
                <w:rFonts w:ascii="Times New Roman" w:eastAsia="Times New Roman" w:hAnsi="Times New Roman" w:cs="Times New Roman"/>
                <w:iCs/>
                <w:noProof/>
                <w:sz w:val="20"/>
                <w:szCs w:val="20"/>
                <w:lang w:val="en-US"/>
              </w:rPr>
            </w:pPr>
            <w:r w:rsidRPr="005C75DF">
              <w:rPr>
                <w:rFonts w:ascii="Times New Roman" w:eastAsia="Times New Roman" w:hAnsi="Times New Roman" w:cs="Times New Roman"/>
                <w:iCs/>
                <w:noProof/>
                <w:sz w:val="20"/>
                <w:szCs w:val="20"/>
                <w:lang w:val="en-US"/>
              </w:rPr>
              <w:t>Operațiune 2 Întreprinderi digitale pentru o economie avansată</w:t>
            </w:r>
          </w:p>
          <w:p w:rsidR="00E91EF6" w:rsidRPr="005C75DF" w:rsidRDefault="00E91EF6" w:rsidP="005C75DF">
            <w:pPr>
              <w:pStyle w:val="Listparagraf"/>
              <w:numPr>
                <w:ilvl w:val="0"/>
                <w:numId w:val="71"/>
              </w:numPr>
              <w:spacing w:before="0" w:after="0" w:line="240" w:lineRule="auto"/>
              <w:jc w:val="both"/>
              <w:rPr>
                <w:rFonts w:eastAsia="Times New Roman"/>
                <w:iCs/>
                <w:noProof/>
                <w:sz w:val="20"/>
                <w:szCs w:val="20"/>
                <w:lang w:val="en-US"/>
              </w:rPr>
            </w:pPr>
            <w:r w:rsidRPr="005C75DF">
              <w:rPr>
                <w:rFonts w:eastAsia="Times New Roman"/>
                <w:iCs/>
                <w:noProof/>
                <w:sz w:val="20"/>
                <w:szCs w:val="20"/>
                <w:lang w:val="en-US"/>
              </w:rPr>
              <w:t>Instruirea personalului din companii în vederea îmbunătăţirii utilizării instrumentelor digitale;</w:t>
            </w:r>
          </w:p>
          <w:p w:rsidR="00E91EF6" w:rsidRPr="005C75DF" w:rsidRDefault="00E91EF6" w:rsidP="005C75DF">
            <w:pPr>
              <w:spacing w:after="0" w:line="240" w:lineRule="auto"/>
              <w:jc w:val="both"/>
              <w:rPr>
                <w:rFonts w:ascii="Times New Roman" w:eastAsia="Times New Roman" w:hAnsi="Times New Roman" w:cs="Times New Roman"/>
                <w:iCs/>
                <w:noProof/>
                <w:sz w:val="20"/>
                <w:szCs w:val="20"/>
                <w:lang w:val="en-US"/>
              </w:rPr>
            </w:pPr>
            <w:r w:rsidRPr="005C75DF">
              <w:rPr>
                <w:rFonts w:ascii="Times New Roman" w:eastAsia="Times New Roman" w:hAnsi="Times New Roman" w:cs="Times New Roman"/>
                <w:iCs/>
                <w:noProof/>
                <w:sz w:val="20"/>
                <w:szCs w:val="20"/>
                <w:lang w:val="en-US"/>
              </w:rPr>
              <w:t>Pentru utilizarea la scară extinsă a serviciilor digitale, este nevoie și de instruirea adecvată a publicului receptor. Chiar dacă există o plajă de manevră generoasă, ținta de utilizatori de servicii propusă pentru atingere nu va putea niciodată depăși totalul persoanelor cu abilități practice minimale în domeniul tehnicii informatice. Deși la nivel regional nu există o statistică care să reflecte gradul de alfabetizare informatică al populației, se pot considera relevante datele existente la nivel național. Marja de abatere față de estimările naționale este neglijabilă. Conform raportului DESI 2020, digitalizarea economiei românești a rămas în urmă în condiţiile în care aproape o cincime dintre români nu au utilizat niciodată internetul și mai puțin de o treime au competențe digitale cel puțin elementare. Mai puţin de o treime dintre persoanele cu vârsta între 16 și 74 de ani au competențele digitale elementare, față de 58%, media UE. Pe de altă parte, România are rezultate bune în ceea ce privește absolvenții în domeniul TIC, situându-se pe locul 5 în rândul statelor membre, c</w:t>
            </w:r>
            <w:r w:rsidR="007B330B" w:rsidRPr="005C75DF">
              <w:rPr>
                <w:rFonts w:ascii="Times New Roman" w:eastAsia="Times New Roman" w:hAnsi="Times New Roman" w:cs="Times New Roman"/>
                <w:iCs/>
                <w:noProof/>
                <w:sz w:val="20"/>
                <w:szCs w:val="20"/>
                <w:lang w:val="en-US"/>
              </w:rPr>
              <w:t>u 5,6% dintre toți absolvenții.</w:t>
            </w:r>
          </w:p>
          <w:p w:rsidR="00E91EF6" w:rsidRPr="005C75DF" w:rsidRDefault="00E91EF6" w:rsidP="005C75DF">
            <w:pPr>
              <w:spacing w:after="0" w:line="240" w:lineRule="auto"/>
              <w:jc w:val="both"/>
              <w:rPr>
                <w:rFonts w:ascii="Times New Roman" w:eastAsia="Times New Roman" w:hAnsi="Times New Roman" w:cs="Times New Roman"/>
                <w:iCs/>
                <w:noProof/>
                <w:sz w:val="20"/>
                <w:szCs w:val="20"/>
                <w:lang w:val="en-US"/>
              </w:rPr>
            </w:pPr>
            <w:r w:rsidRPr="005C75DF">
              <w:rPr>
                <w:rFonts w:ascii="Times New Roman" w:eastAsia="Times New Roman" w:hAnsi="Times New Roman" w:cs="Times New Roman"/>
                <w:iCs/>
                <w:noProof/>
                <w:sz w:val="20"/>
                <w:szCs w:val="20"/>
                <w:lang w:val="en-US"/>
              </w:rPr>
              <w:t xml:space="preserve">Conectivitatea gospodăriilor și utilizarea internetului pot fi indicatori relevanți. 66% din gospodării utilizează servicii fixe de bandă largă și 72% din cetățeni sunt utilizatori de internet, în creştere susţinută din 2018 până în prezent. Media la nivel european a utilizatorilor de internet este 85%. Surprinzător este nivelul de 82% din totalul utilizatorilor de internet care recurg la soluții de e-guvernare. Acest nivel ridică țara pe locul 8 la nivel european, în privința nevoii de depunere a formularelor. Cu toate acestea, la calcularea punctelor pe baza numărului de formulare precompletate și a serviciilor realizate integral online, țara noastră ocupă ultimele locuri, ceea ce reflectă o </w:t>
            </w:r>
            <w:r w:rsidRPr="005C75DF">
              <w:rPr>
                <w:rFonts w:ascii="Times New Roman" w:eastAsia="Times New Roman" w:hAnsi="Times New Roman" w:cs="Times New Roman"/>
                <w:b/>
                <w:iCs/>
                <w:noProof/>
                <w:sz w:val="20"/>
                <w:szCs w:val="20"/>
                <w:lang w:val="en-US"/>
              </w:rPr>
              <w:t>interacțiune greoaie și parțială a utilizatorilor cu autoritățile publice prin intermediul soluțiilor disponibile în online</w:t>
            </w:r>
            <w:r w:rsidRPr="005C75DF">
              <w:rPr>
                <w:rFonts w:ascii="Times New Roman" w:eastAsia="Times New Roman" w:hAnsi="Times New Roman" w:cs="Times New Roman"/>
                <w:iCs/>
                <w:noProof/>
                <w:sz w:val="20"/>
                <w:szCs w:val="20"/>
                <w:lang w:val="en-US"/>
              </w:rPr>
              <w:t>.</w:t>
            </w:r>
          </w:p>
          <w:p w:rsidR="00E91EF6" w:rsidRPr="005C75DF" w:rsidRDefault="00E91EF6" w:rsidP="005C75DF">
            <w:pPr>
              <w:spacing w:after="0" w:line="240" w:lineRule="auto"/>
              <w:jc w:val="both"/>
              <w:rPr>
                <w:rFonts w:ascii="Times New Roman" w:eastAsia="Times New Roman" w:hAnsi="Times New Roman" w:cs="Times New Roman"/>
                <w:iCs/>
                <w:noProof/>
                <w:sz w:val="20"/>
                <w:szCs w:val="20"/>
                <w:lang w:val="en-US"/>
              </w:rPr>
            </w:pPr>
          </w:p>
          <w:p w:rsidR="00E91EF6" w:rsidRPr="005C75DF" w:rsidRDefault="00E91EF6" w:rsidP="005C75DF">
            <w:pPr>
              <w:spacing w:after="0" w:line="240" w:lineRule="auto"/>
              <w:jc w:val="both"/>
              <w:rPr>
                <w:rFonts w:ascii="Times New Roman" w:eastAsia="Times New Roman" w:hAnsi="Times New Roman" w:cs="Times New Roman"/>
                <w:iCs/>
                <w:noProof/>
                <w:sz w:val="20"/>
                <w:szCs w:val="20"/>
                <w:lang w:val="en-US"/>
              </w:rPr>
            </w:pPr>
            <w:r w:rsidRPr="005C75DF">
              <w:rPr>
                <w:rFonts w:ascii="Times New Roman" w:eastAsia="Times New Roman" w:hAnsi="Times New Roman" w:cs="Times New Roman"/>
                <w:iCs/>
                <w:noProof/>
                <w:sz w:val="20"/>
                <w:szCs w:val="20"/>
                <w:lang w:val="en-US"/>
              </w:rPr>
              <w:t>Dezvoltarea competenţelor digitale la nivelul populaţiei, atât cea activă în cadrul admistraţiei publice, cât şi în cadrul IMM-urilor este o prioritate orizontală care se adresează nevoilor de achiziție de competențe pentru toți actorii implicați, la nivel de proiecte. Susținerea achiziției de competențe în relație cu Obiectivul specific a (ii) Fructificarea avantajelor digitalizării, în beneficiul cetăţenilor, al companiilor şi al guvernelor, este o condiție esențială pentru valorificarea la maxim a oportunităților. Trebuie avut în vedere că la nivel național, implicarea adulților în procesul de învățare de-a lungul vieții este mult diminuat față de media europeană (și față de nevoile reale de re-skilling și pregătire pentru noile paradigme tehnologice), competențele digitale ale capitalului uman plasează România pe utlimul loc în UE (conform rapoartelor DESI), ceea ce contribuie la menținerea în minoritate a integrării tehnologiilor digitale (conform acelorași rapoarte), antreprenoriatul este și el la minim, iar una din barierele majore a inovării este tocmai lipsa de resursă umană disponibilă să opereze cu acestea (confom unui raport al World Economic Forum). Prin integrarea la nivel de proiect a acestei priorități ca temă orizontală, se deschide pentru promotorii de proiecte posibilitatea ca resursele umane existente sau necesare pentru punerea în practică a proiectelor să fie înrolate în programe de pregătire specifice în strânsă legătură cu profilul proiectului, inclusiv în ce privește operarea tehnologiilor achizționate.</w:t>
            </w:r>
          </w:p>
          <w:p w:rsidR="00E91EF6" w:rsidRPr="005C75DF" w:rsidRDefault="00E91EF6" w:rsidP="005C75DF">
            <w:pPr>
              <w:spacing w:after="0" w:line="240" w:lineRule="auto"/>
              <w:jc w:val="both"/>
              <w:rPr>
                <w:rFonts w:ascii="Times New Roman" w:eastAsia="Times New Roman" w:hAnsi="Times New Roman" w:cs="Times New Roman"/>
                <w:iCs/>
                <w:noProof/>
                <w:sz w:val="20"/>
                <w:szCs w:val="20"/>
                <w:lang w:val="en-US"/>
              </w:rPr>
            </w:pPr>
            <w:r w:rsidRPr="005C75DF">
              <w:rPr>
                <w:rFonts w:ascii="Times New Roman" w:eastAsia="Times New Roman" w:hAnsi="Times New Roman" w:cs="Times New Roman"/>
                <w:iCs/>
                <w:noProof/>
                <w:sz w:val="20"/>
                <w:szCs w:val="20"/>
                <w:lang w:val="en-US"/>
              </w:rPr>
              <w:t xml:space="preserve">DG Connect identifică drept provocare cheie în procesul de digitalizare al IMM-urilor golul de cunoaştere (Knowledge Gap): de cele mai multe ori IMM-urile nu sunt conştiente de beneficiile digitalizării şi nu ştiu cum să adopte tehnologiile digitale în afacerile lor. Programele de digitalizare de succes ar trebui să se concentreze pe </w:t>
            </w:r>
            <w:r w:rsidRPr="005C75DF">
              <w:rPr>
                <w:rFonts w:ascii="Times New Roman" w:eastAsia="Times New Roman" w:hAnsi="Times New Roman" w:cs="Times New Roman"/>
                <w:iCs/>
                <w:noProof/>
                <w:sz w:val="20"/>
                <w:szCs w:val="20"/>
                <w:lang w:val="en-US"/>
              </w:rPr>
              <w:lastRenderedPageBreak/>
              <w:t>furnizarea de produse şi servicii integrate pentru IMM-uri, incluzând activităţi de conştientizare, programe de alfabetizare digitală, transfer de cunoaştere servicii de consultanţă şi investiţii în tehnologii digitale. Succesul acestor servicii este condiţionat şi de proximitatea teritorială a DIH faţă de piaţa pe care o ţinteşte, pentru a-i permite o bună cunoaştere a specificului şi accesibilitate faţă de fiecare client în parte. Conform Digital Transformation Scoreboard, ediția 2017, România se află pe ultimul loc în indexul EU Digital Transformation Enablers. Cererea de competențe digitale în afara industriei de profil este evaluată la zero, iar în ce privește investițiile și accesul la finanțare pentru transformare digitală, România este pe antepenultimul loc, la fel și în ceea ce privește infrastructura digitală pentru transformare digitală. În lipsa unor date în profil regional, se poate presupune că o eventuală variație marginală a acestor date nu influențează tabloul general și acesta se aplică în foarte mare măsură și Regiunii Centru, fiind, astfel, utilizabil pentru fundamentarea acestor intervenții.</w:t>
            </w:r>
          </w:p>
          <w:p w:rsidR="00E91EF6" w:rsidRPr="005C75DF" w:rsidRDefault="00E91EF6" w:rsidP="005C75DF">
            <w:pPr>
              <w:spacing w:after="0" w:line="240" w:lineRule="auto"/>
              <w:jc w:val="both"/>
              <w:rPr>
                <w:rFonts w:ascii="Times New Roman" w:eastAsia="Times New Roman" w:hAnsi="Times New Roman" w:cs="Times New Roman"/>
                <w:iCs/>
                <w:noProof/>
                <w:szCs w:val="24"/>
                <w:lang w:val="en-US"/>
              </w:rPr>
            </w:pPr>
            <w:r w:rsidRPr="005C75DF">
              <w:rPr>
                <w:rFonts w:ascii="Times New Roman" w:eastAsia="Times New Roman" w:hAnsi="Times New Roman" w:cs="Times New Roman"/>
                <w:iCs/>
                <w:noProof/>
                <w:sz w:val="20"/>
                <w:szCs w:val="20"/>
                <w:lang w:val="en-US"/>
              </w:rPr>
              <w:t>Mecanismele de intervenție cuprind ajutoare regionale, de stat și de minimis, care vor putea fi accesate direct sau indirect (sub forma de vouchere de instruire sau acces la servicii de sprijin). Accesul este condiționat de participarea la competiții de proiecte pentru care se va utiliza mecansimul de apel competitiv cu termen limită.</w:t>
            </w:r>
          </w:p>
        </w:tc>
      </w:tr>
    </w:tbl>
    <w:p w:rsidR="00E91EF6" w:rsidRPr="005C75DF" w:rsidRDefault="00E91EF6" w:rsidP="005C75DF">
      <w:pPr>
        <w:spacing w:after="0" w:line="240" w:lineRule="auto"/>
        <w:jc w:val="both"/>
        <w:rPr>
          <w:rFonts w:ascii="Times New Roman" w:eastAsia="Times New Roman" w:hAnsi="Times New Roman" w:cs="Times New Roman"/>
          <w:b/>
          <w:iCs/>
          <w:noProof/>
          <w:sz w:val="24"/>
          <w:szCs w:val="24"/>
          <w:lang w:val="en-GB"/>
        </w:rPr>
      </w:pPr>
      <w:r w:rsidRPr="005C75DF">
        <w:rPr>
          <w:rFonts w:ascii="Times New Roman" w:eastAsia="Times New Roman" w:hAnsi="Times New Roman" w:cs="Times New Roman"/>
          <w:noProof/>
          <w:sz w:val="24"/>
          <w:szCs w:val="24"/>
          <w:lang w:val="en-GB"/>
        </w:rPr>
        <w:lastRenderedPageBreak/>
        <w:t>The main target groups - Article 17(3)(d)(iii):</w:t>
      </w:r>
    </w:p>
    <w:p w:rsidR="00E91EF6" w:rsidRPr="005C75DF" w:rsidRDefault="00E91EF6" w:rsidP="005C75DF">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Cs/>
          <w:noProof/>
          <w:sz w:val="24"/>
          <w:szCs w:val="24"/>
          <w:lang w:val="en-GB"/>
        </w:rPr>
      </w:pPr>
      <w:r w:rsidRPr="005C75DF">
        <w:rPr>
          <w:rFonts w:ascii="Times New Roman" w:eastAsia="Times New Roman" w:hAnsi="Times New Roman" w:cs="Times New Roman"/>
          <w:iCs/>
          <w:noProof/>
          <w:sz w:val="24"/>
          <w:szCs w:val="24"/>
          <w:lang w:val="en-GB"/>
        </w:rPr>
        <w:t>Text field [1 000]</w:t>
      </w:r>
    </w:p>
    <w:p w:rsidR="00E91EF6" w:rsidRPr="005C75DF" w:rsidRDefault="00E91EF6" w:rsidP="005C75DF">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noProof/>
          <w:sz w:val="20"/>
          <w:szCs w:val="20"/>
          <w:lang w:val="en-GB"/>
        </w:rPr>
      </w:pPr>
      <w:r w:rsidRPr="005C75DF">
        <w:rPr>
          <w:rFonts w:ascii="Times New Roman" w:eastAsia="Times New Roman" w:hAnsi="Times New Roman" w:cs="Times New Roman"/>
          <w:noProof/>
          <w:sz w:val="20"/>
          <w:szCs w:val="20"/>
          <w:lang w:val="en-GB"/>
        </w:rPr>
        <w:t>Grupul țintă este format din următoarele categorii și persoane:</w:t>
      </w:r>
    </w:p>
    <w:p w:rsidR="00E91EF6" w:rsidRPr="005C75DF" w:rsidRDefault="00E91EF6" w:rsidP="005C75DF">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noProof/>
          <w:sz w:val="20"/>
          <w:szCs w:val="20"/>
          <w:lang w:val="en-GB"/>
        </w:rPr>
      </w:pPr>
      <w:r w:rsidRPr="005C75DF">
        <w:rPr>
          <w:rFonts w:ascii="Times New Roman" w:eastAsia="Times New Roman" w:hAnsi="Times New Roman" w:cs="Times New Roman"/>
          <w:noProof/>
          <w:sz w:val="20"/>
          <w:szCs w:val="20"/>
          <w:lang w:val="en-GB"/>
        </w:rPr>
        <w:t>-  Angajații UAT, ai organizaţiilor private (antreprenori, ONG) care sunt instruiţi,</w:t>
      </w:r>
    </w:p>
    <w:p w:rsidR="00E91EF6" w:rsidRPr="005C75DF" w:rsidRDefault="00E91EF6" w:rsidP="005C75DF">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noProof/>
          <w:sz w:val="20"/>
          <w:szCs w:val="20"/>
          <w:lang w:val="en-GB"/>
        </w:rPr>
      </w:pPr>
      <w:r w:rsidRPr="005C75DF">
        <w:rPr>
          <w:rFonts w:ascii="Times New Roman" w:eastAsia="Times New Roman" w:hAnsi="Times New Roman" w:cs="Times New Roman"/>
          <w:noProof/>
          <w:sz w:val="20"/>
          <w:szCs w:val="20"/>
          <w:lang w:val="en-GB"/>
        </w:rPr>
        <w:t>- Organizaţiile care susţin cursurile de formare,</w:t>
      </w:r>
    </w:p>
    <w:p w:rsidR="00E91EF6" w:rsidRPr="005C75DF" w:rsidRDefault="00E91EF6" w:rsidP="005C75DF">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noProof/>
          <w:sz w:val="20"/>
          <w:szCs w:val="20"/>
          <w:lang w:val="en-GB"/>
        </w:rPr>
      </w:pPr>
      <w:r w:rsidRPr="005C75DF">
        <w:rPr>
          <w:rFonts w:ascii="Times New Roman" w:eastAsia="Times New Roman" w:hAnsi="Times New Roman" w:cs="Times New Roman"/>
          <w:noProof/>
          <w:sz w:val="20"/>
          <w:szCs w:val="20"/>
          <w:lang w:val="en-GB"/>
        </w:rPr>
        <w:t>- Locuitorii din zonele care beneficiază de interacţiune cu personalul instruit,</w:t>
      </w:r>
    </w:p>
    <w:p w:rsidR="00E91EF6" w:rsidRPr="005C75DF" w:rsidRDefault="00E91EF6" w:rsidP="005C75DF">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noProof/>
          <w:sz w:val="20"/>
          <w:szCs w:val="20"/>
          <w:lang w:val="en-GB"/>
        </w:rPr>
      </w:pPr>
      <w:r w:rsidRPr="005C75DF">
        <w:rPr>
          <w:rFonts w:ascii="Times New Roman" w:eastAsia="Times New Roman" w:hAnsi="Times New Roman" w:cs="Times New Roman"/>
          <w:noProof/>
          <w:sz w:val="20"/>
          <w:szCs w:val="20"/>
          <w:lang w:val="en-GB"/>
        </w:rPr>
        <w:t>- Întreprinderi private din zonele care beneficiază de implementarea proiectelor de instruire de către administraţiile publice</w:t>
      </w:r>
    </w:p>
    <w:p w:rsidR="00E91EF6" w:rsidRPr="005C75DF" w:rsidRDefault="00E91EF6" w:rsidP="005C75DF">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noProof/>
          <w:sz w:val="24"/>
          <w:lang w:val="en-GB"/>
        </w:rPr>
      </w:pPr>
    </w:p>
    <w:p w:rsidR="00E91EF6" w:rsidRPr="005C75DF" w:rsidRDefault="00E91EF6" w:rsidP="005C75DF">
      <w:pPr>
        <w:spacing w:after="0" w:line="240" w:lineRule="auto"/>
        <w:jc w:val="both"/>
        <w:rPr>
          <w:rFonts w:ascii="Times New Roman" w:eastAsia="Times New Roman" w:hAnsi="Times New Roman" w:cs="Times New Roman"/>
          <w:noProof/>
          <w:sz w:val="24"/>
          <w:szCs w:val="24"/>
          <w:lang w:val="en-GB"/>
        </w:rPr>
      </w:pPr>
      <w:r w:rsidRPr="005C75DF">
        <w:rPr>
          <w:rFonts w:ascii="Times New Roman" w:eastAsia="Times New Roman" w:hAnsi="Times New Roman" w:cs="Times New Roman"/>
          <w:noProof/>
          <w:sz w:val="24"/>
          <w:szCs w:val="24"/>
          <w:lang w:val="en-GB"/>
        </w:rPr>
        <w:t>Specific territories tageted, including the planned use of territorial tools – Article 17(3)(d)(iv)</w:t>
      </w:r>
    </w:p>
    <w:p w:rsidR="00E91EF6" w:rsidRPr="005C75DF" w:rsidRDefault="00E91EF6" w:rsidP="005C75DF">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Cs/>
          <w:noProof/>
          <w:sz w:val="24"/>
          <w:szCs w:val="24"/>
          <w:lang w:val="en-GB"/>
        </w:rPr>
      </w:pPr>
      <w:r w:rsidRPr="005C75DF">
        <w:rPr>
          <w:rFonts w:ascii="Times New Roman" w:eastAsia="Times New Roman" w:hAnsi="Times New Roman" w:cs="Times New Roman"/>
          <w:iCs/>
          <w:noProof/>
          <w:sz w:val="24"/>
          <w:szCs w:val="24"/>
          <w:lang w:val="en-GB"/>
        </w:rPr>
        <w:t>Text field [2 000]</w:t>
      </w:r>
    </w:p>
    <w:p w:rsidR="00E91EF6" w:rsidRPr="005C75DF" w:rsidRDefault="00E91EF6" w:rsidP="005C75DF">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noProof/>
          <w:sz w:val="24"/>
          <w:lang w:val="en-GB"/>
        </w:rPr>
      </w:pPr>
      <w:r w:rsidRPr="005C75DF">
        <w:rPr>
          <w:rFonts w:ascii="Times New Roman" w:eastAsia="Times New Roman" w:hAnsi="Times New Roman" w:cs="Times New Roman"/>
          <w:iCs/>
          <w:noProof/>
          <w:sz w:val="24"/>
          <w:szCs w:val="24"/>
          <w:lang w:val="en-GB"/>
        </w:rPr>
        <w:t>Regiunea Centru, mediul urban şi rural</w:t>
      </w:r>
    </w:p>
    <w:p w:rsidR="00E91EF6" w:rsidRPr="005C75DF" w:rsidRDefault="00E91EF6" w:rsidP="005C75DF">
      <w:pPr>
        <w:spacing w:after="0" w:line="240" w:lineRule="auto"/>
        <w:jc w:val="both"/>
        <w:rPr>
          <w:rFonts w:ascii="Times New Roman" w:eastAsia="Times New Roman" w:hAnsi="Times New Roman" w:cs="Times New Roman"/>
          <w:b/>
          <w:iCs/>
          <w:noProof/>
          <w:sz w:val="24"/>
          <w:szCs w:val="24"/>
          <w:lang w:val="en-GB"/>
        </w:rPr>
      </w:pPr>
      <w:r w:rsidRPr="005C75DF">
        <w:rPr>
          <w:rFonts w:ascii="Times New Roman" w:eastAsia="Times New Roman" w:hAnsi="Times New Roman" w:cs="Times New Roman"/>
          <w:noProof/>
          <w:sz w:val="24"/>
          <w:szCs w:val="24"/>
          <w:lang w:val="en-GB"/>
        </w:rPr>
        <w:t>The interregional and transnational actions  –Article – 17(3)(d)(v)</w:t>
      </w:r>
    </w:p>
    <w:p w:rsidR="00E91EF6" w:rsidRPr="005C75DF" w:rsidRDefault="00E91EF6" w:rsidP="005C75DF">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Cs/>
          <w:noProof/>
          <w:sz w:val="24"/>
          <w:szCs w:val="24"/>
          <w:lang w:val="en-GB"/>
        </w:rPr>
      </w:pPr>
      <w:r w:rsidRPr="005C75DF">
        <w:rPr>
          <w:rFonts w:ascii="Times New Roman" w:eastAsia="Times New Roman" w:hAnsi="Times New Roman" w:cs="Times New Roman"/>
          <w:iCs/>
          <w:noProof/>
          <w:sz w:val="24"/>
          <w:szCs w:val="24"/>
          <w:lang w:val="en-GB"/>
        </w:rPr>
        <w:t>Text field [2 000]</w:t>
      </w:r>
    </w:p>
    <w:p w:rsidR="00E91EF6" w:rsidRPr="005C75DF" w:rsidRDefault="00E91EF6" w:rsidP="005C75DF">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noProof/>
          <w:sz w:val="20"/>
          <w:szCs w:val="20"/>
          <w:lang w:val="en-GB"/>
        </w:rPr>
      </w:pPr>
      <w:r w:rsidRPr="005C75DF">
        <w:rPr>
          <w:rFonts w:ascii="Times New Roman" w:eastAsia="Times New Roman" w:hAnsi="Times New Roman" w:cs="Times New Roman"/>
          <w:noProof/>
          <w:sz w:val="20"/>
          <w:szCs w:val="20"/>
          <w:lang w:val="en-GB"/>
        </w:rPr>
        <w:t xml:space="preserve">Instruirile oferite </w:t>
      </w:r>
      <w:r w:rsidRPr="005C75DF">
        <w:rPr>
          <w:rFonts w:ascii="Times New Roman" w:eastAsia="Times New Roman" w:hAnsi="Times New Roman" w:cs="Times New Roman"/>
          <w:noProof/>
          <w:sz w:val="20"/>
          <w:szCs w:val="20"/>
        </w:rPr>
        <w:t>în cadrul</w:t>
      </w:r>
      <w:r w:rsidRPr="005C75DF">
        <w:rPr>
          <w:rFonts w:ascii="Times New Roman" w:eastAsia="Times New Roman" w:hAnsi="Times New Roman" w:cs="Times New Roman"/>
          <w:noProof/>
          <w:sz w:val="20"/>
          <w:szCs w:val="20"/>
          <w:lang w:val="en-GB"/>
        </w:rPr>
        <w:t xml:space="preserve"> Huburilor Inovative Digitale, care  îndeplinesc rolul de facilitator al difuzării tehnologiilor digitale, vor putea oferi servicii de instruir în colaborare cu structuri similare din alte state membre, în special cu cele reunite în I4MS, Smart Anything Everywhere (SAE), Data Pitch Innovation Programme, ODINE, ECHORD++, ROBOTT-NET, RODINE, ACTPHAST 4.0, EPRISE, SESAME.NET, EIT Digital, MIDIH, coordonate inclusiv prin dihnet.eu.</w:t>
      </w:r>
    </w:p>
    <w:p w:rsidR="00E91EF6" w:rsidRPr="005C75DF" w:rsidRDefault="00E91EF6" w:rsidP="005C75DF">
      <w:pPr>
        <w:spacing w:after="0" w:line="240" w:lineRule="auto"/>
        <w:jc w:val="both"/>
        <w:rPr>
          <w:rFonts w:ascii="Times New Roman" w:eastAsia="Times New Roman" w:hAnsi="Times New Roman" w:cs="Times New Roman"/>
          <w:b/>
          <w:iCs/>
          <w:noProof/>
          <w:sz w:val="24"/>
          <w:szCs w:val="24"/>
          <w:lang w:val="en-GB"/>
        </w:rPr>
      </w:pPr>
      <w:r w:rsidRPr="005C75DF">
        <w:rPr>
          <w:rFonts w:ascii="Times New Roman" w:eastAsia="Times New Roman" w:hAnsi="Times New Roman" w:cs="Times New Roman"/>
          <w:noProof/>
          <w:sz w:val="24"/>
          <w:szCs w:val="24"/>
          <w:lang w:val="en-GB"/>
        </w:rPr>
        <w:t>The planned use of financial instruments – Article – 17(3)(d)(vi)</w:t>
      </w:r>
    </w:p>
    <w:p w:rsidR="00E91EF6" w:rsidRPr="005C75DF" w:rsidRDefault="00E91EF6" w:rsidP="005C75DF">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Cs/>
          <w:noProof/>
          <w:sz w:val="24"/>
          <w:szCs w:val="24"/>
          <w:lang w:val="en-GB"/>
        </w:rPr>
      </w:pPr>
      <w:r w:rsidRPr="005C75DF">
        <w:rPr>
          <w:rFonts w:ascii="Times New Roman" w:eastAsia="Times New Roman" w:hAnsi="Times New Roman" w:cs="Times New Roman"/>
          <w:iCs/>
          <w:noProof/>
          <w:sz w:val="24"/>
          <w:szCs w:val="24"/>
          <w:lang w:val="en-GB"/>
        </w:rPr>
        <w:t>Text field [1 000]</w:t>
      </w:r>
    </w:p>
    <w:p w:rsidR="00E91EF6" w:rsidRPr="005C75DF" w:rsidRDefault="00E91EF6" w:rsidP="005C75DF">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noProof/>
          <w:sz w:val="24"/>
          <w:lang w:val="en-GB"/>
        </w:rPr>
      </w:pPr>
      <w:r w:rsidRPr="005C75DF">
        <w:rPr>
          <w:rFonts w:ascii="Times New Roman" w:eastAsia="Times New Roman" w:hAnsi="Times New Roman" w:cs="Times New Roman"/>
          <w:iCs/>
          <w:noProof/>
          <w:sz w:val="24"/>
          <w:szCs w:val="24"/>
          <w:lang w:val="en-GB"/>
        </w:rPr>
        <w:t>-</w:t>
      </w:r>
    </w:p>
    <w:p w:rsidR="00E91EF6" w:rsidRPr="005C75DF" w:rsidRDefault="00E91EF6" w:rsidP="005C75DF">
      <w:pPr>
        <w:spacing w:after="0" w:line="240" w:lineRule="auto"/>
        <w:jc w:val="both"/>
        <w:rPr>
          <w:rFonts w:ascii="Times New Roman" w:hAnsi="Times New Roman" w:cs="Times New Roman"/>
          <w:b/>
          <w:iCs/>
          <w:lang w:val="en-GB"/>
        </w:rPr>
      </w:pPr>
      <w:r w:rsidRPr="005C75DF">
        <w:rPr>
          <w:rFonts w:ascii="Times New Roman" w:hAnsi="Times New Roman" w:cs="Times New Roman"/>
          <w:b/>
          <w:iCs/>
          <w:lang w:val="en-GB"/>
        </w:rPr>
        <w:t>2.A.3.2 Indicators</w:t>
      </w:r>
    </w:p>
    <w:p w:rsidR="00E91EF6" w:rsidRPr="005C75DF" w:rsidRDefault="00E91EF6" w:rsidP="005C75DF">
      <w:pPr>
        <w:spacing w:after="0" w:line="240" w:lineRule="auto"/>
        <w:jc w:val="both"/>
        <w:rPr>
          <w:rFonts w:ascii="Times New Roman" w:hAnsi="Times New Roman" w:cs="Times New Roman"/>
          <w:lang w:val="en-GB"/>
        </w:rPr>
      </w:pPr>
      <w:r w:rsidRPr="005C75DF">
        <w:rPr>
          <w:rFonts w:ascii="Times New Roman" w:hAnsi="Times New Roman" w:cs="Times New Roman"/>
          <w:lang w:val="en-GB"/>
        </w:rPr>
        <w:t xml:space="preserve">Reference: Article 17(3)(d)(ii) CPR </w:t>
      </w:r>
    </w:p>
    <w:tbl>
      <w:tblPr>
        <w:tblW w:w="5397"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
        <w:gridCol w:w="842"/>
        <w:gridCol w:w="1609"/>
        <w:gridCol w:w="815"/>
        <w:gridCol w:w="1199"/>
        <w:gridCol w:w="705"/>
        <w:gridCol w:w="1752"/>
        <w:gridCol w:w="1588"/>
        <w:gridCol w:w="1154"/>
        <w:gridCol w:w="732"/>
        <w:gridCol w:w="120"/>
      </w:tblGrid>
      <w:tr w:rsidR="001961EE" w:rsidRPr="00E521D7" w:rsidTr="00E95FAC">
        <w:trPr>
          <w:gridBefore w:val="1"/>
          <w:gridAfter w:val="1"/>
          <w:wBefore w:w="54" w:type="pct"/>
          <w:wAfter w:w="58" w:type="pct"/>
          <w:trHeight w:val="425"/>
        </w:trPr>
        <w:tc>
          <w:tcPr>
            <w:tcW w:w="4888" w:type="pct"/>
            <w:gridSpan w:val="9"/>
            <w:tcBorders>
              <w:top w:val="single" w:sz="4" w:space="0" w:color="auto"/>
              <w:left w:val="single" w:sz="4" w:space="0" w:color="auto"/>
              <w:bottom w:val="single" w:sz="4" w:space="0" w:color="auto"/>
              <w:right w:val="single" w:sz="4" w:space="0" w:color="auto"/>
            </w:tcBorders>
            <w:hideMark/>
          </w:tcPr>
          <w:p w:rsidR="001961EE" w:rsidRPr="005C75DF" w:rsidRDefault="001961EE" w:rsidP="005C75DF">
            <w:pPr>
              <w:spacing w:after="0" w:line="240" w:lineRule="auto"/>
              <w:jc w:val="both"/>
              <w:rPr>
                <w:rFonts w:ascii="Times New Roman" w:hAnsi="Times New Roman" w:cs="Times New Roman"/>
                <w:b/>
                <w:iCs/>
                <w:lang w:val="en-US"/>
              </w:rPr>
            </w:pPr>
            <w:r w:rsidRPr="005C75DF">
              <w:rPr>
                <w:rFonts w:ascii="Times New Roman" w:hAnsi="Times New Roman" w:cs="Times New Roman"/>
                <w:b/>
                <w:iCs/>
                <w:lang w:val="en-US"/>
              </w:rPr>
              <w:t>Table 2: Output indicators</w:t>
            </w:r>
          </w:p>
        </w:tc>
      </w:tr>
      <w:tr w:rsidR="001961EE" w:rsidRPr="00E521D7" w:rsidTr="00B61E80">
        <w:trPr>
          <w:trHeight w:val="1647"/>
        </w:trPr>
        <w:tc>
          <w:tcPr>
            <w:tcW w:w="434" w:type="pct"/>
            <w:gridSpan w:val="2"/>
            <w:tcBorders>
              <w:top w:val="single" w:sz="4" w:space="0" w:color="auto"/>
              <w:left w:val="single" w:sz="4" w:space="0" w:color="auto"/>
              <w:bottom w:val="single" w:sz="4" w:space="0" w:color="auto"/>
              <w:right w:val="single" w:sz="4" w:space="0" w:color="auto"/>
            </w:tcBorders>
            <w:hideMark/>
          </w:tcPr>
          <w:p w:rsidR="001961EE" w:rsidRPr="005C75DF" w:rsidRDefault="001961EE" w:rsidP="005C75DF">
            <w:pPr>
              <w:spacing w:after="0" w:line="240" w:lineRule="auto"/>
              <w:jc w:val="both"/>
              <w:rPr>
                <w:rFonts w:ascii="Times New Roman" w:hAnsi="Times New Roman" w:cs="Times New Roman"/>
                <w:b/>
                <w:lang w:val="en-US"/>
              </w:rPr>
            </w:pPr>
            <w:r w:rsidRPr="005C75DF">
              <w:rPr>
                <w:rFonts w:ascii="Times New Roman" w:hAnsi="Times New Roman" w:cs="Times New Roman"/>
                <w:b/>
                <w:lang w:val="en-US"/>
              </w:rPr>
              <w:t xml:space="preserve">Priority </w:t>
            </w:r>
          </w:p>
        </w:tc>
        <w:tc>
          <w:tcPr>
            <w:tcW w:w="775" w:type="pct"/>
            <w:tcBorders>
              <w:top w:val="single" w:sz="4" w:space="0" w:color="auto"/>
              <w:left w:val="single" w:sz="4" w:space="0" w:color="auto"/>
              <w:bottom w:val="single" w:sz="4" w:space="0" w:color="auto"/>
              <w:right w:val="single" w:sz="4" w:space="0" w:color="auto"/>
            </w:tcBorders>
            <w:hideMark/>
          </w:tcPr>
          <w:p w:rsidR="001961EE" w:rsidRPr="005C75DF" w:rsidRDefault="001961EE" w:rsidP="005C75DF">
            <w:pPr>
              <w:spacing w:after="0" w:line="240" w:lineRule="auto"/>
              <w:jc w:val="both"/>
              <w:rPr>
                <w:rFonts w:ascii="Times New Roman" w:hAnsi="Times New Roman" w:cs="Times New Roman"/>
                <w:b/>
                <w:lang w:val="en-US"/>
              </w:rPr>
            </w:pPr>
            <w:r w:rsidRPr="005C75DF">
              <w:rPr>
                <w:rFonts w:ascii="Times New Roman" w:hAnsi="Times New Roman" w:cs="Times New Roman"/>
                <w:b/>
                <w:lang w:val="en-US"/>
              </w:rPr>
              <w:t>Specific objective (Investment for Jobs and Growth goal or EMFF)</w:t>
            </w:r>
          </w:p>
        </w:tc>
        <w:tc>
          <w:tcPr>
            <w:tcW w:w="333" w:type="pct"/>
            <w:tcBorders>
              <w:top w:val="single" w:sz="4" w:space="0" w:color="auto"/>
              <w:left w:val="single" w:sz="4" w:space="0" w:color="auto"/>
              <w:bottom w:val="single" w:sz="4" w:space="0" w:color="auto"/>
              <w:right w:val="single" w:sz="4" w:space="0" w:color="auto"/>
            </w:tcBorders>
            <w:hideMark/>
          </w:tcPr>
          <w:p w:rsidR="001961EE" w:rsidRPr="005C75DF" w:rsidRDefault="001961EE" w:rsidP="005C75DF">
            <w:pPr>
              <w:spacing w:after="0" w:line="240" w:lineRule="auto"/>
              <w:jc w:val="both"/>
              <w:rPr>
                <w:rFonts w:ascii="Times New Roman" w:hAnsi="Times New Roman" w:cs="Times New Roman"/>
                <w:b/>
                <w:lang w:val="en-US"/>
              </w:rPr>
            </w:pPr>
            <w:r w:rsidRPr="005C75DF">
              <w:rPr>
                <w:rFonts w:ascii="Times New Roman" w:hAnsi="Times New Roman" w:cs="Times New Roman"/>
                <w:b/>
                <w:lang w:val="en-US"/>
              </w:rPr>
              <w:t>Fund</w:t>
            </w:r>
          </w:p>
        </w:tc>
        <w:tc>
          <w:tcPr>
            <w:tcW w:w="582" w:type="pct"/>
            <w:tcBorders>
              <w:top w:val="single" w:sz="4" w:space="0" w:color="auto"/>
              <w:left w:val="single" w:sz="4" w:space="0" w:color="auto"/>
              <w:bottom w:val="single" w:sz="4" w:space="0" w:color="auto"/>
              <w:right w:val="single" w:sz="4" w:space="0" w:color="auto"/>
            </w:tcBorders>
            <w:hideMark/>
          </w:tcPr>
          <w:p w:rsidR="001961EE" w:rsidRPr="005C75DF" w:rsidRDefault="001961EE" w:rsidP="005C75DF">
            <w:pPr>
              <w:spacing w:after="0" w:line="240" w:lineRule="auto"/>
              <w:jc w:val="both"/>
              <w:rPr>
                <w:rFonts w:ascii="Times New Roman" w:hAnsi="Times New Roman" w:cs="Times New Roman"/>
                <w:b/>
                <w:lang w:val="en-US"/>
              </w:rPr>
            </w:pPr>
            <w:r w:rsidRPr="005C75DF">
              <w:rPr>
                <w:rFonts w:ascii="Times New Roman" w:hAnsi="Times New Roman" w:cs="Times New Roman"/>
                <w:b/>
                <w:lang w:val="en-US"/>
              </w:rPr>
              <w:t>Category of region</w:t>
            </w:r>
          </w:p>
        </w:tc>
        <w:tc>
          <w:tcPr>
            <w:tcW w:w="298" w:type="pct"/>
            <w:tcBorders>
              <w:top w:val="single" w:sz="4" w:space="0" w:color="auto"/>
              <w:left w:val="single" w:sz="4" w:space="0" w:color="auto"/>
              <w:bottom w:val="single" w:sz="4" w:space="0" w:color="auto"/>
              <w:right w:val="single" w:sz="4" w:space="0" w:color="auto"/>
            </w:tcBorders>
            <w:hideMark/>
          </w:tcPr>
          <w:p w:rsidR="001961EE" w:rsidRPr="005C75DF" w:rsidRDefault="001961EE" w:rsidP="005C75DF">
            <w:pPr>
              <w:spacing w:after="0" w:line="240" w:lineRule="auto"/>
              <w:jc w:val="both"/>
              <w:rPr>
                <w:rFonts w:ascii="Times New Roman" w:hAnsi="Times New Roman" w:cs="Times New Roman"/>
                <w:b/>
                <w:lang w:val="en-US"/>
              </w:rPr>
            </w:pPr>
            <w:r w:rsidRPr="005C75DF">
              <w:rPr>
                <w:rFonts w:ascii="Times New Roman" w:hAnsi="Times New Roman" w:cs="Times New Roman"/>
                <w:b/>
                <w:lang w:val="en-US"/>
              </w:rPr>
              <w:t>ID [5]</w:t>
            </w:r>
          </w:p>
        </w:tc>
        <w:tc>
          <w:tcPr>
            <w:tcW w:w="842" w:type="pct"/>
            <w:tcBorders>
              <w:top w:val="single" w:sz="4" w:space="0" w:color="auto"/>
              <w:left w:val="single" w:sz="4" w:space="0" w:color="auto"/>
              <w:bottom w:val="single" w:sz="4" w:space="0" w:color="auto"/>
              <w:right w:val="single" w:sz="4" w:space="0" w:color="auto"/>
            </w:tcBorders>
            <w:hideMark/>
          </w:tcPr>
          <w:p w:rsidR="001961EE" w:rsidRPr="005C75DF" w:rsidRDefault="001961EE" w:rsidP="005C75DF">
            <w:pPr>
              <w:spacing w:after="0" w:line="240" w:lineRule="auto"/>
              <w:jc w:val="both"/>
              <w:rPr>
                <w:rFonts w:ascii="Times New Roman" w:hAnsi="Times New Roman" w:cs="Times New Roman"/>
                <w:b/>
                <w:lang w:val="en-US"/>
              </w:rPr>
            </w:pPr>
            <w:r w:rsidRPr="005C75DF">
              <w:rPr>
                <w:rFonts w:ascii="Times New Roman" w:hAnsi="Times New Roman" w:cs="Times New Roman"/>
                <w:b/>
                <w:lang w:val="en-US"/>
              </w:rPr>
              <w:t xml:space="preserve">Indicator [255] </w:t>
            </w:r>
          </w:p>
        </w:tc>
        <w:tc>
          <w:tcPr>
            <w:tcW w:w="765" w:type="pct"/>
            <w:tcBorders>
              <w:top w:val="single" w:sz="4" w:space="0" w:color="auto"/>
              <w:left w:val="single" w:sz="4" w:space="0" w:color="auto"/>
              <w:bottom w:val="single" w:sz="4" w:space="0" w:color="auto"/>
              <w:right w:val="single" w:sz="4" w:space="0" w:color="auto"/>
            </w:tcBorders>
            <w:hideMark/>
          </w:tcPr>
          <w:p w:rsidR="001961EE" w:rsidRPr="005C75DF" w:rsidRDefault="001961EE" w:rsidP="005C75DF">
            <w:pPr>
              <w:spacing w:after="0" w:line="240" w:lineRule="auto"/>
              <w:jc w:val="both"/>
              <w:rPr>
                <w:rFonts w:ascii="Times New Roman" w:hAnsi="Times New Roman" w:cs="Times New Roman"/>
                <w:b/>
                <w:lang w:val="en-US"/>
              </w:rPr>
            </w:pPr>
            <w:r w:rsidRPr="005C75DF">
              <w:rPr>
                <w:rFonts w:ascii="Times New Roman" w:hAnsi="Times New Roman" w:cs="Times New Roman"/>
                <w:b/>
                <w:lang w:val="en-US"/>
              </w:rPr>
              <w:t>Measurement unit</w:t>
            </w:r>
          </w:p>
        </w:tc>
        <w:tc>
          <w:tcPr>
            <w:tcW w:w="561" w:type="pct"/>
            <w:tcBorders>
              <w:top w:val="single" w:sz="4" w:space="0" w:color="auto"/>
              <w:left w:val="single" w:sz="4" w:space="0" w:color="auto"/>
              <w:bottom w:val="single" w:sz="4" w:space="0" w:color="auto"/>
              <w:right w:val="single" w:sz="4" w:space="0" w:color="auto"/>
            </w:tcBorders>
          </w:tcPr>
          <w:p w:rsidR="001961EE" w:rsidRPr="005C75DF" w:rsidRDefault="001961EE" w:rsidP="005C75DF">
            <w:pPr>
              <w:spacing w:after="0" w:line="240" w:lineRule="auto"/>
              <w:jc w:val="both"/>
              <w:rPr>
                <w:rFonts w:ascii="Times New Roman" w:hAnsi="Times New Roman" w:cs="Times New Roman"/>
                <w:b/>
                <w:lang w:val="en-US"/>
              </w:rPr>
            </w:pPr>
            <w:r w:rsidRPr="005C75DF">
              <w:rPr>
                <w:rFonts w:ascii="Times New Roman" w:hAnsi="Times New Roman" w:cs="Times New Roman"/>
                <w:b/>
                <w:lang w:val="en-US"/>
              </w:rPr>
              <w:t>Milestone (2024)</w:t>
            </w:r>
          </w:p>
          <w:p w:rsidR="001961EE" w:rsidRPr="005C75DF" w:rsidRDefault="001961EE" w:rsidP="005C75DF">
            <w:pPr>
              <w:spacing w:after="0" w:line="240" w:lineRule="auto"/>
              <w:jc w:val="both"/>
              <w:rPr>
                <w:rFonts w:ascii="Times New Roman" w:hAnsi="Times New Roman" w:cs="Times New Roman"/>
                <w:b/>
                <w:lang w:val="en-US"/>
              </w:rPr>
            </w:pPr>
          </w:p>
        </w:tc>
        <w:tc>
          <w:tcPr>
            <w:tcW w:w="409" w:type="pct"/>
            <w:gridSpan w:val="2"/>
            <w:tcBorders>
              <w:top w:val="single" w:sz="4" w:space="0" w:color="auto"/>
              <w:left w:val="single" w:sz="4" w:space="0" w:color="auto"/>
              <w:bottom w:val="single" w:sz="4" w:space="0" w:color="auto"/>
              <w:right w:val="single" w:sz="4" w:space="0" w:color="auto"/>
            </w:tcBorders>
          </w:tcPr>
          <w:p w:rsidR="001961EE" w:rsidRPr="005C75DF" w:rsidRDefault="001961EE" w:rsidP="005C75DF">
            <w:pPr>
              <w:spacing w:after="0" w:line="240" w:lineRule="auto"/>
              <w:jc w:val="both"/>
              <w:rPr>
                <w:rFonts w:ascii="Times New Roman" w:hAnsi="Times New Roman" w:cs="Times New Roman"/>
                <w:b/>
                <w:lang w:val="en-US"/>
              </w:rPr>
            </w:pPr>
            <w:r w:rsidRPr="005C75DF">
              <w:rPr>
                <w:rFonts w:ascii="Times New Roman" w:hAnsi="Times New Roman" w:cs="Times New Roman"/>
                <w:b/>
                <w:lang w:val="en-US"/>
              </w:rPr>
              <w:t>Target (2029)</w:t>
            </w:r>
          </w:p>
          <w:p w:rsidR="001961EE" w:rsidRPr="005C75DF" w:rsidRDefault="001961EE" w:rsidP="005C75DF">
            <w:pPr>
              <w:spacing w:after="0" w:line="240" w:lineRule="auto"/>
              <w:jc w:val="both"/>
              <w:rPr>
                <w:rFonts w:ascii="Times New Roman" w:hAnsi="Times New Roman" w:cs="Times New Roman"/>
                <w:b/>
                <w:lang w:val="en-US"/>
              </w:rPr>
            </w:pPr>
          </w:p>
        </w:tc>
      </w:tr>
      <w:tr w:rsidR="00B61E80" w:rsidRPr="00E521D7" w:rsidTr="00B61E80">
        <w:trPr>
          <w:trHeight w:val="340"/>
        </w:trPr>
        <w:tc>
          <w:tcPr>
            <w:tcW w:w="434" w:type="pct"/>
            <w:gridSpan w:val="2"/>
            <w:tcBorders>
              <w:top w:val="single" w:sz="4" w:space="0" w:color="auto"/>
              <w:left w:val="single" w:sz="4" w:space="0" w:color="auto"/>
              <w:bottom w:val="single" w:sz="4" w:space="0" w:color="auto"/>
              <w:right w:val="single" w:sz="4" w:space="0" w:color="auto"/>
            </w:tcBorders>
          </w:tcPr>
          <w:p w:rsidR="00B61E80" w:rsidRPr="005C75DF" w:rsidRDefault="00B61E80" w:rsidP="005C75DF">
            <w:pPr>
              <w:spacing w:after="0" w:line="240" w:lineRule="auto"/>
              <w:jc w:val="both"/>
              <w:rPr>
                <w:rFonts w:ascii="Times New Roman" w:hAnsi="Times New Roman" w:cs="Times New Roman"/>
                <w:b/>
                <w:lang w:val="en-US"/>
              </w:rPr>
            </w:pPr>
          </w:p>
        </w:tc>
        <w:tc>
          <w:tcPr>
            <w:tcW w:w="775" w:type="pct"/>
            <w:tcBorders>
              <w:top w:val="single" w:sz="4" w:space="0" w:color="auto"/>
              <w:left w:val="single" w:sz="4" w:space="0" w:color="auto"/>
              <w:bottom w:val="single" w:sz="4" w:space="0" w:color="auto"/>
              <w:right w:val="single" w:sz="4" w:space="0" w:color="auto"/>
            </w:tcBorders>
          </w:tcPr>
          <w:p w:rsidR="00B61E80" w:rsidRPr="005C75DF" w:rsidRDefault="00B61E80" w:rsidP="005C75DF">
            <w:pPr>
              <w:spacing w:after="0" w:line="240" w:lineRule="auto"/>
              <w:jc w:val="both"/>
              <w:rPr>
                <w:rFonts w:ascii="Times New Roman" w:hAnsi="Times New Roman" w:cs="Times New Roman"/>
                <w:b/>
                <w:lang w:val="en-US"/>
              </w:rPr>
            </w:pPr>
            <w:r w:rsidRPr="005C75DF">
              <w:rPr>
                <w:rFonts w:ascii="Times New Roman" w:hAnsi="Times New Roman" w:cs="Times New Roman"/>
                <w:b/>
                <w:lang w:val="en-US"/>
              </w:rPr>
              <w:t>a (ii) Fructificarea avantajelor digitalizării, în beneficiul cetățenilor, al companiilor și al guvernelor</w:t>
            </w:r>
          </w:p>
        </w:tc>
        <w:tc>
          <w:tcPr>
            <w:tcW w:w="333" w:type="pct"/>
            <w:tcBorders>
              <w:top w:val="single" w:sz="4" w:space="0" w:color="auto"/>
              <w:left w:val="single" w:sz="4" w:space="0" w:color="auto"/>
              <w:bottom w:val="single" w:sz="4" w:space="0" w:color="auto"/>
              <w:right w:val="single" w:sz="4" w:space="0" w:color="auto"/>
            </w:tcBorders>
          </w:tcPr>
          <w:p w:rsidR="00B61E80" w:rsidRPr="005C75DF" w:rsidRDefault="00B61E80" w:rsidP="005C75DF">
            <w:pPr>
              <w:spacing w:after="0" w:line="240" w:lineRule="auto"/>
              <w:jc w:val="both"/>
              <w:rPr>
                <w:rFonts w:ascii="Times New Roman" w:hAnsi="Times New Roman" w:cs="Times New Roman"/>
                <w:b/>
                <w:lang w:val="en-US"/>
              </w:rPr>
            </w:pPr>
            <w:r w:rsidRPr="005C75DF">
              <w:rPr>
                <w:rFonts w:ascii="Times New Roman" w:hAnsi="Times New Roman" w:cs="Times New Roman"/>
                <w:b/>
                <w:lang w:val="en-US"/>
              </w:rPr>
              <w:t>FEDR</w:t>
            </w:r>
          </w:p>
        </w:tc>
        <w:tc>
          <w:tcPr>
            <w:tcW w:w="582" w:type="pct"/>
            <w:tcBorders>
              <w:top w:val="single" w:sz="4" w:space="0" w:color="auto"/>
              <w:left w:val="single" w:sz="4" w:space="0" w:color="auto"/>
              <w:bottom w:val="single" w:sz="4" w:space="0" w:color="auto"/>
              <w:right w:val="single" w:sz="4" w:space="0" w:color="auto"/>
            </w:tcBorders>
          </w:tcPr>
          <w:p w:rsidR="00B61E80" w:rsidRPr="005C75DF" w:rsidRDefault="00B61E80" w:rsidP="005C75DF">
            <w:pPr>
              <w:spacing w:after="0" w:line="240" w:lineRule="auto"/>
              <w:jc w:val="both"/>
              <w:rPr>
                <w:rFonts w:ascii="Times New Roman" w:hAnsi="Times New Roman" w:cs="Times New Roman"/>
                <w:b/>
                <w:lang w:val="en-US"/>
              </w:rPr>
            </w:pPr>
            <w:r w:rsidRPr="005C75DF">
              <w:rPr>
                <w:rFonts w:ascii="Times New Roman" w:hAnsi="Times New Roman" w:cs="Times New Roman"/>
                <w:b/>
                <w:lang w:val="en-US"/>
              </w:rPr>
              <w:t>Mai puțin dezvoltată</w:t>
            </w:r>
          </w:p>
        </w:tc>
        <w:tc>
          <w:tcPr>
            <w:tcW w:w="298" w:type="pct"/>
            <w:tcBorders>
              <w:top w:val="single" w:sz="4" w:space="0" w:color="auto"/>
              <w:left w:val="single" w:sz="4" w:space="0" w:color="auto"/>
              <w:bottom w:val="single" w:sz="4" w:space="0" w:color="auto"/>
              <w:right w:val="single" w:sz="4" w:space="0" w:color="auto"/>
            </w:tcBorders>
          </w:tcPr>
          <w:p w:rsidR="00B61E80" w:rsidRPr="005C75DF" w:rsidRDefault="00B61E80" w:rsidP="005C75DF">
            <w:pPr>
              <w:spacing w:after="0" w:line="240" w:lineRule="auto"/>
              <w:jc w:val="both"/>
              <w:rPr>
                <w:rFonts w:ascii="Times New Roman" w:hAnsi="Times New Roman" w:cs="Times New Roman"/>
                <w:b/>
                <w:lang w:val="en-US"/>
              </w:rPr>
            </w:pPr>
            <w:r w:rsidRPr="005C75DF">
              <w:rPr>
                <w:rFonts w:ascii="Times New Roman" w:hAnsi="Times New Roman" w:cs="Times New Roman"/>
                <w:b/>
                <w:lang w:val="en-US"/>
              </w:rPr>
              <w:t>RCO 14</w:t>
            </w:r>
          </w:p>
        </w:tc>
        <w:tc>
          <w:tcPr>
            <w:tcW w:w="842" w:type="pct"/>
            <w:tcBorders>
              <w:top w:val="single" w:sz="4" w:space="0" w:color="auto"/>
              <w:left w:val="single" w:sz="4" w:space="0" w:color="auto"/>
              <w:bottom w:val="single" w:sz="4" w:space="0" w:color="auto"/>
              <w:right w:val="single" w:sz="4" w:space="0" w:color="auto"/>
            </w:tcBorders>
          </w:tcPr>
          <w:p w:rsidR="00B61E80" w:rsidRPr="005C75DF" w:rsidRDefault="00B61E80" w:rsidP="005C75DF">
            <w:pPr>
              <w:spacing w:after="0" w:line="240" w:lineRule="auto"/>
              <w:jc w:val="both"/>
              <w:rPr>
                <w:rFonts w:ascii="Times New Roman" w:hAnsi="Times New Roman" w:cs="Times New Roman"/>
                <w:b/>
                <w:lang w:val="en-US"/>
              </w:rPr>
            </w:pPr>
            <w:r w:rsidRPr="005C75DF">
              <w:rPr>
                <w:rFonts w:ascii="Times New Roman" w:hAnsi="Times New Roman" w:cs="Times New Roman"/>
                <w:b/>
                <w:lang w:val="en-US"/>
              </w:rPr>
              <w:t>RCO 01 - Întreprinderi care beneficiază de sprijin (din care: micro, mici, medii, mari)</w:t>
            </w:r>
          </w:p>
        </w:tc>
        <w:tc>
          <w:tcPr>
            <w:tcW w:w="765" w:type="pct"/>
            <w:tcBorders>
              <w:top w:val="single" w:sz="4" w:space="0" w:color="auto"/>
              <w:left w:val="single" w:sz="4" w:space="0" w:color="auto"/>
              <w:bottom w:val="single" w:sz="4" w:space="0" w:color="auto"/>
              <w:right w:val="single" w:sz="4" w:space="0" w:color="auto"/>
            </w:tcBorders>
          </w:tcPr>
          <w:p w:rsidR="00B61E80" w:rsidRPr="005C75DF" w:rsidRDefault="00B61E80" w:rsidP="005C75DF">
            <w:pPr>
              <w:spacing w:after="0" w:line="240" w:lineRule="auto"/>
              <w:jc w:val="both"/>
              <w:rPr>
                <w:rFonts w:ascii="Times New Roman" w:hAnsi="Times New Roman" w:cs="Times New Roman"/>
                <w:b/>
                <w:lang w:val="en-US"/>
              </w:rPr>
            </w:pPr>
            <w:r w:rsidRPr="005C75DF">
              <w:rPr>
                <w:rFonts w:ascii="Times New Roman" w:hAnsi="Times New Roman" w:cs="Times New Roman"/>
                <w:b/>
                <w:lang w:val="en-US"/>
              </w:rPr>
              <w:t>Număr întreprinderi</w:t>
            </w:r>
          </w:p>
        </w:tc>
        <w:tc>
          <w:tcPr>
            <w:tcW w:w="561" w:type="pct"/>
            <w:tcBorders>
              <w:top w:val="single" w:sz="4" w:space="0" w:color="auto"/>
              <w:left w:val="single" w:sz="4" w:space="0" w:color="auto"/>
              <w:bottom w:val="single" w:sz="4" w:space="0" w:color="auto"/>
              <w:right w:val="single" w:sz="4" w:space="0" w:color="auto"/>
            </w:tcBorders>
          </w:tcPr>
          <w:p w:rsidR="00B61E80" w:rsidRPr="005C75DF" w:rsidRDefault="00B61E80" w:rsidP="005C75DF">
            <w:pPr>
              <w:spacing w:after="0" w:line="240" w:lineRule="auto"/>
              <w:jc w:val="both"/>
              <w:rPr>
                <w:rFonts w:ascii="Times New Roman" w:hAnsi="Times New Roman" w:cs="Times New Roman"/>
                <w:b/>
                <w:lang w:val="en-US"/>
              </w:rPr>
            </w:pPr>
            <w:r w:rsidRPr="005C75DF">
              <w:rPr>
                <w:rFonts w:ascii="Times New Roman" w:hAnsi="Times New Roman" w:cs="Times New Roman"/>
                <w:b/>
                <w:lang w:val="en-US"/>
              </w:rPr>
              <w:t>4</w:t>
            </w:r>
          </w:p>
        </w:tc>
        <w:tc>
          <w:tcPr>
            <w:tcW w:w="409" w:type="pct"/>
            <w:gridSpan w:val="2"/>
            <w:tcBorders>
              <w:top w:val="single" w:sz="4" w:space="0" w:color="auto"/>
              <w:left w:val="single" w:sz="4" w:space="0" w:color="auto"/>
              <w:bottom w:val="single" w:sz="4" w:space="0" w:color="auto"/>
              <w:right w:val="single" w:sz="4" w:space="0" w:color="auto"/>
            </w:tcBorders>
          </w:tcPr>
          <w:p w:rsidR="00B61E80" w:rsidRPr="005C75DF" w:rsidRDefault="00B61E80" w:rsidP="005C75DF">
            <w:pPr>
              <w:spacing w:after="0" w:line="240" w:lineRule="auto"/>
              <w:jc w:val="both"/>
              <w:rPr>
                <w:rFonts w:ascii="Times New Roman" w:hAnsi="Times New Roman" w:cs="Times New Roman"/>
                <w:b/>
                <w:lang w:val="en-US"/>
              </w:rPr>
            </w:pPr>
            <w:r w:rsidRPr="005C75DF">
              <w:rPr>
                <w:rFonts w:ascii="Times New Roman" w:hAnsi="Times New Roman" w:cs="Times New Roman"/>
                <w:b/>
                <w:lang w:val="en-US"/>
              </w:rPr>
              <w:t>49</w:t>
            </w:r>
          </w:p>
        </w:tc>
      </w:tr>
      <w:tr w:rsidR="006E4598" w:rsidRPr="00E521D7" w:rsidTr="00B61E80">
        <w:trPr>
          <w:trHeight w:val="332"/>
        </w:trPr>
        <w:tc>
          <w:tcPr>
            <w:tcW w:w="434" w:type="pct"/>
            <w:gridSpan w:val="2"/>
            <w:tcBorders>
              <w:top w:val="single" w:sz="4" w:space="0" w:color="auto"/>
              <w:left w:val="single" w:sz="4" w:space="0" w:color="auto"/>
              <w:bottom w:val="single" w:sz="4" w:space="0" w:color="auto"/>
              <w:right w:val="single" w:sz="4" w:space="0" w:color="auto"/>
            </w:tcBorders>
          </w:tcPr>
          <w:p w:rsidR="006E4598" w:rsidRPr="005C75DF" w:rsidRDefault="006E4598" w:rsidP="005C75DF">
            <w:pPr>
              <w:spacing w:after="0" w:line="240" w:lineRule="auto"/>
              <w:jc w:val="both"/>
              <w:rPr>
                <w:rFonts w:ascii="Times New Roman" w:hAnsi="Times New Roman" w:cs="Times New Roman"/>
                <w:b/>
                <w:lang w:val="en-US"/>
              </w:rPr>
            </w:pPr>
          </w:p>
        </w:tc>
        <w:tc>
          <w:tcPr>
            <w:tcW w:w="775" w:type="pct"/>
            <w:tcBorders>
              <w:top w:val="single" w:sz="4" w:space="0" w:color="auto"/>
              <w:left w:val="single" w:sz="4" w:space="0" w:color="auto"/>
              <w:bottom w:val="single" w:sz="4" w:space="0" w:color="auto"/>
              <w:right w:val="single" w:sz="4" w:space="0" w:color="auto"/>
            </w:tcBorders>
          </w:tcPr>
          <w:p w:rsidR="006E4598" w:rsidRPr="005C75DF" w:rsidRDefault="006E4598" w:rsidP="005C75DF">
            <w:pPr>
              <w:spacing w:after="0" w:line="240" w:lineRule="auto"/>
              <w:jc w:val="both"/>
              <w:rPr>
                <w:rFonts w:ascii="Times New Roman" w:hAnsi="Times New Roman" w:cs="Times New Roman"/>
                <w:b/>
                <w:lang w:val="en-US"/>
              </w:rPr>
            </w:pPr>
          </w:p>
        </w:tc>
        <w:tc>
          <w:tcPr>
            <w:tcW w:w="333" w:type="pct"/>
            <w:tcBorders>
              <w:top w:val="single" w:sz="4" w:space="0" w:color="auto"/>
              <w:left w:val="single" w:sz="4" w:space="0" w:color="auto"/>
              <w:bottom w:val="single" w:sz="4" w:space="0" w:color="auto"/>
              <w:right w:val="single" w:sz="4" w:space="0" w:color="auto"/>
            </w:tcBorders>
          </w:tcPr>
          <w:p w:rsidR="006E4598" w:rsidRPr="005C75DF" w:rsidRDefault="006E4598" w:rsidP="005C75DF">
            <w:pPr>
              <w:spacing w:after="0" w:line="240" w:lineRule="auto"/>
              <w:jc w:val="both"/>
              <w:rPr>
                <w:rFonts w:ascii="Times New Roman" w:hAnsi="Times New Roman" w:cs="Times New Roman"/>
                <w:b/>
                <w:lang w:val="en-US"/>
              </w:rPr>
            </w:pPr>
          </w:p>
        </w:tc>
        <w:tc>
          <w:tcPr>
            <w:tcW w:w="582" w:type="pct"/>
            <w:tcBorders>
              <w:top w:val="single" w:sz="4" w:space="0" w:color="auto"/>
              <w:left w:val="single" w:sz="4" w:space="0" w:color="auto"/>
              <w:bottom w:val="single" w:sz="4" w:space="0" w:color="auto"/>
              <w:right w:val="single" w:sz="4" w:space="0" w:color="auto"/>
            </w:tcBorders>
          </w:tcPr>
          <w:p w:rsidR="006E4598" w:rsidRPr="005C75DF" w:rsidRDefault="006E4598" w:rsidP="005C75DF">
            <w:pPr>
              <w:spacing w:after="0" w:line="240" w:lineRule="auto"/>
              <w:jc w:val="both"/>
              <w:rPr>
                <w:rFonts w:ascii="Times New Roman" w:hAnsi="Times New Roman" w:cs="Times New Roman"/>
                <w:b/>
                <w:lang w:val="en-US"/>
              </w:rPr>
            </w:pPr>
          </w:p>
        </w:tc>
        <w:tc>
          <w:tcPr>
            <w:tcW w:w="298" w:type="pct"/>
            <w:tcBorders>
              <w:top w:val="single" w:sz="4" w:space="0" w:color="auto"/>
              <w:left w:val="single" w:sz="4" w:space="0" w:color="auto"/>
              <w:bottom w:val="single" w:sz="4" w:space="0" w:color="auto"/>
              <w:right w:val="single" w:sz="4" w:space="0" w:color="auto"/>
            </w:tcBorders>
          </w:tcPr>
          <w:p w:rsidR="006E4598" w:rsidRPr="005C75DF" w:rsidRDefault="006E4598" w:rsidP="005C75DF">
            <w:pPr>
              <w:spacing w:after="0" w:line="240" w:lineRule="auto"/>
              <w:jc w:val="both"/>
              <w:rPr>
                <w:rFonts w:ascii="Times New Roman" w:hAnsi="Times New Roman" w:cs="Times New Roman"/>
                <w:b/>
                <w:lang w:val="en-US"/>
              </w:rPr>
            </w:pPr>
          </w:p>
        </w:tc>
        <w:tc>
          <w:tcPr>
            <w:tcW w:w="842" w:type="pct"/>
            <w:tcBorders>
              <w:top w:val="single" w:sz="4" w:space="0" w:color="auto"/>
              <w:left w:val="single" w:sz="4" w:space="0" w:color="auto"/>
              <w:bottom w:val="single" w:sz="4" w:space="0" w:color="auto"/>
              <w:right w:val="single" w:sz="4" w:space="0" w:color="auto"/>
            </w:tcBorders>
          </w:tcPr>
          <w:p w:rsidR="006E4598" w:rsidRPr="005C75DF" w:rsidRDefault="006E4598" w:rsidP="005C75DF">
            <w:pPr>
              <w:spacing w:after="0" w:line="240" w:lineRule="auto"/>
              <w:jc w:val="both"/>
              <w:rPr>
                <w:rFonts w:ascii="Times New Roman" w:hAnsi="Times New Roman" w:cs="Times New Roman"/>
                <w:b/>
                <w:lang w:val="en-US"/>
              </w:rPr>
            </w:pPr>
            <w:r w:rsidRPr="005C75DF">
              <w:rPr>
                <w:rFonts w:ascii="Times New Roman" w:hAnsi="Times New Roman" w:cs="Times New Roman"/>
                <w:b/>
                <w:lang w:val="en-US"/>
              </w:rPr>
              <w:t xml:space="preserve">RCO 14 - Public institutions supported to </w:t>
            </w:r>
            <w:r w:rsidRPr="005C75DF">
              <w:rPr>
                <w:rFonts w:ascii="Times New Roman" w:hAnsi="Times New Roman" w:cs="Times New Roman"/>
                <w:b/>
                <w:lang w:val="en-US"/>
              </w:rPr>
              <w:lastRenderedPageBreak/>
              <w:t>develop digital services, products and processes</w:t>
            </w:r>
          </w:p>
        </w:tc>
        <w:tc>
          <w:tcPr>
            <w:tcW w:w="765" w:type="pct"/>
            <w:tcBorders>
              <w:top w:val="single" w:sz="4" w:space="0" w:color="auto"/>
              <w:left w:val="single" w:sz="4" w:space="0" w:color="auto"/>
              <w:bottom w:val="single" w:sz="4" w:space="0" w:color="auto"/>
              <w:right w:val="single" w:sz="4" w:space="0" w:color="auto"/>
            </w:tcBorders>
          </w:tcPr>
          <w:p w:rsidR="006E4598" w:rsidRPr="005C75DF" w:rsidRDefault="006E4598" w:rsidP="005C75DF">
            <w:pPr>
              <w:spacing w:after="0" w:line="240" w:lineRule="auto"/>
              <w:jc w:val="both"/>
              <w:rPr>
                <w:rFonts w:ascii="Times New Roman" w:hAnsi="Times New Roman" w:cs="Times New Roman"/>
                <w:b/>
                <w:lang w:val="en-US"/>
              </w:rPr>
            </w:pPr>
            <w:r w:rsidRPr="005C75DF">
              <w:rPr>
                <w:rFonts w:ascii="Times New Roman" w:hAnsi="Times New Roman" w:cs="Times New Roman"/>
                <w:b/>
                <w:lang w:val="en-US"/>
              </w:rPr>
              <w:lastRenderedPageBreak/>
              <w:t>Număr instituții</w:t>
            </w:r>
          </w:p>
        </w:tc>
        <w:tc>
          <w:tcPr>
            <w:tcW w:w="561" w:type="pct"/>
            <w:tcBorders>
              <w:top w:val="single" w:sz="4" w:space="0" w:color="auto"/>
              <w:left w:val="single" w:sz="4" w:space="0" w:color="auto"/>
              <w:bottom w:val="single" w:sz="4" w:space="0" w:color="auto"/>
              <w:right w:val="single" w:sz="4" w:space="0" w:color="auto"/>
            </w:tcBorders>
          </w:tcPr>
          <w:p w:rsidR="006E4598" w:rsidRPr="005C75DF" w:rsidRDefault="006E4598" w:rsidP="005C75DF">
            <w:pPr>
              <w:spacing w:after="0" w:line="240" w:lineRule="auto"/>
              <w:jc w:val="both"/>
              <w:rPr>
                <w:rFonts w:ascii="Times New Roman" w:hAnsi="Times New Roman" w:cs="Times New Roman"/>
                <w:b/>
                <w:lang w:val="en-US"/>
              </w:rPr>
            </w:pPr>
            <w:r w:rsidRPr="005C75DF">
              <w:rPr>
                <w:rFonts w:ascii="Times New Roman" w:hAnsi="Times New Roman" w:cs="Times New Roman"/>
                <w:b/>
                <w:lang w:val="en-US"/>
              </w:rPr>
              <w:t>4</w:t>
            </w:r>
          </w:p>
        </w:tc>
        <w:tc>
          <w:tcPr>
            <w:tcW w:w="409" w:type="pct"/>
            <w:gridSpan w:val="2"/>
            <w:tcBorders>
              <w:top w:val="single" w:sz="4" w:space="0" w:color="auto"/>
              <w:left w:val="single" w:sz="4" w:space="0" w:color="auto"/>
              <w:bottom w:val="single" w:sz="4" w:space="0" w:color="auto"/>
              <w:right w:val="single" w:sz="4" w:space="0" w:color="auto"/>
            </w:tcBorders>
          </w:tcPr>
          <w:p w:rsidR="006E4598" w:rsidRPr="005C75DF" w:rsidRDefault="006E4598" w:rsidP="005C75DF">
            <w:pPr>
              <w:spacing w:after="0" w:line="240" w:lineRule="auto"/>
              <w:jc w:val="both"/>
              <w:rPr>
                <w:rFonts w:ascii="Times New Roman" w:hAnsi="Times New Roman" w:cs="Times New Roman"/>
                <w:b/>
                <w:lang w:val="en-US"/>
              </w:rPr>
            </w:pPr>
            <w:r w:rsidRPr="005C75DF">
              <w:rPr>
                <w:rFonts w:ascii="Times New Roman" w:hAnsi="Times New Roman" w:cs="Times New Roman"/>
                <w:b/>
                <w:lang w:val="en-US"/>
              </w:rPr>
              <w:t>40</w:t>
            </w:r>
          </w:p>
        </w:tc>
      </w:tr>
      <w:tr w:rsidR="006E4598" w:rsidRPr="00E521D7" w:rsidTr="00B61E80">
        <w:trPr>
          <w:trHeight w:val="332"/>
        </w:trPr>
        <w:tc>
          <w:tcPr>
            <w:tcW w:w="434" w:type="pct"/>
            <w:gridSpan w:val="2"/>
            <w:tcBorders>
              <w:top w:val="single" w:sz="4" w:space="0" w:color="auto"/>
              <w:left w:val="single" w:sz="4" w:space="0" w:color="auto"/>
              <w:bottom w:val="single" w:sz="4" w:space="0" w:color="auto"/>
              <w:right w:val="single" w:sz="4" w:space="0" w:color="auto"/>
            </w:tcBorders>
          </w:tcPr>
          <w:p w:rsidR="006E4598" w:rsidRPr="005C75DF" w:rsidRDefault="006E4598" w:rsidP="005C75DF">
            <w:pPr>
              <w:spacing w:after="0" w:line="240" w:lineRule="auto"/>
              <w:jc w:val="both"/>
              <w:rPr>
                <w:rFonts w:ascii="Times New Roman" w:hAnsi="Times New Roman" w:cs="Times New Roman"/>
                <w:b/>
                <w:lang w:val="en-US"/>
              </w:rPr>
            </w:pPr>
          </w:p>
        </w:tc>
        <w:tc>
          <w:tcPr>
            <w:tcW w:w="775" w:type="pct"/>
            <w:tcBorders>
              <w:top w:val="single" w:sz="4" w:space="0" w:color="auto"/>
              <w:left w:val="single" w:sz="4" w:space="0" w:color="auto"/>
              <w:bottom w:val="single" w:sz="4" w:space="0" w:color="auto"/>
              <w:right w:val="single" w:sz="4" w:space="0" w:color="auto"/>
            </w:tcBorders>
          </w:tcPr>
          <w:p w:rsidR="006E4598" w:rsidRPr="005C75DF" w:rsidRDefault="006E4598" w:rsidP="005C75DF">
            <w:pPr>
              <w:spacing w:after="0" w:line="240" w:lineRule="auto"/>
              <w:jc w:val="both"/>
              <w:rPr>
                <w:rFonts w:ascii="Times New Roman" w:hAnsi="Times New Roman" w:cs="Times New Roman"/>
                <w:b/>
                <w:lang w:val="en-US"/>
              </w:rPr>
            </w:pPr>
            <w:r w:rsidRPr="005C75DF">
              <w:rPr>
                <w:rFonts w:ascii="Times New Roman" w:hAnsi="Times New Roman" w:cs="Times New Roman"/>
                <w:b/>
                <w:lang w:val="en-US"/>
              </w:rPr>
              <w:t>OS a (iv) - Dezvoltarea competențelor pentru specializare inteligentă, tranziție industrială și antreprenoriat</w:t>
            </w:r>
          </w:p>
        </w:tc>
        <w:tc>
          <w:tcPr>
            <w:tcW w:w="333" w:type="pct"/>
            <w:tcBorders>
              <w:top w:val="single" w:sz="4" w:space="0" w:color="auto"/>
              <w:left w:val="single" w:sz="4" w:space="0" w:color="auto"/>
              <w:bottom w:val="single" w:sz="4" w:space="0" w:color="auto"/>
              <w:right w:val="single" w:sz="4" w:space="0" w:color="auto"/>
            </w:tcBorders>
          </w:tcPr>
          <w:p w:rsidR="006E4598" w:rsidRPr="005C75DF" w:rsidRDefault="006E4598" w:rsidP="005C75DF">
            <w:pPr>
              <w:spacing w:after="0" w:line="240" w:lineRule="auto"/>
              <w:jc w:val="both"/>
              <w:rPr>
                <w:rFonts w:ascii="Times New Roman" w:hAnsi="Times New Roman" w:cs="Times New Roman"/>
                <w:b/>
                <w:lang w:val="en-US"/>
              </w:rPr>
            </w:pPr>
          </w:p>
        </w:tc>
        <w:tc>
          <w:tcPr>
            <w:tcW w:w="582" w:type="pct"/>
            <w:tcBorders>
              <w:top w:val="single" w:sz="4" w:space="0" w:color="auto"/>
              <w:left w:val="single" w:sz="4" w:space="0" w:color="auto"/>
              <w:bottom w:val="single" w:sz="4" w:space="0" w:color="auto"/>
              <w:right w:val="single" w:sz="4" w:space="0" w:color="auto"/>
            </w:tcBorders>
          </w:tcPr>
          <w:p w:rsidR="006E4598" w:rsidRPr="005C75DF" w:rsidRDefault="006E4598" w:rsidP="005C75DF">
            <w:pPr>
              <w:spacing w:after="0" w:line="240" w:lineRule="auto"/>
              <w:jc w:val="both"/>
              <w:rPr>
                <w:rFonts w:ascii="Times New Roman" w:hAnsi="Times New Roman" w:cs="Times New Roman"/>
                <w:b/>
                <w:lang w:val="en-US"/>
              </w:rPr>
            </w:pPr>
          </w:p>
        </w:tc>
        <w:tc>
          <w:tcPr>
            <w:tcW w:w="298" w:type="pct"/>
            <w:tcBorders>
              <w:top w:val="single" w:sz="4" w:space="0" w:color="auto"/>
              <w:left w:val="single" w:sz="4" w:space="0" w:color="auto"/>
              <w:bottom w:val="single" w:sz="4" w:space="0" w:color="auto"/>
              <w:right w:val="single" w:sz="4" w:space="0" w:color="auto"/>
            </w:tcBorders>
          </w:tcPr>
          <w:p w:rsidR="006E4598" w:rsidRPr="005C75DF" w:rsidRDefault="006E4598" w:rsidP="005C75DF">
            <w:pPr>
              <w:spacing w:after="0" w:line="240" w:lineRule="auto"/>
              <w:jc w:val="both"/>
              <w:rPr>
                <w:rFonts w:ascii="Times New Roman" w:hAnsi="Times New Roman" w:cs="Times New Roman"/>
                <w:b/>
                <w:lang w:val="en-US"/>
              </w:rPr>
            </w:pPr>
          </w:p>
        </w:tc>
        <w:tc>
          <w:tcPr>
            <w:tcW w:w="842" w:type="pct"/>
            <w:tcBorders>
              <w:top w:val="single" w:sz="4" w:space="0" w:color="auto"/>
              <w:left w:val="single" w:sz="4" w:space="0" w:color="auto"/>
              <w:bottom w:val="single" w:sz="4" w:space="0" w:color="auto"/>
              <w:right w:val="single" w:sz="4" w:space="0" w:color="auto"/>
            </w:tcBorders>
          </w:tcPr>
          <w:p w:rsidR="006E4598" w:rsidRPr="005C75DF" w:rsidRDefault="006E4598" w:rsidP="005C75DF">
            <w:pPr>
              <w:spacing w:after="0" w:line="240" w:lineRule="auto"/>
              <w:jc w:val="both"/>
              <w:rPr>
                <w:rFonts w:ascii="Times New Roman" w:hAnsi="Times New Roman" w:cs="Times New Roman"/>
                <w:b/>
                <w:lang w:val="en-US"/>
              </w:rPr>
            </w:pPr>
            <w:r w:rsidRPr="005C75DF">
              <w:rPr>
                <w:rFonts w:ascii="Times New Roman" w:hAnsi="Times New Roman" w:cs="Times New Roman"/>
                <w:b/>
                <w:lang w:val="en-US"/>
              </w:rPr>
              <w:t>RCO 17 - Investiții în ecosistemele locale/regionale pentru dezvoltarea competențelor</w:t>
            </w:r>
          </w:p>
        </w:tc>
        <w:tc>
          <w:tcPr>
            <w:tcW w:w="765" w:type="pct"/>
            <w:tcBorders>
              <w:top w:val="single" w:sz="4" w:space="0" w:color="auto"/>
              <w:left w:val="single" w:sz="4" w:space="0" w:color="auto"/>
              <w:bottom w:val="single" w:sz="4" w:space="0" w:color="auto"/>
              <w:right w:val="single" w:sz="4" w:space="0" w:color="auto"/>
            </w:tcBorders>
          </w:tcPr>
          <w:p w:rsidR="006E4598" w:rsidRPr="005C75DF" w:rsidRDefault="006E4598" w:rsidP="005C75DF">
            <w:pPr>
              <w:spacing w:after="0" w:line="240" w:lineRule="auto"/>
              <w:jc w:val="both"/>
              <w:rPr>
                <w:rFonts w:ascii="Times New Roman" w:hAnsi="Times New Roman" w:cs="Times New Roman"/>
                <w:b/>
                <w:lang w:val="en-US"/>
              </w:rPr>
            </w:pPr>
            <w:r w:rsidRPr="005C75DF">
              <w:rPr>
                <w:rFonts w:ascii="Times New Roman" w:hAnsi="Times New Roman" w:cs="Times New Roman"/>
                <w:b/>
                <w:lang w:val="en-US"/>
              </w:rPr>
              <w:t>Număr Proiecte care includ activităţi pentru dezvoltarea competenţelor</w:t>
            </w:r>
          </w:p>
        </w:tc>
        <w:tc>
          <w:tcPr>
            <w:tcW w:w="561" w:type="pct"/>
            <w:tcBorders>
              <w:top w:val="single" w:sz="4" w:space="0" w:color="auto"/>
              <w:left w:val="single" w:sz="4" w:space="0" w:color="auto"/>
              <w:bottom w:val="single" w:sz="4" w:space="0" w:color="auto"/>
              <w:right w:val="single" w:sz="4" w:space="0" w:color="auto"/>
            </w:tcBorders>
          </w:tcPr>
          <w:p w:rsidR="006E4598" w:rsidRPr="005C75DF" w:rsidRDefault="006E4598" w:rsidP="005C75DF">
            <w:pPr>
              <w:spacing w:after="0" w:line="240" w:lineRule="auto"/>
              <w:jc w:val="both"/>
              <w:rPr>
                <w:rFonts w:ascii="Times New Roman" w:hAnsi="Times New Roman" w:cs="Times New Roman"/>
                <w:b/>
                <w:lang w:val="en-US"/>
              </w:rPr>
            </w:pPr>
            <w:r w:rsidRPr="005C75DF">
              <w:rPr>
                <w:rFonts w:ascii="Times New Roman" w:hAnsi="Times New Roman" w:cs="Times New Roman"/>
                <w:b/>
                <w:lang w:val="en-US"/>
              </w:rPr>
              <w:t>0</w:t>
            </w:r>
          </w:p>
        </w:tc>
        <w:tc>
          <w:tcPr>
            <w:tcW w:w="409" w:type="pct"/>
            <w:gridSpan w:val="2"/>
            <w:tcBorders>
              <w:top w:val="single" w:sz="4" w:space="0" w:color="auto"/>
              <w:left w:val="single" w:sz="4" w:space="0" w:color="auto"/>
              <w:bottom w:val="single" w:sz="4" w:space="0" w:color="auto"/>
              <w:right w:val="single" w:sz="4" w:space="0" w:color="auto"/>
            </w:tcBorders>
          </w:tcPr>
          <w:p w:rsidR="006E4598" w:rsidRPr="005C75DF" w:rsidRDefault="006E4598" w:rsidP="005C75DF">
            <w:pPr>
              <w:spacing w:after="0" w:line="240" w:lineRule="auto"/>
              <w:jc w:val="both"/>
              <w:rPr>
                <w:rFonts w:ascii="Times New Roman" w:hAnsi="Times New Roman" w:cs="Times New Roman"/>
                <w:b/>
                <w:lang w:val="en-US"/>
              </w:rPr>
            </w:pPr>
            <w:r w:rsidRPr="005C75DF">
              <w:rPr>
                <w:rFonts w:ascii="Times New Roman" w:hAnsi="Times New Roman" w:cs="Times New Roman"/>
                <w:b/>
                <w:lang w:val="en-US"/>
              </w:rPr>
              <w:t>2</w:t>
            </w:r>
          </w:p>
        </w:tc>
      </w:tr>
      <w:tr w:rsidR="006E4598" w:rsidRPr="00E521D7" w:rsidTr="00B61E80">
        <w:trPr>
          <w:trHeight w:val="332"/>
        </w:trPr>
        <w:tc>
          <w:tcPr>
            <w:tcW w:w="434" w:type="pct"/>
            <w:gridSpan w:val="2"/>
            <w:tcBorders>
              <w:top w:val="single" w:sz="4" w:space="0" w:color="auto"/>
              <w:left w:val="single" w:sz="4" w:space="0" w:color="auto"/>
              <w:bottom w:val="single" w:sz="4" w:space="0" w:color="auto"/>
              <w:right w:val="single" w:sz="4" w:space="0" w:color="auto"/>
            </w:tcBorders>
          </w:tcPr>
          <w:p w:rsidR="006E4598" w:rsidRPr="005C75DF" w:rsidRDefault="006E4598" w:rsidP="005C75DF">
            <w:pPr>
              <w:spacing w:after="0" w:line="240" w:lineRule="auto"/>
              <w:jc w:val="both"/>
              <w:rPr>
                <w:rFonts w:ascii="Times New Roman" w:hAnsi="Times New Roman" w:cs="Times New Roman"/>
                <w:b/>
                <w:lang w:val="en-US"/>
              </w:rPr>
            </w:pPr>
          </w:p>
        </w:tc>
        <w:tc>
          <w:tcPr>
            <w:tcW w:w="775" w:type="pct"/>
            <w:tcBorders>
              <w:top w:val="single" w:sz="4" w:space="0" w:color="auto"/>
              <w:left w:val="single" w:sz="4" w:space="0" w:color="auto"/>
              <w:bottom w:val="single" w:sz="4" w:space="0" w:color="auto"/>
              <w:right w:val="single" w:sz="4" w:space="0" w:color="auto"/>
            </w:tcBorders>
          </w:tcPr>
          <w:p w:rsidR="006E4598" w:rsidRPr="005C75DF" w:rsidRDefault="006E4598" w:rsidP="005C75DF">
            <w:pPr>
              <w:spacing w:after="0" w:line="240" w:lineRule="auto"/>
              <w:jc w:val="both"/>
              <w:rPr>
                <w:rFonts w:ascii="Times New Roman" w:hAnsi="Times New Roman" w:cs="Times New Roman"/>
                <w:b/>
                <w:lang w:val="en-US"/>
              </w:rPr>
            </w:pPr>
          </w:p>
        </w:tc>
        <w:tc>
          <w:tcPr>
            <w:tcW w:w="333" w:type="pct"/>
            <w:tcBorders>
              <w:top w:val="single" w:sz="4" w:space="0" w:color="auto"/>
              <w:left w:val="single" w:sz="4" w:space="0" w:color="auto"/>
              <w:bottom w:val="single" w:sz="4" w:space="0" w:color="auto"/>
              <w:right w:val="single" w:sz="4" w:space="0" w:color="auto"/>
            </w:tcBorders>
          </w:tcPr>
          <w:p w:rsidR="006E4598" w:rsidRPr="005C75DF" w:rsidRDefault="006E4598" w:rsidP="005C75DF">
            <w:pPr>
              <w:spacing w:after="0" w:line="240" w:lineRule="auto"/>
              <w:jc w:val="both"/>
              <w:rPr>
                <w:rFonts w:ascii="Times New Roman" w:hAnsi="Times New Roman" w:cs="Times New Roman"/>
                <w:b/>
                <w:lang w:val="en-US"/>
              </w:rPr>
            </w:pPr>
          </w:p>
        </w:tc>
        <w:tc>
          <w:tcPr>
            <w:tcW w:w="582" w:type="pct"/>
            <w:tcBorders>
              <w:top w:val="single" w:sz="4" w:space="0" w:color="auto"/>
              <w:left w:val="single" w:sz="4" w:space="0" w:color="auto"/>
              <w:bottom w:val="single" w:sz="4" w:space="0" w:color="auto"/>
              <w:right w:val="single" w:sz="4" w:space="0" w:color="auto"/>
            </w:tcBorders>
          </w:tcPr>
          <w:p w:rsidR="006E4598" w:rsidRPr="005C75DF" w:rsidRDefault="006E4598" w:rsidP="005C75DF">
            <w:pPr>
              <w:spacing w:after="0" w:line="240" w:lineRule="auto"/>
              <w:jc w:val="both"/>
              <w:rPr>
                <w:rFonts w:ascii="Times New Roman" w:hAnsi="Times New Roman" w:cs="Times New Roman"/>
                <w:b/>
                <w:lang w:val="en-US"/>
              </w:rPr>
            </w:pPr>
          </w:p>
        </w:tc>
        <w:tc>
          <w:tcPr>
            <w:tcW w:w="298" w:type="pct"/>
            <w:tcBorders>
              <w:top w:val="single" w:sz="4" w:space="0" w:color="auto"/>
              <w:left w:val="single" w:sz="4" w:space="0" w:color="auto"/>
              <w:bottom w:val="single" w:sz="4" w:space="0" w:color="auto"/>
              <w:right w:val="single" w:sz="4" w:space="0" w:color="auto"/>
            </w:tcBorders>
          </w:tcPr>
          <w:p w:rsidR="006E4598" w:rsidRPr="005C75DF" w:rsidRDefault="006E4598" w:rsidP="005C75DF">
            <w:pPr>
              <w:spacing w:after="0" w:line="240" w:lineRule="auto"/>
              <w:jc w:val="both"/>
              <w:rPr>
                <w:rFonts w:ascii="Times New Roman" w:hAnsi="Times New Roman" w:cs="Times New Roman"/>
                <w:b/>
                <w:lang w:val="en-US"/>
              </w:rPr>
            </w:pPr>
          </w:p>
        </w:tc>
        <w:tc>
          <w:tcPr>
            <w:tcW w:w="842" w:type="pct"/>
            <w:tcBorders>
              <w:top w:val="single" w:sz="4" w:space="0" w:color="auto"/>
              <w:left w:val="single" w:sz="4" w:space="0" w:color="auto"/>
              <w:bottom w:val="single" w:sz="4" w:space="0" w:color="auto"/>
              <w:right w:val="single" w:sz="4" w:space="0" w:color="auto"/>
            </w:tcBorders>
          </w:tcPr>
          <w:p w:rsidR="006E4598" w:rsidRPr="005C75DF" w:rsidRDefault="006E4598" w:rsidP="005C75DF">
            <w:pPr>
              <w:spacing w:after="0" w:line="240" w:lineRule="auto"/>
              <w:jc w:val="both"/>
              <w:rPr>
                <w:rFonts w:ascii="Times New Roman" w:hAnsi="Times New Roman" w:cs="Times New Roman"/>
                <w:b/>
                <w:lang w:val="en-US"/>
              </w:rPr>
            </w:pPr>
            <w:r w:rsidRPr="005C75DF">
              <w:rPr>
                <w:rFonts w:ascii="Times New Roman" w:hAnsi="Times New Roman" w:cs="Times New Roman"/>
                <w:b/>
                <w:lang w:val="en-US"/>
              </w:rPr>
              <w:t>RCO 101 - IMM-uri care investesc în dezvoltarea competențelor</w:t>
            </w:r>
          </w:p>
        </w:tc>
        <w:tc>
          <w:tcPr>
            <w:tcW w:w="765" w:type="pct"/>
            <w:tcBorders>
              <w:top w:val="single" w:sz="4" w:space="0" w:color="auto"/>
              <w:left w:val="single" w:sz="4" w:space="0" w:color="auto"/>
              <w:bottom w:val="single" w:sz="4" w:space="0" w:color="auto"/>
              <w:right w:val="single" w:sz="4" w:space="0" w:color="auto"/>
            </w:tcBorders>
          </w:tcPr>
          <w:p w:rsidR="006E4598" w:rsidRPr="005C75DF" w:rsidRDefault="006E4598" w:rsidP="005C75DF">
            <w:pPr>
              <w:spacing w:after="0" w:line="240" w:lineRule="auto"/>
              <w:jc w:val="both"/>
              <w:rPr>
                <w:rFonts w:ascii="Times New Roman" w:hAnsi="Times New Roman" w:cs="Times New Roman"/>
                <w:b/>
                <w:lang w:val="en-US"/>
              </w:rPr>
            </w:pPr>
            <w:r w:rsidRPr="005C75DF">
              <w:rPr>
                <w:rFonts w:ascii="Times New Roman" w:hAnsi="Times New Roman" w:cs="Times New Roman"/>
                <w:b/>
                <w:lang w:val="en-US"/>
              </w:rPr>
              <w:t>Număr întreprinderi</w:t>
            </w:r>
          </w:p>
        </w:tc>
        <w:tc>
          <w:tcPr>
            <w:tcW w:w="561" w:type="pct"/>
            <w:tcBorders>
              <w:top w:val="single" w:sz="4" w:space="0" w:color="auto"/>
              <w:left w:val="single" w:sz="4" w:space="0" w:color="auto"/>
              <w:bottom w:val="single" w:sz="4" w:space="0" w:color="auto"/>
              <w:right w:val="single" w:sz="4" w:space="0" w:color="auto"/>
            </w:tcBorders>
          </w:tcPr>
          <w:p w:rsidR="006E4598" w:rsidRPr="005C75DF" w:rsidRDefault="00B61E80" w:rsidP="005C75DF">
            <w:pPr>
              <w:spacing w:after="0" w:line="240" w:lineRule="auto"/>
              <w:jc w:val="both"/>
              <w:rPr>
                <w:rFonts w:ascii="Times New Roman" w:hAnsi="Times New Roman" w:cs="Times New Roman"/>
                <w:b/>
                <w:lang w:val="en-US"/>
              </w:rPr>
            </w:pPr>
            <w:r w:rsidRPr="005C75DF">
              <w:rPr>
                <w:rFonts w:ascii="Times New Roman" w:hAnsi="Times New Roman" w:cs="Times New Roman"/>
                <w:b/>
                <w:lang w:val="en-US"/>
              </w:rPr>
              <w:t>3</w:t>
            </w:r>
          </w:p>
        </w:tc>
        <w:tc>
          <w:tcPr>
            <w:tcW w:w="409" w:type="pct"/>
            <w:gridSpan w:val="2"/>
            <w:tcBorders>
              <w:top w:val="single" w:sz="4" w:space="0" w:color="auto"/>
              <w:left w:val="single" w:sz="4" w:space="0" w:color="auto"/>
              <w:bottom w:val="single" w:sz="4" w:space="0" w:color="auto"/>
              <w:right w:val="single" w:sz="4" w:space="0" w:color="auto"/>
            </w:tcBorders>
          </w:tcPr>
          <w:p w:rsidR="006E4598" w:rsidRPr="005C75DF" w:rsidRDefault="00B61E80" w:rsidP="005C75DF">
            <w:pPr>
              <w:spacing w:after="0" w:line="240" w:lineRule="auto"/>
              <w:jc w:val="both"/>
              <w:rPr>
                <w:rFonts w:ascii="Times New Roman" w:hAnsi="Times New Roman" w:cs="Times New Roman"/>
                <w:b/>
                <w:lang w:val="en-US"/>
              </w:rPr>
            </w:pPr>
            <w:r w:rsidRPr="005C75DF">
              <w:rPr>
                <w:rFonts w:ascii="Times New Roman" w:hAnsi="Times New Roman" w:cs="Times New Roman"/>
                <w:b/>
                <w:lang w:val="en-US"/>
              </w:rPr>
              <w:t>34</w:t>
            </w:r>
          </w:p>
        </w:tc>
      </w:tr>
    </w:tbl>
    <w:p w:rsidR="00E91EF6" w:rsidRPr="005C75DF" w:rsidRDefault="00E91EF6" w:rsidP="005C75DF">
      <w:pPr>
        <w:spacing w:after="0" w:line="240" w:lineRule="auto"/>
        <w:rPr>
          <w:rFonts w:ascii="Times New Roman" w:hAnsi="Times New Roman" w:cs="Times New Roman"/>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9"/>
        <w:gridCol w:w="1106"/>
        <w:gridCol w:w="603"/>
        <w:gridCol w:w="838"/>
        <w:gridCol w:w="502"/>
        <w:gridCol w:w="1005"/>
        <w:gridCol w:w="1106"/>
        <w:gridCol w:w="821"/>
        <w:gridCol w:w="863"/>
        <w:gridCol w:w="707"/>
        <w:gridCol w:w="661"/>
        <w:gridCol w:w="913"/>
      </w:tblGrid>
      <w:tr w:rsidR="001961EE" w:rsidRPr="00E521D7" w:rsidTr="00E95FAC">
        <w:trPr>
          <w:trHeight w:val="480"/>
        </w:trPr>
        <w:tc>
          <w:tcPr>
            <w:tcW w:w="5000" w:type="pct"/>
            <w:gridSpan w:val="12"/>
            <w:tcBorders>
              <w:top w:val="single" w:sz="4" w:space="0" w:color="auto"/>
              <w:left w:val="single" w:sz="4" w:space="0" w:color="auto"/>
              <w:bottom w:val="single" w:sz="4" w:space="0" w:color="auto"/>
              <w:right w:val="single" w:sz="4" w:space="0" w:color="auto"/>
            </w:tcBorders>
            <w:hideMark/>
          </w:tcPr>
          <w:p w:rsidR="001961EE" w:rsidRPr="005C75DF" w:rsidRDefault="001961EE" w:rsidP="005C75DF">
            <w:pPr>
              <w:spacing w:after="0" w:line="240" w:lineRule="auto"/>
              <w:rPr>
                <w:rFonts w:ascii="Times New Roman" w:hAnsi="Times New Roman" w:cs="Times New Roman"/>
                <w:b/>
                <w:iCs/>
                <w:lang w:val="en-US"/>
              </w:rPr>
            </w:pPr>
            <w:r w:rsidRPr="005C75DF">
              <w:rPr>
                <w:rFonts w:ascii="Times New Roman" w:hAnsi="Times New Roman" w:cs="Times New Roman"/>
                <w:b/>
                <w:iCs/>
                <w:lang w:val="en-US"/>
              </w:rPr>
              <w:t>Table 3: Result indicators</w:t>
            </w:r>
          </w:p>
        </w:tc>
      </w:tr>
      <w:tr w:rsidR="001961EE" w:rsidRPr="00E521D7" w:rsidTr="007B330B">
        <w:trPr>
          <w:trHeight w:val="1768"/>
        </w:trPr>
        <w:tc>
          <w:tcPr>
            <w:tcW w:w="353" w:type="pct"/>
            <w:tcBorders>
              <w:top w:val="single" w:sz="4" w:space="0" w:color="auto"/>
              <w:left w:val="single" w:sz="4" w:space="0" w:color="auto"/>
              <w:bottom w:val="single" w:sz="4" w:space="0" w:color="auto"/>
              <w:right w:val="single" w:sz="4" w:space="0" w:color="auto"/>
            </w:tcBorders>
            <w:hideMark/>
          </w:tcPr>
          <w:p w:rsidR="001961EE" w:rsidRPr="005C75DF" w:rsidRDefault="001961EE" w:rsidP="005C75DF">
            <w:pPr>
              <w:spacing w:after="0" w:line="240" w:lineRule="auto"/>
              <w:rPr>
                <w:rFonts w:ascii="Times New Roman" w:hAnsi="Times New Roman" w:cs="Times New Roman"/>
                <w:b/>
                <w:lang w:val="en-US"/>
              </w:rPr>
            </w:pPr>
            <w:r w:rsidRPr="005C75DF">
              <w:rPr>
                <w:rFonts w:ascii="Times New Roman" w:hAnsi="Times New Roman" w:cs="Times New Roman"/>
                <w:b/>
                <w:lang w:val="en-US"/>
              </w:rPr>
              <w:t xml:space="preserve">Priority </w:t>
            </w:r>
          </w:p>
        </w:tc>
        <w:tc>
          <w:tcPr>
            <w:tcW w:w="577" w:type="pct"/>
            <w:tcBorders>
              <w:top w:val="single" w:sz="4" w:space="0" w:color="auto"/>
              <w:left w:val="single" w:sz="4" w:space="0" w:color="auto"/>
              <w:bottom w:val="single" w:sz="4" w:space="0" w:color="auto"/>
              <w:right w:val="single" w:sz="4" w:space="0" w:color="auto"/>
            </w:tcBorders>
            <w:hideMark/>
          </w:tcPr>
          <w:p w:rsidR="001961EE" w:rsidRPr="005C75DF" w:rsidRDefault="001961EE" w:rsidP="005C75DF">
            <w:pPr>
              <w:spacing w:after="0" w:line="240" w:lineRule="auto"/>
              <w:rPr>
                <w:rFonts w:ascii="Times New Roman" w:hAnsi="Times New Roman" w:cs="Times New Roman"/>
                <w:b/>
                <w:lang w:val="en-US"/>
              </w:rPr>
            </w:pPr>
            <w:r w:rsidRPr="005C75DF">
              <w:rPr>
                <w:rFonts w:ascii="Times New Roman" w:hAnsi="Times New Roman" w:cs="Times New Roman"/>
                <w:b/>
                <w:lang w:val="en-US"/>
              </w:rPr>
              <w:t>Specific objective (Investment for Jobs and Growth goal or EMFF)</w:t>
            </w:r>
          </w:p>
        </w:tc>
        <w:tc>
          <w:tcPr>
            <w:tcW w:w="277" w:type="pct"/>
            <w:tcBorders>
              <w:top w:val="single" w:sz="4" w:space="0" w:color="auto"/>
              <w:left w:val="single" w:sz="4" w:space="0" w:color="auto"/>
              <w:bottom w:val="single" w:sz="4" w:space="0" w:color="auto"/>
              <w:right w:val="single" w:sz="4" w:space="0" w:color="auto"/>
            </w:tcBorders>
            <w:hideMark/>
          </w:tcPr>
          <w:p w:rsidR="001961EE" w:rsidRPr="005C75DF" w:rsidRDefault="001961EE" w:rsidP="005C75DF">
            <w:pPr>
              <w:spacing w:after="0" w:line="240" w:lineRule="auto"/>
              <w:rPr>
                <w:rFonts w:ascii="Times New Roman" w:hAnsi="Times New Roman" w:cs="Times New Roman"/>
                <w:b/>
                <w:lang w:val="en-US"/>
              </w:rPr>
            </w:pPr>
            <w:r w:rsidRPr="005C75DF">
              <w:rPr>
                <w:rFonts w:ascii="Times New Roman" w:hAnsi="Times New Roman" w:cs="Times New Roman"/>
                <w:b/>
                <w:lang w:val="en-US"/>
              </w:rPr>
              <w:t>Fund</w:t>
            </w:r>
          </w:p>
        </w:tc>
        <w:tc>
          <w:tcPr>
            <w:tcW w:w="446" w:type="pct"/>
            <w:tcBorders>
              <w:top w:val="single" w:sz="4" w:space="0" w:color="auto"/>
              <w:left w:val="single" w:sz="4" w:space="0" w:color="auto"/>
              <w:bottom w:val="single" w:sz="4" w:space="0" w:color="auto"/>
              <w:right w:val="single" w:sz="4" w:space="0" w:color="auto"/>
            </w:tcBorders>
            <w:hideMark/>
          </w:tcPr>
          <w:p w:rsidR="001961EE" w:rsidRPr="005C75DF" w:rsidRDefault="001961EE" w:rsidP="005C75DF">
            <w:pPr>
              <w:spacing w:after="0" w:line="240" w:lineRule="auto"/>
              <w:rPr>
                <w:rFonts w:ascii="Times New Roman" w:hAnsi="Times New Roman" w:cs="Times New Roman"/>
                <w:b/>
                <w:lang w:val="en-US"/>
              </w:rPr>
            </w:pPr>
            <w:r w:rsidRPr="005C75DF">
              <w:rPr>
                <w:rFonts w:ascii="Times New Roman" w:hAnsi="Times New Roman" w:cs="Times New Roman"/>
                <w:b/>
                <w:lang w:val="en-US"/>
              </w:rPr>
              <w:t>Category of region</w:t>
            </w:r>
            <w:r w:rsidRPr="005C75DF">
              <w:rPr>
                <w:rFonts w:ascii="Times New Roman" w:hAnsi="Times New Roman" w:cs="Times New Roman"/>
                <w:lang w:val="en-US"/>
              </w:rPr>
              <w:t xml:space="preserve"> </w:t>
            </w:r>
          </w:p>
        </w:tc>
        <w:tc>
          <w:tcPr>
            <w:tcW w:w="238" w:type="pct"/>
            <w:tcBorders>
              <w:top w:val="single" w:sz="4" w:space="0" w:color="auto"/>
              <w:left w:val="single" w:sz="4" w:space="0" w:color="auto"/>
              <w:bottom w:val="single" w:sz="4" w:space="0" w:color="auto"/>
              <w:right w:val="single" w:sz="4" w:space="0" w:color="auto"/>
            </w:tcBorders>
            <w:hideMark/>
          </w:tcPr>
          <w:p w:rsidR="001961EE" w:rsidRPr="005C75DF" w:rsidRDefault="001961EE" w:rsidP="005C75DF">
            <w:pPr>
              <w:spacing w:after="0" w:line="240" w:lineRule="auto"/>
              <w:rPr>
                <w:rFonts w:ascii="Times New Roman" w:hAnsi="Times New Roman" w:cs="Times New Roman"/>
                <w:b/>
                <w:lang w:val="en-US"/>
              </w:rPr>
            </w:pPr>
            <w:r w:rsidRPr="005C75DF">
              <w:rPr>
                <w:rFonts w:ascii="Times New Roman" w:hAnsi="Times New Roman" w:cs="Times New Roman"/>
                <w:b/>
                <w:lang w:val="en-US"/>
              </w:rPr>
              <w:t>ID [5]</w:t>
            </w:r>
          </w:p>
        </w:tc>
        <w:tc>
          <w:tcPr>
            <w:tcW w:w="509" w:type="pct"/>
            <w:tcBorders>
              <w:top w:val="single" w:sz="4" w:space="0" w:color="auto"/>
              <w:left w:val="single" w:sz="4" w:space="0" w:color="auto"/>
              <w:bottom w:val="single" w:sz="4" w:space="0" w:color="auto"/>
              <w:right w:val="single" w:sz="4" w:space="0" w:color="auto"/>
            </w:tcBorders>
            <w:hideMark/>
          </w:tcPr>
          <w:p w:rsidR="001961EE" w:rsidRPr="005C75DF" w:rsidRDefault="001961EE" w:rsidP="005C75DF">
            <w:pPr>
              <w:spacing w:after="0" w:line="240" w:lineRule="auto"/>
              <w:rPr>
                <w:rFonts w:ascii="Times New Roman" w:hAnsi="Times New Roman" w:cs="Times New Roman"/>
                <w:b/>
                <w:lang w:val="en-US"/>
              </w:rPr>
            </w:pPr>
            <w:r w:rsidRPr="005C75DF">
              <w:rPr>
                <w:rFonts w:ascii="Times New Roman" w:hAnsi="Times New Roman" w:cs="Times New Roman"/>
                <w:b/>
                <w:lang w:val="en-US"/>
              </w:rPr>
              <w:t>Indicator [255]</w:t>
            </w:r>
          </w:p>
        </w:tc>
        <w:tc>
          <w:tcPr>
            <w:tcW w:w="570" w:type="pct"/>
            <w:tcBorders>
              <w:top w:val="single" w:sz="4" w:space="0" w:color="auto"/>
              <w:left w:val="single" w:sz="4" w:space="0" w:color="auto"/>
              <w:bottom w:val="single" w:sz="4" w:space="0" w:color="auto"/>
              <w:right w:val="single" w:sz="4" w:space="0" w:color="auto"/>
            </w:tcBorders>
            <w:hideMark/>
          </w:tcPr>
          <w:p w:rsidR="001961EE" w:rsidRPr="005C75DF" w:rsidRDefault="001961EE" w:rsidP="005C75DF">
            <w:pPr>
              <w:spacing w:after="0" w:line="240" w:lineRule="auto"/>
              <w:rPr>
                <w:rFonts w:ascii="Times New Roman" w:hAnsi="Times New Roman" w:cs="Times New Roman"/>
                <w:b/>
                <w:lang w:val="en-US"/>
              </w:rPr>
            </w:pPr>
            <w:r w:rsidRPr="005C75DF">
              <w:rPr>
                <w:rFonts w:ascii="Times New Roman" w:hAnsi="Times New Roman" w:cs="Times New Roman"/>
                <w:b/>
                <w:lang w:val="en-US"/>
              </w:rPr>
              <w:t>Measurement unit</w:t>
            </w:r>
          </w:p>
        </w:tc>
        <w:tc>
          <w:tcPr>
            <w:tcW w:w="424" w:type="pct"/>
            <w:tcBorders>
              <w:top w:val="single" w:sz="4" w:space="0" w:color="auto"/>
              <w:left w:val="single" w:sz="4" w:space="0" w:color="auto"/>
              <w:bottom w:val="single" w:sz="4" w:space="0" w:color="auto"/>
              <w:right w:val="single" w:sz="4" w:space="0" w:color="auto"/>
            </w:tcBorders>
            <w:hideMark/>
          </w:tcPr>
          <w:p w:rsidR="001961EE" w:rsidRPr="005C75DF" w:rsidRDefault="001961EE" w:rsidP="005C75DF">
            <w:pPr>
              <w:spacing w:after="0" w:line="240" w:lineRule="auto"/>
              <w:rPr>
                <w:rFonts w:ascii="Times New Roman" w:hAnsi="Times New Roman" w:cs="Times New Roman"/>
                <w:b/>
                <w:lang w:val="en-US"/>
              </w:rPr>
            </w:pPr>
            <w:r w:rsidRPr="005C75DF">
              <w:rPr>
                <w:rFonts w:ascii="Times New Roman" w:hAnsi="Times New Roman" w:cs="Times New Roman"/>
                <w:b/>
                <w:lang w:val="en-US"/>
              </w:rPr>
              <w:t>Baseline or reference value</w:t>
            </w:r>
          </w:p>
        </w:tc>
        <w:tc>
          <w:tcPr>
            <w:tcW w:w="440" w:type="pct"/>
            <w:tcBorders>
              <w:top w:val="single" w:sz="4" w:space="0" w:color="auto"/>
              <w:left w:val="single" w:sz="4" w:space="0" w:color="auto"/>
              <w:bottom w:val="single" w:sz="4" w:space="0" w:color="auto"/>
              <w:right w:val="single" w:sz="4" w:space="0" w:color="auto"/>
            </w:tcBorders>
            <w:hideMark/>
          </w:tcPr>
          <w:p w:rsidR="001961EE" w:rsidRPr="005C75DF" w:rsidRDefault="001961EE" w:rsidP="005C75DF">
            <w:pPr>
              <w:spacing w:after="0" w:line="240" w:lineRule="auto"/>
              <w:rPr>
                <w:rFonts w:ascii="Times New Roman" w:hAnsi="Times New Roman" w:cs="Times New Roman"/>
                <w:b/>
                <w:lang w:val="en-US"/>
              </w:rPr>
            </w:pPr>
            <w:r w:rsidRPr="005C75DF">
              <w:rPr>
                <w:rFonts w:ascii="Times New Roman" w:hAnsi="Times New Roman" w:cs="Times New Roman"/>
                <w:b/>
                <w:lang w:val="en-US"/>
              </w:rPr>
              <w:t>Reference year</w:t>
            </w:r>
          </w:p>
        </w:tc>
        <w:tc>
          <w:tcPr>
            <w:tcW w:w="370" w:type="pct"/>
            <w:tcBorders>
              <w:top w:val="single" w:sz="4" w:space="0" w:color="auto"/>
              <w:left w:val="single" w:sz="4" w:space="0" w:color="auto"/>
              <w:bottom w:val="single" w:sz="4" w:space="0" w:color="auto"/>
              <w:right w:val="single" w:sz="4" w:space="0" w:color="auto"/>
            </w:tcBorders>
          </w:tcPr>
          <w:p w:rsidR="001961EE" w:rsidRPr="005C75DF" w:rsidRDefault="001961EE" w:rsidP="005C75DF">
            <w:pPr>
              <w:spacing w:after="0" w:line="240" w:lineRule="auto"/>
              <w:rPr>
                <w:rFonts w:ascii="Times New Roman" w:hAnsi="Times New Roman" w:cs="Times New Roman"/>
                <w:b/>
                <w:lang w:val="en-US"/>
              </w:rPr>
            </w:pPr>
            <w:r w:rsidRPr="005C75DF">
              <w:rPr>
                <w:rFonts w:ascii="Times New Roman" w:hAnsi="Times New Roman" w:cs="Times New Roman"/>
                <w:b/>
                <w:lang w:val="en-US"/>
              </w:rPr>
              <w:t>Target (2029)</w:t>
            </w:r>
          </w:p>
          <w:p w:rsidR="001961EE" w:rsidRPr="005C75DF" w:rsidRDefault="001961EE" w:rsidP="005C75DF">
            <w:pPr>
              <w:spacing w:after="0" w:line="240" w:lineRule="auto"/>
              <w:rPr>
                <w:rFonts w:ascii="Times New Roman" w:hAnsi="Times New Roman" w:cs="Times New Roman"/>
                <w:b/>
                <w:lang w:val="en-US"/>
              </w:rPr>
            </w:pPr>
          </w:p>
        </w:tc>
        <w:tc>
          <w:tcPr>
            <w:tcW w:w="333" w:type="pct"/>
            <w:tcBorders>
              <w:top w:val="single" w:sz="4" w:space="0" w:color="auto"/>
              <w:left w:val="single" w:sz="4" w:space="0" w:color="auto"/>
              <w:bottom w:val="single" w:sz="4" w:space="0" w:color="auto"/>
              <w:right w:val="single" w:sz="4" w:space="0" w:color="auto"/>
            </w:tcBorders>
            <w:hideMark/>
          </w:tcPr>
          <w:p w:rsidR="001961EE" w:rsidRPr="005C75DF" w:rsidRDefault="001961EE" w:rsidP="005C75DF">
            <w:pPr>
              <w:spacing w:after="0" w:line="240" w:lineRule="auto"/>
              <w:rPr>
                <w:rFonts w:ascii="Times New Roman" w:hAnsi="Times New Roman" w:cs="Times New Roman"/>
                <w:b/>
                <w:lang w:val="en-US"/>
              </w:rPr>
            </w:pPr>
            <w:r w:rsidRPr="005C75DF">
              <w:rPr>
                <w:rFonts w:ascii="Times New Roman" w:hAnsi="Times New Roman" w:cs="Times New Roman"/>
                <w:b/>
                <w:lang w:val="en-US"/>
              </w:rPr>
              <w:t>Source of data [200]</w:t>
            </w:r>
          </w:p>
        </w:tc>
        <w:tc>
          <w:tcPr>
            <w:tcW w:w="462" w:type="pct"/>
            <w:tcBorders>
              <w:top w:val="single" w:sz="4" w:space="0" w:color="auto"/>
              <w:left w:val="single" w:sz="4" w:space="0" w:color="auto"/>
              <w:bottom w:val="single" w:sz="4" w:space="0" w:color="auto"/>
              <w:right w:val="single" w:sz="4" w:space="0" w:color="auto"/>
            </w:tcBorders>
            <w:hideMark/>
          </w:tcPr>
          <w:p w:rsidR="001961EE" w:rsidRPr="005C75DF" w:rsidRDefault="001961EE" w:rsidP="005C75DF">
            <w:pPr>
              <w:spacing w:after="0" w:line="240" w:lineRule="auto"/>
              <w:rPr>
                <w:rFonts w:ascii="Times New Roman" w:hAnsi="Times New Roman" w:cs="Times New Roman"/>
                <w:b/>
                <w:lang w:val="en-US"/>
              </w:rPr>
            </w:pPr>
            <w:r w:rsidRPr="005C75DF">
              <w:rPr>
                <w:rFonts w:ascii="Times New Roman" w:hAnsi="Times New Roman" w:cs="Times New Roman"/>
                <w:b/>
                <w:lang w:val="en-US"/>
              </w:rPr>
              <w:t>Comments [200]</w:t>
            </w:r>
          </w:p>
        </w:tc>
      </w:tr>
      <w:tr w:rsidR="00B36B8E" w:rsidRPr="00E521D7" w:rsidTr="007B330B">
        <w:trPr>
          <w:trHeight w:val="434"/>
        </w:trPr>
        <w:tc>
          <w:tcPr>
            <w:tcW w:w="353" w:type="pct"/>
            <w:tcBorders>
              <w:top w:val="single" w:sz="4" w:space="0" w:color="auto"/>
              <w:left w:val="single" w:sz="4" w:space="0" w:color="auto"/>
              <w:bottom w:val="single" w:sz="4" w:space="0" w:color="auto"/>
              <w:right w:val="single" w:sz="4" w:space="0" w:color="auto"/>
            </w:tcBorders>
          </w:tcPr>
          <w:p w:rsidR="00B36B8E" w:rsidRPr="005C75DF" w:rsidRDefault="00B36B8E" w:rsidP="005C75DF">
            <w:pPr>
              <w:spacing w:after="0" w:line="240" w:lineRule="auto"/>
              <w:rPr>
                <w:rFonts w:ascii="Times New Roman" w:hAnsi="Times New Roman" w:cs="Times New Roman"/>
                <w:i/>
                <w:lang w:val="en-US"/>
              </w:rPr>
            </w:pPr>
          </w:p>
        </w:tc>
        <w:tc>
          <w:tcPr>
            <w:tcW w:w="577" w:type="pct"/>
            <w:tcBorders>
              <w:top w:val="single" w:sz="4" w:space="0" w:color="auto"/>
              <w:left w:val="single" w:sz="4" w:space="0" w:color="auto"/>
              <w:bottom w:val="single" w:sz="4" w:space="0" w:color="auto"/>
              <w:right w:val="single" w:sz="4" w:space="0" w:color="auto"/>
            </w:tcBorders>
          </w:tcPr>
          <w:p w:rsidR="00B36B8E" w:rsidRPr="005C75DF" w:rsidRDefault="00B36B8E" w:rsidP="005C75DF">
            <w:pPr>
              <w:spacing w:after="0" w:line="240" w:lineRule="auto"/>
              <w:rPr>
                <w:rFonts w:ascii="Times New Roman" w:hAnsi="Times New Roman" w:cs="Times New Roman"/>
                <w:i/>
                <w:lang w:val="en-US"/>
              </w:rPr>
            </w:pPr>
            <w:r w:rsidRPr="005C75DF">
              <w:rPr>
                <w:rFonts w:ascii="Times New Roman" w:hAnsi="Times New Roman" w:cs="Times New Roman"/>
                <w:i/>
                <w:lang w:val="en-US"/>
              </w:rPr>
              <w:t>a (ii) Fructificarea avantajelor digitalizării, în beneficiul cetățenilor, al companiilor și al guvernelor</w:t>
            </w:r>
          </w:p>
        </w:tc>
        <w:tc>
          <w:tcPr>
            <w:tcW w:w="277" w:type="pct"/>
            <w:tcBorders>
              <w:top w:val="single" w:sz="4" w:space="0" w:color="auto"/>
              <w:left w:val="single" w:sz="4" w:space="0" w:color="auto"/>
              <w:bottom w:val="single" w:sz="4" w:space="0" w:color="auto"/>
              <w:right w:val="single" w:sz="4" w:space="0" w:color="auto"/>
            </w:tcBorders>
          </w:tcPr>
          <w:p w:rsidR="00B36B8E" w:rsidRPr="005C75DF" w:rsidRDefault="00B36B8E" w:rsidP="005C75DF">
            <w:pPr>
              <w:spacing w:after="0" w:line="240" w:lineRule="auto"/>
              <w:rPr>
                <w:rFonts w:ascii="Times New Roman" w:hAnsi="Times New Roman" w:cs="Times New Roman"/>
                <w:i/>
                <w:lang w:val="en-US"/>
              </w:rPr>
            </w:pPr>
            <w:r w:rsidRPr="005C75DF">
              <w:rPr>
                <w:rFonts w:ascii="Times New Roman" w:hAnsi="Times New Roman" w:cs="Times New Roman"/>
                <w:i/>
                <w:lang w:val="en-US"/>
              </w:rPr>
              <w:t>FEDR</w:t>
            </w:r>
          </w:p>
        </w:tc>
        <w:tc>
          <w:tcPr>
            <w:tcW w:w="446" w:type="pct"/>
            <w:tcBorders>
              <w:top w:val="single" w:sz="4" w:space="0" w:color="auto"/>
              <w:left w:val="single" w:sz="4" w:space="0" w:color="auto"/>
              <w:bottom w:val="single" w:sz="4" w:space="0" w:color="auto"/>
              <w:right w:val="single" w:sz="4" w:space="0" w:color="auto"/>
            </w:tcBorders>
          </w:tcPr>
          <w:p w:rsidR="00B36B8E" w:rsidRPr="005C75DF" w:rsidRDefault="00B36B8E" w:rsidP="005C75DF">
            <w:pPr>
              <w:spacing w:after="0" w:line="240" w:lineRule="auto"/>
              <w:rPr>
                <w:rFonts w:ascii="Times New Roman" w:hAnsi="Times New Roman" w:cs="Times New Roman"/>
                <w:i/>
                <w:lang w:val="en-US"/>
              </w:rPr>
            </w:pPr>
            <w:r w:rsidRPr="005C75DF">
              <w:rPr>
                <w:rFonts w:ascii="Times New Roman" w:hAnsi="Times New Roman" w:cs="Times New Roman"/>
                <w:i/>
                <w:lang w:val="en-US"/>
              </w:rPr>
              <w:t>Mai puțin dezvoltată</w:t>
            </w:r>
          </w:p>
        </w:tc>
        <w:tc>
          <w:tcPr>
            <w:tcW w:w="238" w:type="pct"/>
            <w:tcBorders>
              <w:top w:val="single" w:sz="4" w:space="0" w:color="auto"/>
              <w:left w:val="single" w:sz="4" w:space="0" w:color="auto"/>
              <w:bottom w:val="single" w:sz="4" w:space="0" w:color="auto"/>
              <w:right w:val="single" w:sz="4" w:space="0" w:color="auto"/>
            </w:tcBorders>
          </w:tcPr>
          <w:p w:rsidR="00B36B8E" w:rsidRPr="005C75DF" w:rsidRDefault="00B36B8E" w:rsidP="005C75DF">
            <w:pPr>
              <w:spacing w:after="0" w:line="240" w:lineRule="auto"/>
              <w:rPr>
                <w:rFonts w:ascii="Times New Roman" w:hAnsi="Times New Roman" w:cs="Times New Roman"/>
                <w:i/>
                <w:lang w:val="en-US"/>
              </w:rPr>
            </w:pPr>
            <w:r w:rsidRPr="005C75DF">
              <w:rPr>
                <w:rFonts w:ascii="Times New Roman" w:hAnsi="Times New Roman" w:cs="Times New Roman"/>
                <w:i/>
                <w:lang w:val="en-US"/>
              </w:rPr>
              <w:t>RCR 11</w:t>
            </w:r>
          </w:p>
          <w:p w:rsidR="00B36B8E" w:rsidRPr="005C75DF" w:rsidRDefault="00B36B8E" w:rsidP="005C75DF">
            <w:pPr>
              <w:spacing w:after="0" w:line="240" w:lineRule="auto"/>
              <w:rPr>
                <w:rFonts w:ascii="Times New Roman" w:hAnsi="Times New Roman" w:cs="Times New Roman"/>
                <w:i/>
                <w:lang w:val="en-US"/>
              </w:rPr>
            </w:pPr>
          </w:p>
        </w:tc>
        <w:tc>
          <w:tcPr>
            <w:tcW w:w="509" w:type="pct"/>
            <w:tcBorders>
              <w:top w:val="single" w:sz="4" w:space="0" w:color="auto"/>
              <w:left w:val="single" w:sz="4" w:space="0" w:color="auto"/>
              <w:bottom w:val="single" w:sz="4" w:space="0" w:color="auto"/>
              <w:right w:val="single" w:sz="4" w:space="0" w:color="auto"/>
            </w:tcBorders>
          </w:tcPr>
          <w:p w:rsidR="00B36B8E" w:rsidRPr="005C75DF" w:rsidRDefault="00B36B8E" w:rsidP="005C75DF">
            <w:pPr>
              <w:spacing w:after="0" w:line="240" w:lineRule="auto"/>
              <w:rPr>
                <w:rFonts w:ascii="Times New Roman" w:hAnsi="Times New Roman" w:cs="Times New Roman"/>
                <w:i/>
                <w:lang w:val="en-US"/>
              </w:rPr>
            </w:pPr>
            <w:r w:rsidRPr="005C75DF">
              <w:rPr>
                <w:rFonts w:ascii="Times New Roman" w:hAnsi="Times New Roman" w:cs="Times New Roman"/>
                <w:i/>
                <w:lang w:val="en-US"/>
              </w:rPr>
              <w:t>RCR 11 - Users of new and upgraded public digital services, products and processes</w:t>
            </w:r>
          </w:p>
        </w:tc>
        <w:tc>
          <w:tcPr>
            <w:tcW w:w="570" w:type="pct"/>
            <w:tcBorders>
              <w:top w:val="single" w:sz="4" w:space="0" w:color="auto"/>
              <w:left w:val="single" w:sz="4" w:space="0" w:color="auto"/>
              <w:bottom w:val="single" w:sz="4" w:space="0" w:color="auto"/>
              <w:right w:val="single" w:sz="4" w:space="0" w:color="auto"/>
            </w:tcBorders>
          </w:tcPr>
          <w:p w:rsidR="00B36B8E" w:rsidRPr="005C75DF" w:rsidRDefault="00B36B8E" w:rsidP="005C75DF">
            <w:pPr>
              <w:spacing w:after="0" w:line="240" w:lineRule="auto"/>
              <w:rPr>
                <w:rFonts w:ascii="Times New Roman" w:hAnsi="Times New Roman" w:cs="Times New Roman"/>
                <w:i/>
                <w:lang w:val="en-US"/>
              </w:rPr>
            </w:pPr>
            <w:r w:rsidRPr="005C75DF">
              <w:rPr>
                <w:rFonts w:ascii="Times New Roman" w:hAnsi="Times New Roman" w:cs="Times New Roman"/>
                <w:i/>
                <w:lang w:val="en-US"/>
              </w:rPr>
              <w:t>Număr persoane</w:t>
            </w:r>
          </w:p>
        </w:tc>
        <w:tc>
          <w:tcPr>
            <w:tcW w:w="424" w:type="pct"/>
            <w:tcBorders>
              <w:top w:val="single" w:sz="4" w:space="0" w:color="auto"/>
              <w:left w:val="single" w:sz="4" w:space="0" w:color="auto"/>
              <w:bottom w:val="single" w:sz="4" w:space="0" w:color="auto"/>
              <w:right w:val="single" w:sz="4" w:space="0" w:color="auto"/>
            </w:tcBorders>
          </w:tcPr>
          <w:p w:rsidR="00B36B8E" w:rsidRPr="005C75DF" w:rsidRDefault="00B36B8E" w:rsidP="005C75DF">
            <w:pPr>
              <w:spacing w:after="0" w:line="240" w:lineRule="auto"/>
              <w:rPr>
                <w:rFonts w:ascii="Times New Roman" w:hAnsi="Times New Roman" w:cs="Times New Roman"/>
                <w:i/>
                <w:lang w:val="en-US"/>
              </w:rPr>
            </w:pPr>
            <w:r w:rsidRPr="005C75DF">
              <w:rPr>
                <w:rFonts w:ascii="Times New Roman" w:hAnsi="Times New Roman" w:cs="Times New Roman"/>
                <w:i/>
                <w:lang w:val="en-US"/>
              </w:rPr>
              <w:t>0</w:t>
            </w:r>
          </w:p>
        </w:tc>
        <w:tc>
          <w:tcPr>
            <w:tcW w:w="440" w:type="pct"/>
            <w:tcBorders>
              <w:top w:val="single" w:sz="4" w:space="0" w:color="auto"/>
              <w:left w:val="single" w:sz="4" w:space="0" w:color="auto"/>
              <w:bottom w:val="single" w:sz="4" w:space="0" w:color="auto"/>
              <w:right w:val="single" w:sz="4" w:space="0" w:color="auto"/>
            </w:tcBorders>
          </w:tcPr>
          <w:p w:rsidR="00B36B8E" w:rsidRPr="005C75DF" w:rsidRDefault="00B36B8E" w:rsidP="005C75DF">
            <w:pPr>
              <w:spacing w:after="0" w:line="240" w:lineRule="auto"/>
              <w:rPr>
                <w:rFonts w:ascii="Times New Roman" w:hAnsi="Times New Roman" w:cs="Times New Roman"/>
                <w:b/>
                <w:lang w:val="en-US"/>
              </w:rPr>
            </w:pPr>
          </w:p>
        </w:tc>
        <w:tc>
          <w:tcPr>
            <w:tcW w:w="370" w:type="pct"/>
            <w:tcBorders>
              <w:top w:val="single" w:sz="4" w:space="0" w:color="auto"/>
              <w:left w:val="single" w:sz="4" w:space="0" w:color="auto"/>
              <w:bottom w:val="single" w:sz="4" w:space="0" w:color="auto"/>
              <w:right w:val="single" w:sz="4" w:space="0" w:color="auto"/>
            </w:tcBorders>
          </w:tcPr>
          <w:p w:rsidR="00B36B8E" w:rsidRPr="005C75DF" w:rsidRDefault="00B36B8E" w:rsidP="005C75DF">
            <w:pPr>
              <w:spacing w:after="0" w:line="240" w:lineRule="auto"/>
              <w:rPr>
                <w:rFonts w:ascii="Times New Roman" w:hAnsi="Times New Roman" w:cs="Times New Roman"/>
                <w:b/>
                <w:lang w:val="en-US"/>
              </w:rPr>
            </w:pPr>
            <w:r w:rsidRPr="005C75DF">
              <w:rPr>
                <w:rFonts w:ascii="Times New Roman" w:hAnsi="Times New Roman" w:cs="Times New Roman"/>
                <w:b/>
                <w:lang w:val="en-US"/>
              </w:rPr>
              <w:t>300.000</w:t>
            </w:r>
          </w:p>
        </w:tc>
        <w:tc>
          <w:tcPr>
            <w:tcW w:w="333" w:type="pct"/>
            <w:tcBorders>
              <w:top w:val="single" w:sz="4" w:space="0" w:color="auto"/>
              <w:left w:val="single" w:sz="4" w:space="0" w:color="auto"/>
              <w:bottom w:val="single" w:sz="4" w:space="0" w:color="auto"/>
              <w:right w:val="single" w:sz="4" w:space="0" w:color="auto"/>
            </w:tcBorders>
          </w:tcPr>
          <w:p w:rsidR="00B36B8E" w:rsidRPr="005C75DF" w:rsidRDefault="00B36B8E" w:rsidP="005C75DF">
            <w:pPr>
              <w:spacing w:after="0" w:line="240" w:lineRule="auto"/>
              <w:rPr>
                <w:rFonts w:ascii="Times New Roman" w:hAnsi="Times New Roman" w:cs="Times New Roman"/>
                <w:i/>
                <w:lang w:val="en-US"/>
              </w:rPr>
            </w:pPr>
          </w:p>
        </w:tc>
        <w:tc>
          <w:tcPr>
            <w:tcW w:w="462" w:type="pct"/>
            <w:tcBorders>
              <w:top w:val="single" w:sz="4" w:space="0" w:color="auto"/>
              <w:left w:val="single" w:sz="4" w:space="0" w:color="auto"/>
              <w:bottom w:val="single" w:sz="4" w:space="0" w:color="auto"/>
              <w:right w:val="single" w:sz="4" w:space="0" w:color="auto"/>
            </w:tcBorders>
          </w:tcPr>
          <w:p w:rsidR="00B36B8E" w:rsidRPr="005C75DF" w:rsidRDefault="00B36B8E" w:rsidP="005C75DF">
            <w:pPr>
              <w:spacing w:after="0" w:line="240" w:lineRule="auto"/>
              <w:rPr>
                <w:rFonts w:ascii="Times New Roman" w:hAnsi="Times New Roman" w:cs="Times New Roman"/>
                <w:i/>
                <w:lang w:val="en-US"/>
              </w:rPr>
            </w:pPr>
          </w:p>
        </w:tc>
      </w:tr>
      <w:tr w:rsidR="00B36B8E" w:rsidRPr="00E521D7" w:rsidTr="007B330B">
        <w:trPr>
          <w:trHeight w:val="286"/>
        </w:trPr>
        <w:tc>
          <w:tcPr>
            <w:tcW w:w="353" w:type="pct"/>
            <w:tcBorders>
              <w:top w:val="single" w:sz="4" w:space="0" w:color="auto"/>
              <w:left w:val="single" w:sz="4" w:space="0" w:color="auto"/>
              <w:bottom w:val="single" w:sz="4" w:space="0" w:color="auto"/>
              <w:right w:val="single" w:sz="4" w:space="0" w:color="auto"/>
            </w:tcBorders>
          </w:tcPr>
          <w:p w:rsidR="00B36B8E" w:rsidRPr="005C75DF" w:rsidRDefault="00B36B8E" w:rsidP="005C75DF">
            <w:pPr>
              <w:spacing w:after="0" w:line="240" w:lineRule="auto"/>
              <w:rPr>
                <w:rFonts w:ascii="Times New Roman" w:hAnsi="Times New Roman" w:cs="Times New Roman"/>
                <w:i/>
                <w:lang w:val="en-US"/>
              </w:rPr>
            </w:pPr>
          </w:p>
        </w:tc>
        <w:tc>
          <w:tcPr>
            <w:tcW w:w="577" w:type="pct"/>
            <w:tcBorders>
              <w:top w:val="single" w:sz="4" w:space="0" w:color="auto"/>
              <w:left w:val="single" w:sz="4" w:space="0" w:color="auto"/>
              <w:bottom w:val="single" w:sz="4" w:space="0" w:color="auto"/>
              <w:right w:val="single" w:sz="4" w:space="0" w:color="auto"/>
            </w:tcBorders>
          </w:tcPr>
          <w:p w:rsidR="00B36B8E" w:rsidRPr="005C75DF" w:rsidRDefault="00B36B8E" w:rsidP="005C75DF">
            <w:pPr>
              <w:spacing w:after="0" w:line="240" w:lineRule="auto"/>
              <w:rPr>
                <w:rFonts w:ascii="Times New Roman" w:hAnsi="Times New Roman" w:cs="Times New Roman"/>
                <w:i/>
                <w:lang w:val="en-US"/>
              </w:rPr>
            </w:pPr>
          </w:p>
        </w:tc>
        <w:tc>
          <w:tcPr>
            <w:tcW w:w="277" w:type="pct"/>
            <w:tcBorders>
              <w:top w:val="single" w:sz="4" w:space="0" w:color="auto"/>
              <w:left w:val="single" w:sz="4" w:space="0" w:color="auto"/>
              <w:bottom w:val="single" w:sz="4" w:space="0" w:color="auto"/>
              <w:right w:val="single" w:sz="4" w:space="0" w:color="auto"/>
            </w:tcBorders>
          </w:tcPr>
          <w:p w:rsidR="00B36B8E" w:rsidRPr="005C75DF" w:rsidRDefault="00B36B8E" w:rsidP="005C75DF">
            <w:pPr>
              <w:spacing w:after="0" w:line="240" w:lineRule="auto"/>
              <w:rPr>
                <w:rFonts w:ascii="Times New Roman" w:hAnsi="Times New Roman" w:cs="Times New Roman"/>
                <w:i/>
                <w:lang w:val="en-US"/>
              </w:rPr>
            </w:pPr>
          </w:p>
        </w:tc>
        <w:tc>
          <w:tcPr>
            <w:tcW w:w="446" w:type="pct"/>
            <w:tcBorders>
              <w:top w:val="single" w:sz="4" w:space="0" w:color="auto"/>
              <w:left w:val="single" w:sz="4" w:space="0" w:color="auto"/>
              <w:bottom w:val="single" w:sz="4" w:space="0" w:color="auto"/>
              <w:right w:val="single" w:sz="4" w:space="0" w:color="auto"/>
            </w:tcBorders>
          </w:tcPr>
          <w:p w:rsidR="00B36B8E" w:rsidRPr="005C75DF" w:rsidRDefault="00B36B8E" w:rsidP="005C75DF">
            <w:pPr>
              <w:spacing w:after="0" w:line="240" w:lineRule="auto"/>
              <w:rPr>
                <w:rFonts w:ascii="Times New Roman" w:hAnsi="Times New Roman" w:cs="Times New Roman"/>
                <w:i/>
                <w:lang w:val="en-US"/>
              </w:rPr>
            </w:pPr>
          </w:p>
        </w:tc>
        <w:tc>
          <w:tcPr>
            <w:tcW w:w="238" w:type="pct"/>
            <w:tcBorders>
              <w:top w:val="single" w:sz="4" w:space="0" w:color="auto"/>
              <w:left w:val="single" w:sz="4" w:space="0" w:color="auto"/>
              <w:bottom w:val="single" w:sz="4" w:space="0" w:color="auto"/>
              <w:right w:val="single" w:sz="4" w:space="0" w:color="auto"/>
            </w:tcBorders>
          </w:tcPr>
          <w:p w:rsidR="00B36B8E" w:rsidRPr="005C75DF" w:rsidRDefault="00B36B8E" w:rsidP="005C75DF">
            <w:pPr>
              <w:spacing w:after="0" w:line="240" w:lineRule="auto"/>
              <w:rPr>
                <w:rFonts w:ascii="Times New Roman" w:hAnsi="Times New Roman" w:cs="Times New Roman"/>
                <w:i/>
                <w:lang w:val="en-US"/>
              </w:rPr>
            </w:pPr>
          </w:p>
        </w:tc>
        <w:tc>
          <w:tcPr>
            <w:tcW w:w="509" w:type="pct"/>
            <w:tcBorders>
              <w:top w:val="single" w:sz="4" w:space="0" w:color="auto"/>
              <w:left w:val="single" w:sz="4" w:space="0" w:color="auto"/>
              <w:bottom w:val="single" w:sz="4" w:space="0" w:color="auto"/>
              <w:right w:val="single" w:sz="4" w:space="0" w:color="auto"/>
            </w:tcBorders>
          </w:tcPr>
          <w:p w:rsidR="00B36B8E" w:rsidRPr="005C75DF" w:rsidRDefault="00B36B8E" w:rsidP="005C75DF">
            <w:pPr>
              <w:spacing w:after="0" w:line="240" w:lineRule="auto"/>
              <w:rPr>
                <w:rFonts w:ascii="Times New Roman" w:hAnsi="Times New Roman" w:cs="Times New Roman"/>
                <w:i/>
                <w:lang w:val="en-US"/>
              </w:rPr>
            </w:pPr>
            <w:r w:rsidRPr="005C75DF">
              <w:rPr>
                <w:rFonts w:ascii="Times New Roman" w:hAnsi="Times New Roman" w:cs="Times New Roman"/>
                <w:i/>
                <w:lang w:val="en-US"/>
              </w:rPr>
              <w:t>RCR 13 - Întreprinderi care ating un nivel ridicat de intensitate digitală</w:t>
            </w:r>
          </w:p>
        </w:tc>
        <w:tc>
          <w:tcPr>
            <w:tcW w:w="570" w:type="pct"/>
            <w:tcBorders>
              <w:top w:val="single" w:sz="4" w:space="0" w:color="auto"/>
              <w:left w:val="single" w:sz="4" w:space="0" w:color="auto"/>
              <w:bottom w:val="single" w:sz="4" w:space="0" w:color="auto"/>
              <w:right w:val="single" w:sz="4" w:space="0" w:color="auto"/>
            </w:tcBorders>
          </w:tcPr>
          <w:p w:rsidR="00B36B8E" w:rsidRPr="005C75DF" w:rsidRDefault="00B36B8E" w:rsidP="005C75DF">
            <w:pPr>
              <w:spacing w:after="0" w:line="240" w:lineRule="auto"/>
              <w:rPr>
                <w:rFonts w:ascii="Times New Roman" w:hAnsi="Times New Roman" w:cs="Times New Roman"/>
                <w:i/>
                <w:lang w:val="en-US"/>
              </w:rPr>
            </w:pPr>
            <w:r w:rsidRPr="005C75DF">
              <w:rPr>
                <w:rFonts w:ascii="Times New Roman" w:hAnsi="Times New Roman" w:cs="Times New Roman"/>
                <w:i/>
                <w:lang w:val="en-US"/>
              </w:rPr>
              <w:t>Număr întreprinderi</w:t>
            </w:r>
          </w:p>
        </w:tc>
        <w:tc>
          <w:tcPr>
            <w:tcW w:w="424" w:type="pct"/>
            <w:tcBorders>
              <w:top w:val="single" w:sz="4" w:space="0" w:color="auto"/>
              <w:left w:val="single" w:sz="4" w:space="0" w:color="auto"/>
              <w:bottom w:val="single" w:sz="4" w:space="0" w:color="auto"/>
              <w:right w:val="single" w:sz="4" w:space="0" w:color="auto"/>
            </w:tcBorders>
          </w:tcPr>
          <w:p w:rsidR="00B36B8E" w:rsidRPr="005C75DF" w:rsidRDefault="00B36B8E" w:rsidP="005C75DF">
            <w:pPr>
              <w:spacing w:after="0" w:line="240" w:lineRule="auto"/>
              <w:rPr>
                <w:rFonts w:ascii="Times New Roman" w:hAnsi="Times New Roman" w:cs="Times New Roman"/>
                <w:i/>
                <w:lang w:val="en-US"/>
              </w:rPr>
            </w:pPr>
          </w:p>
        </w:tc>
        <w:tc>
          <w:tcPr>
            <w:tcW w:w="440" w:type="pct"/>
            <w:tcBorders>
              <w:top w:val="single" w:sz="4" w:space="0" w:color="auto"/>
              <w:left w:val="single" w:sz="4" w:space="0" w:color="auto"/>
              <w:bottom w:val="single" w:sz="4" w:space="0" w:color="auto"/>
              <w:right w:val="single" w:sz="4" w:space="0" w:color="auto"/>
            </w:tcBorders>
          </w:tcPr>
          <w:p w:rsidR="00B36B8E" w:rsidRPr="005C75DF" w:rsidRDefault="00B36B8E" w:rsidP="005C75DF">
            <w:pPr>
              <w:spacing w:after="0" w:line="240" w:lineRule="auto"/>
              <w:rPr>
                <w:rFonts w:ascii="Times New Roman" w:hAnsi="Times New Roman" w:cs="Times New Roman"/>
                <w:b/>
                <w:lang w:val="en-US"/>
              </w:rPr>
            </w:pPr>
          </w:p>
        </w:tc>
        <w:tc>
          <w:tcPr>
            <w:tcW w:w="370" w:type="pct"/>
            <w:tcBorders>
              <w:top w:val="single" w:sz="4" w:space="0" w:color="auto"/>
              <w:left w:val="single" w:sz="4" w:space="0" w:color="auto"/>
              <w:bottom w:val="single" w:sz="4" w:space="0" w:color="auto"/>
              <w:right w:val="single" w:sz="4" w:space="0" w:color="auto"/>
            </w:tcBorders>
          </w:tcPr>
          <w:p w:rsidR="00B36B8E" w:rsidRPr="005C75DF" w:rsidRDefault="00B61E80" w:rsidP="005C75DF">
            <w:pPr>
              <w:spacing w:after="0" w:line="240" w:lineRule="auto"/>
              <w:rPr>
                <w:rFonts w:ascii="Times New Roman" w:hAnsi="Times New Roman" w:cs="Times New Roman"/>
                <w:b/>
                <w:lang w:val="en-US"/>
              </w:rPr>
            </w:pPr>
            <w:r w:rsidRPr="005C75DF">
              <w:rPr>
                <w:rFonts w:ascii="Times New Roman" w:hAnsi="Times New Roman" w:cs="Times New Roman"/>
                <w:b/>
                <w:lang w:val="en-US"/>
              </w:rPr>
              <w:t>2</w:t>
            </w:r>
          </w:p>
        </w:tc>
        <w:tc>
          <w:tcPr>
            <w:tcW w:w="333" w:type="pct"/>
            <w:tcBorders>
              <w:top w:val="single" w:sz="4" w:space="0" w:color="auto"/>
              <w:left w:val="single" w:sz="4" w:space="0" w:color="auto"/>
              <w:bottom w:val="single" w:sz="4" w:space="0" w:color="auto"/>
              <w:right w:val="single" w:sz="4" w:space="0" w:color="auto"/>
            </w:tcBorders>
          </w:tcPr>
          <w:p w:rsidR="00B36B8E" w:rsidRPr="005C75DF" w:rsidRDefault="00B36B8E" w:rsidP="005C75DF">
            <w:pPr>
              <w:spacing w:after="0" w:line="240" w:lineRule="auto"/>
              <w:rPr>
                <w:rFonts w:ascii="Times New Roman" w:hAnsi="Times New Roman" w:cs="Times New Roman"/>
                <w:i/>
                <w:lang w:val="en-US"/>
              </w:rPr>
            </w:pPr>
          </w:p>
        </w:tc>
        <w:tc>
          <w:tcPr>
            <w:tcW w:w="462" w:type="pct"/>
            <w:tcBorders>
              <w:top w:val="single" w:sz="4" w:space="0" w:color="auto"/>
              <w:left w:val="single" w:sz="4" w:space="0" w:color="auto"/>
              <w:bottom w:val="single" w:sz="4" w:space="0" w:color="auto"/>
              <w:right w:val="single" w:sz="4" w:space="0" w:color="auto"/>
            </w:tcBorders>
          </w:tcPr>
          <w:p w:rsidR="00B36B8E" w:rsidRPr="005C75DF" w:rsidRDefault="00B36B8E" w:rsidP="005C75DF">
            <w:pPr>
              <w:spacing w:after="0" w:line="240" w:lineRule="auto"/>
              <w:rPr>
                <w:rFonts w:ascii="Times New Roman" w:hAnsi="Times New Roman" w:cs="Times New Roman"/>
                <w:i/>
                <w:lang w:val="en-US"/>
              </w:rPr>
            </w:pPr>
          </w:p>
        </w:tc>
      </w:tr>
      <w:tr w:rsidR="00B36B8E" w:rsidRPr="00E521D7" w:rsidTr="007B330B">
        <w:trPr>
          <w:trHeight w:val="286"/>
        </w:trPr>
        <w:tc>
          <w:tcPr>
            <w:tcW w:w="353" w:type="pct"/>
            <w:tcBorders>
              <w:top w:val="single" w:sz="4" w:space="0" w:color="auto"/>
              <w:left w:val="single" w:sz="4" w:space="0" w:color="auto"/>
              <w:bottom w:val="single" w:sz="4" w:space="0" w:color="auto"/>
              <w:right w:val="single" w:sz="4" w:space="0" w:color="auto"/>
            </w:tcBorders>
          </w:tcPr>
          <w:p w:rsidR="00B36B8E" w:rsidRPr="005C75DF" w:rsidRDefault="00B36B8E" w:rsidP="005C75DF">
            <w:pPr>
              <w:spacing w:after="0" w:line="240" w:lineRule="auto"/>
              <w:rPr>
                <w:rFonts w:ascii="Times New Roman" w:hAnsi="Times New Roman" w:cs="Times New Roman"/>
                <w:i/>
                <w:lang w:val="en-US"/>
              </w:rPr>
            </w:pPr>
          </w:p>
        </w:tc>
        <w:tc>
          <w:tcPr>
            <w:tcW w:w="577" w:type="pct"/>
            <w:tcBorders>
              <w:top w:val="single" w:sz="4" w:space="0" w:color="auto"/>
              <w:left w:val="single" w:sz="4" w:space="0" w:color="auto"/>
              <w:bottom w:val="single" w:sz="4" w:space="0" w:color="auto"/>
              <w:right w:val="single" w:sz="4" w:space="0" w:color="auto"/>
            </w:tcBorders>
          </w:tcPr>
          <w:p w:rsidR="00B36B8E" w:rsidRPr="005C75DF" w:rsidRDefault="00B36B8E" w:rsidP="005C75DF">
            <w:pPr>
              <w:spacing w:after="0" w:line="240" w:lineRule="auto"/>
              <w:rPr>
                <w:rFonts w:ascii="Times New Roman" w:hAnsi="Times New Roman" w:cs="Times New Roman"/>
                <w:i/>
                <w:lang w:val="en-US"/>
              </w:rPr>
            </w:pPr>
            <w:r w:rsidRPr="005C75DF">
              <w:rPr>
                <w:rFonts w:ascii="Times New Roman" w:hAnsi="Times New Roman" w:cs="Times New Roman"/>
                <w:i/>
                <w:lang w:val="en-US"/>
              </w:rPr>
              <w:t xml:space="preserve">OS a (iv) - </w:t>
            </w:r>
            <w:r w:rsidRPr="005C75DF">
              <w:rPr>
                <w:rFonts w:ascii="Times New Roman" w:hAnsi="Times New Roman" w:cs="Times New Roman"/>
                <w:i/>
                <w:lang w:val="en-US"/>
              </w:rPr>
              <w:lastRenderedPageBreak/>
              <w:t>Dezvoltarea competențelor pentru specializare inteligentă, tranziție industrială și antreprenoriat</w:t>
            </w:r>
          </w:p>
        </w:tc>
        <w:tc>
          <w:tcPr>
            <w:tcW w:w="277" w:type="pct"/>
            <w:tcBorders>
              <w:top w:val="single" w:sz="4" w:space="0" w:color="auto"/>
              <w:left w:val="single" w:sz="4" w:space="0" w:color="auto"/>
              <w:bottom w:val="single" w:sz="4" w:space="0" w:color="auto"/>
              <w:right w:val="single" w:sz="4" w:space="0" w:color="auto"/>
            </w:tcBorders>
          </w:tcPr>
          <w:p w:rsidR="00B36B8E" w:rsidRPr="005C75DF" w:rsidRDefault="00B36B8E" w:rsidP="005C75DF">
            <w:pPr>
              <w:spacing w:after="0" w:line="240" w:lineRule="auto"/>
              <w:rPr>
                <w:rFonts w:ascii="Times New Roman" w:hAnsi="Times New Roman" w:cs="Times New Roman"/>
                <w:i/>
                <w:lang w:val="en-US"/>
              </w:rPr>
            </w:pPr>
          </w:p>
        </w:tc>
        <w:tc>
          <w:tcPr>
            <w:tcW w:w="446" w:type="pct"/>
            <w:tcBorders>
              <w:top w:val="single" w:sz="4" w:space="0" w:color="auto"/>
              <w:left w:val="single" w:sz="4" w:space="0" w:color="auto"/>
              <w:bottom w:val="single" w:sz="4" w:space="0" w:color="auto"/>
              <w:right w:val="single" w:sz="4" w:space="0" w:color="auto"/>
            </w:tcBorders>
          </w:tcPr>
          <w:p w:rsidR="00B36B8E" w:rsidRPr="005C75DF" w:rsidRDefault="00B36B8E" w:rsidP="005C75DF">
            <w:pPr>
              <w:spacing w:after="0" w:line="240" w:lineRule="auto"/>
              <w:rPr>
                <w:rFonts w:ascii="Times New Roman" w:hAnsi="Times New Roman" w:cs="Times New Roman"/>
                <w:i/>
                <w:lang w:val="en-US"/>
              </w:rPr>
            </w:pPr>
          </w:p>
        </w:tc>
        <w:tc>
          <w:tcPr>
            <w:tcW w:w="238" w:type="pct"/>
            <w:tcBorders>
              <w:top w:val="single" w:sz="4" w:space="0" w:color="auto"/>
              <w:left w:val="single" w:sz="4" w:space="0" w:color="auto"/>
              <w:bottom w:val="single" w:sz="4" w:space="0" w:color="auto"/>
              <w:right w:val="single" w:sz="4" w:space="0" w:color="auto"/>
            </w:tcBorders>
          </w:tcPr>
          <w:p w:rsidR="00B36B8E" w:rsidRPr="005C75DF" w:rsidRDefault="00B36B8E" w:rsidP="005C75DF">
            <w:pPr>
              <w:spacing w:after="0" w:line="240" w:lineRule="auto"/>
              <w:rPr>
                <w:rFonts w:ascii="Times New Roman" w:hAnsi="Times New Roman" w:cs="Times New Roman"/>
                <w:i/>
                <w:lang w:val="en-US"/>
              </w:rPr>
            </w:pPr>
          </w:p>
        </w:tc>
        <w:tc>
          <w:tcPr>
            <w:tcW w:w="509" w:type="pct"/>
            <w:tcBorders>
              <w:top w:val="single" w:sz="4" w:space="0" w:color="auto"/>
              <w:left w:val="single" w:sz="4" w:space="0" w:color="auto"/>
              <w:bottom w:val="single" w:sz="4" w:space="0" w:color="auto"/>
              <w:right w:val="single" w:sz="4" w:space="0" w:color="auto"/>
            </w:tcBorders>
          </w:tcPr>
          <w:p w:rsidR="00B36B8E" w:rsidRPr="005C75DF" w:rsidRDefault="00B36B8E" w:rsidP="005C75DF">
            <w:pPr>
              <w:spacing w:after="0" w:line="240" w:lineRule="auto"/>
              <w:rPr>
                <w:rFonts w:ascii="Times New Roman" w:hAnsi="Times New Roman" w:cs="Times New Roman"/>
                <w:i/>
                <w:lang w:val="en-US"/>
              </w:rPr>
            </w:pPr>
            <w:r w:rsidRPr="005C75DF">
              <w:rPr>
                <w:rFonts w:ascii="Times New Roman" w:hAnsi="Times New Roman" w:cs="Times New Roman"/>
                <w:i/>
                <w:lang w:val="en-US"/>
              </w:rPr>
              <w:t xml:space="preserve">RCR 98 - </w:t>
            </w:r>
            <w:r w:rsidRPr="005C75DF">
              <w:rPr>
                <w:rFonts w:ascii="Times New Roman" w:hAnsi="Times New Roman" w:cs="Times New Roman"/>
                <w:i/>
                <w:lang w:val="en-US"/>
              </w:rPr>
              <w:lastRenderedPageBreak/>
              <w:t>Angajați din IMM-uri care finalizează programe de educație și formare profesională continuă (CVET)</w:t>
            </w:r>
          </w:p>
        </w:tc>
        <w:tc>
          <w:tcPr>
            <w:tcW w:w="570" w:type="pct"/>
            <w:tcBorders>
              <w:top w:val="single" w:sz="4" w:space="0" w:color="auto"/>
              <w:left w:val="single" w:sz="4" w:space="0" w:color="auto"/>
              <w:bottom w:val="single" w:sz="4" w:space="0" w:color="auto"/>
              <w:right w:val="single" w:sz="4" w:space="0" w:color="auto"/>
            </w:tcBorders>
          </w:tcPr>
          <w:p w:rsidR="00B36B8E" w:rsidRPr="005C75DF" w:rsidRDefault="00B36B8E" w:rsidP="005C75DF">
            <w:pPr>
              <w:spacing w:after="0" w:line="240" w:lineRule="auto"/>
              <w:rPr>
                <w:rFonts w:ascii="Times New Roman" w:hAnsi="Times New Roman" w:cs="Times New Roman"/>
                <w:i/>
                <w:lang w:val="en-US"/>
              </w:rPr>
            </w:pPr>
            <w:r w:rsidRPr="005C75DF">
              <w:rPr>
                <w:rFonts w:ascii="Times New Roman" w:hAnsi="Times New Roman" w:cs="Times New Roman"/>
                <w:i/>
                <w:lang w:val="en-US"/>
              </w:rPr>
              <w:lastRenderedPageBreak/>
              <w:t>Număr persoane</w:t>
            </w:r>
          </w:p>
        </w:tc>
        <w:tc>
          <w:tcPr>
            <w:tcW w:w="424" w:type="pct"/>
            <w:tcBorders>
              <w:top w:val="single" w:sz="4" w:space="0" w:color="auto"/>
              <w:left w:val="single" w:sz="4" w:space="0" w:color="auto"/>
              <w:bottom w:val="single" w:sz="4" w:space="0" w:color="auto"/>
              <w:right w:val="single" w:sz="4" w:space="0" w:color="auto"/>
            </w:tcBorders>
          </w:tcPr>
          <w:p w:rsidR="00B36B8E" w:rsidRPr="005C75DF" w:rsidRDefault="00B36B8E" w:rsidP="005C75DF">
            <w:pPr>
              <w:spacing w:after="0" w:line="240" w:lineRule="auto"/>
              <w:rPr>
                <w:rFonts w:ascii="Times New Roman" w:hAnsi="Times New Roman" w:cs="Times New Roman"/>
                <w:i/>
                <w:lang w:val="en-US"/>
              </w:rPr>
            </w:pPr>
            <w:r w:rsidRPr="005C75DF">
              <w:rPr>
                <w:rFonts w:ascii="Times New Roman" w:hAnsi="Times New Roman" w:cs="Times New Roman"/>
                <w:i/>
                <w:lang w:val="en-US"/>
              </w:rPr>
              <w:t>0</w:t>
            </w:r>
          </w:p>
        </w:tc>
        <w:tc>
          <w:tcPr>
            <w:tcW w:w="440" w:type="pct"/>
            <w:tcBorders>
              <w:top w:val="single" w:sz="4" w:space="0" w:color="auto"/>
              <w:left w:val="single" w:sz="4" w:space="0" w:color="auto"/>
              <w:bottom w:val="single" w:sz="4" w:space="0" w:color="auto"/>
              <w:right w:val="single" w:sz="4" w:space="0" w:color="auto"/>
            </w:tcBorders>
          </w:tcPr>
          <w:p w:rsidR="00B36B8E" w:rsidRPr="005C75DF" w:rsidRDefault="00B36B8E" w:rsidP="005C75DF">
            <w:pPr>
              <w:spacing w:after="0" w:line="240" w:lineRule="auto"/>
              <w:rPr>
                <w:rFonts w:ascii="Times New Roman" w:hAnsi="Times New Roman" w:cs="Times New Roman"/>
                <w:b/>
                <w:lang w:val="en-US"/>
              </w:rPr>
            </w:pPr>
          </w:p>
        </w:tc>
        <w:tc>
          <w:tcPr>
            <w:tcW w:w="370" w:type="pct"/>
            <w:tcBorders>
              <w:top w:val="single" w:sz="4" w:space="0" w:color="auto"/>
              <w:left w:val="single" w:sz="4" w:space="0" w:color="auto"/>
              <w:bottom w:val="single" w:sz="4" w:space="0" w:color="auto"/>
              <w:right w:val="single" w:sz="4" w:space="0" w:color="auto"/>
            </w:tcBorders>
          </w:tcPr>
          <w:p w:rsidR="00B36B8E" w:rsidRPr="005C75DF" w:rsidRDefault="00B61E80" w:rsidP="005C75DF">
            <w:pPr>
              <w:spacing w:after="0" w:line="240" w:lineRule="auto"/>
              <w:rPr>
                <w:rFonts w:ascii="Times New Roman" w:hAnsi="Times New Roman" w:cs="Times New Roman"/>
                <w:b/>
                <w:lang w:val="en-US"/>
              </w:rPr>
            </w:pPr>
            <w:r w:rsidRPr="005C75DF">
              <w:rPr>
                <w:rFonts w:ascii="Times New Roman" w:hAnsi="Times New Roman" w:cs="Times New Roman"/>
                <w:b/>
                <w:lang w:val="en-US"/>
              </w:rPr>
              <w:t>68</w:t>
            </w:r>
          </w:p>
        </w:tc>
        <w:tc>
          <w:tcPr>
            <w:tcW w:w="333" w:type="pct"/>
            <w:tcBorders>
              <w:top w:val="single" w:sz="4" w:space="0" w:color="auto"/>
              <w:left w:val="single" w:sz="4" w:space="0" w:color="auto"/>
              <w:bottom w:val="single" w:sz="4" w:space="0" w:color="auto"/>
              <w:right w:val="single" w:sz="4" w:space="0" w:color="auto"/>
            </w:tcBorders>
          </w:tcPr>
          <w:p w:rsidR="00B36B8E" w:rsidRPr="005C75DF" w:rsidRDefault="00B36B8E" w:rsidP="005C75DF">
            <w:pPr>
              <w:spacing w:after="0" w:line="240" w:lineRule="auto"/>
              <w:rPr>
                <w:rFonts w:ascii="Times New Roman" w:hAnsi="Times New Roman" w:cs="Times New Roman"/>
                <w:i/>
                <w:lang w:val="en-US"/>
              </w:rPr>
            </w:pPr>
          </w:p>
        </w:tc>
        <w:tc>
          <w:tcPr>
            <w:tcW w:w="462" w:type="pct"/>
            <w:tcBorders>
              <w:top w:val="single" w:sz="4" w:space="0" w:color="auto"/>
              <w:left w:val="single" w:sz="4" w:space="0" w:color="auto"/>
              <w:bottom w:val="single" w:sz="4" w:space="0" w:color="auto"/>
              <w:right w:val="single" w:sz="4" w:space="0" w:color="auto"/>
            </w:tcBorders>
          </w:tcPr>
          <w:p w:rsidR="00B36B8E" w:rsidRPr="005C75DF" w:rsidRDefault="00B36B8E" w:rsidP="005C75DF">
            <w:pPr>
              <w:spacing w:after="0" w:line="240" w:lineRule="auto"/>
              <w:rPr>
                <w:rFonts w:ascii="Times New Roman" w:hAnsi="Times New Roman" w:cs="Times New Roman"/>
                <w:i/>
                <w:lang w:val="en-US"/>
              </w:rPr>
            </w:pPr>
          </w:p>
        </w:tc>
      </w:tr>
    </w:tbl>
    <w:p w:rsidR="00E91EF6" w:rsidRDefault="00E91EF6" w:rsidP="00E91EF6">
      <w:pPr>
        <w:rPr>
          <w:i/>
          <w:lang w:val="en-GB"/>
        </w:rPr>
      </w:pPr>
      <w:r w:rsidRPr="00F000AD">
        <w:rPr>
          <w:i/>
          <w:lang w:val="en-GB"/>
        </w:rPr>
        <w:lastRenderedPageBreak/>
        <w:t>[Point 2.1.1.3 in the Commission proposal has been moved up following changes in Article 17(3)(c) CPR and it is now point 2.1.1.bis]</w:t>
      </w:r>
    </w:p>
    <w:p w:rsidR="006169A6" w:rsidRPr="006B6325" w:rsidRDefault="00FE5BF8" w:rsidP="00662466">
      <w:pPr>
        <w:jc w:val="both"/>
        <w:rPr>
          <w:rFonts w:ascii="Times New Roman" w:hAnsi="Times New Roman" w:cs="Times New Roman"/>
          <w:b/>
          <w:i/>
          <w:sz w:val="24"/>
          <w:szCs w:val="24"/>
          <w:lang w:val="en-GB"/>
        </w:rPr>
      </w:pPr>
      <w:r w:rsidRPr="006F04E2">
        <w:rPr>
          <w:rFonts w:ascii="Times New Roman" w:hAnsi="Times New Roman" w:cs="Times New Roman"/>
          <w:b/>
          <w:sz w:val="28"/>
          <w:szCs w:val="28"/>
          <w:lang w:val="en-GB"/>
        </w:rPr>
        <w:t xml:space="preserve">Prioritatea </w:t>
      </w:r>
      <w:r>
        <w:rPr>
          <w:rFonts w:ascii="Times New Roman" w:hAnsi="Times New Roman" w:cs="Times New Roman"/>
          <w:b/>
          <w:sz w:val="28"/>
          <w:szCs w:val="28"/>
          <w:lang w:val="en-GB"/>
        </w:rPr>
        <w:t>3</w:t>
      </w:r>
      <w:r w:rsidRPr="006F04E2">
        <w:rPr>
          <w:rFonts w:ascii="Times New Roman" w:hAnsi="Times New Roman" w:cs="Times New Roman"/>
          <w:b/>
          <w:sz w:val="28"/>
          <w:szCs w:val="28"/>
          <w:lang w:val="en-GB"/>
        </w:rPr>
        <w:t xml:space="preserve"> - </w:t>
      </w:r>
      <w:r w:rsidR="009A15A3" w:rsidRPr="00E95FAC">
        <w:rPr>
          <w:rFonts w:ascii="Times New Roman" w:hAnsi="Times New Roman" w:cs="Times New Roman"/>
          <w:b/>
          <w:noProof/>
          <w:sz w:val="28"/>
          <w:szCs w:val="28"/>
        </w:rPr>
        <w:t>O regiune cu comunități prietenoase cu mediul</w:t>
      </w:r>
    </w:p>
    <w:p w:rsidR="006169A6" w:rsidRPr="006B6325" w:rsidRDefault="006169A6" w:rsidP="006169A6">
      <w:pPr>
        <w:spacing w:line="240" w:lineRule="auto"/>
        <w:rPr>
          <w:rFonts w:ascii="Times New Roman" w:hAnsi="Times New Roman" w:cs="Times New Roman"/>
          <w:b/>
          <w:iCs/>
          <w:sz w:val="24"/>
          <w:szCs w:val="24"/>
          <w:lang w:val="en-GB"/>
        </w:rPr>
      </w:pPr>
      <w:r w:rsidRPr="006B6325">
        <w:rPr>
          <w:rFonts w:ascii="Times New Roman" w:hAnsi="Times New Roman" w:cs="Times New Roman"/>
          <w:b/>
          <w:iCs/>
          <w:sz w:val="24"/>
          <w:szCs w:val="24"/>
          <w:lang w:val="en-GB"/>
        </w:rPr>
        <w:t xml:space="preserve">2.A.2 Indicative breakdown of the programmed resources (EU) by type of intervention </w:t>
      </w:r>
      <w:r w:rsidRPr="006B6325">
        <w:rPr>
          <w:rFonts w:ascii="Times New Roman" w:hAnsi="Times New Roman" w:cs="Times New Roman"/>
          <w:iCs/>
          <w:sz w:val="24"/>
          <w:szCs w:val="24"/>
          <w:lang w:val="en-GB"/>
        </w:rPr>
        <w:t xml:space="preserve">(not applicable to the EMFF) </w:t>
      </w:r>
      <w:r w:rsidRPr="006B6325">
        <w:rPr>
          <w:rFonts w:ascii="Times New Roman" w:hAnsi="Times New Roman" w:cs="Times New Roman"/>
          <w:i/>
          <w:sz w:val="24"/>
          <w:szCs w:val="24"/>
          <w:lang w:val="en-GB"/>
        </w:rPr>
        <w:t>[This was point 2.1.1.3 in the Commission proposal and has been moved up following changes in Article 17(3)(c) CPR]</w:t>
      </w:r>
    </w:p>
    <w:p w:rsidR="006169A6" w:rsidRDefault="006169A6" w:rsidP="006169A6">
      <w:pPr>
        <w:spacing w:line="240" w:lineRule="auto"/>
        <w:jc w:val="both"/>
        <w:rPr>
          <w:rFonts w:ascii="Times New Roman" w:eastAsia="Times New Roman" w:hAnsi="Times New Roman" w:cs="Times New Roman"/>
          <w:bCs/>
          <w:i/>
          <w:iCs/>
          <w:noProof/>
          <w:color w:val="1F497D" w:themeColor="text2"/>
          <w:sz w:val="20"/>
          <w:szCs w:val="24"/>
          <w:lang w:val="en-US"/>
        </w:rPr>
      </w:pPr>
      <w:r w:rsidRPr="0040005B">
        <w:rPr>
          <w:rFonts w:ascii="Times New Roman" w:hAnsi="Times New Roman" w:cs="Times New Roman"/>
          <w:i/>
          <w:sz w:val="24"/>
          <w:szCs w:val="24"/>
          <w:lang w:val="en-GB"/>
        </w:rPr>
        <w:t>Reference: Article 17(3)(c) CPR</w:t>
      </w:r>
      <w:r w:rsidRPr="006B6325">
        <w:rPr>
          <w:rFonts w:ascii="Times New Roman" w:hAnsi="Times New Roman" w:cs="Times New Roman"/>
          <w:i/>
          <w:sz w:val="24"/>
          <w:szCs w:val="24"/>
          <w:lang w:val="en-GB"/>
        </w:rPr>
        <w:t xml:space="preserve"> - </w:t>
      </w:r>
      <w:r w:rsidRPr="006B6325">
        <w:rPr>
          <w:rFonts w:ascii="Times New Roman" w:eastAsia="Times New Roman" w:hAnsi="Times New Roman" w:cs="Times New Roman"/>
          <w:b/>
          <w:bCs/>
          <w:i/>
          <w:iCs/>
          <w:noProof/>
          <w:color w:val="1F497D" w:themeColor="text2"/>
          <w:sz w:val="20"/>
          <w:szCs w:val="24"/>
          <w:lang w:val="en-US"/>
        </w:rPr>
        <w:t xml:space="preserve">Articolul 17 (3)(c) </w:t>
      </w:r>
      <w:r w:rsidRPr="006B6325">
        <w:rPr>
          <w:rFonts w:ascii="Times New Roman" w:eastAsia="Times New Roman" w:hAnsi="Times New Roman" w:cs="Times New Roman"/>
          <w:bCs/>
          <w:i/>
          <w:iCs/>
          <w:noProof/>
          <w:color w:val="1F497D" w:themeColor="text2"/>
          <w:sz w:val="20"/>
          <w:szCs w:val="24"/>
          <w:lang w:val="en-US"/>
        </w:rPr>
        <w:t>Fiecare program stabilește pentru fiecare prioritate, cu excepția asistenței tehnice, obiectivele specifice</w:t>
      </w:r>
    </w:p>
    <w:tbl>
      <w:tblPr>
        <w:tblW w:w="9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8"/>
        <w:gridCol w:w="844"/>
        <w:gridCol w:w="2516"/>
        <w:gridCol w:w="2700"/>
        <w:gridCol w:w="2264"/>
      </w:tblGrid>
      <w:tr w:rsidR="00F42F0B" w:rsidRPr="0000318B" w:rsidTr="00F42F0B">
        <w:trPr>
          <w:trHeight w:val="256"/>
        </w:trPr>
        <w:tc>
          <w:tcPr>
            <w:tcW w:w="0" w:type="auto"/>
            <w:gridSpan w:val="5"/>
            <w:tcBorders>
              <w:top w:val="single" w:sz="4" w:space="0" w:color="auto"/>
              <w:left w:val="single" w:sz="4" w:space="0" w:color="auto"/>
              <w:bottom w:val="single" w:sz="4" w:space="0" w:color="auto"/>
              <w:right w:val="single" w:sz="4" w:space="0" w:color="auto"/>
            </w:tcBorders>
            <w:hideMark/>
          </w:tcPr>
          <w:p w:rsidR="00F42F0B" w:rsidRPr="0000318B" w:rsidRDefault="00F42F0B" w:rsidP="0067003D">
            <w:pPr>
              <w:spacing w:after="0" w:line="240" w:lineRule="auto"/>
              <w:rPr>
                <w:rFonts w:ascii="Times New Roman" w:hAnsi="Times New Roman" w:cs="Times New Roman"/>
                <w:b/>
                <w:iCs/>
                <w:sz w:val="20"/>
                <w:szCs w:val="20"/>
                <w:lang w:val="en-US"/>
              </w:rPr>
            </w:pPr>
            <w:r w:rsidRPr="0000318B">
              <w:rPr>
                <w:rFonts w:ascii="Times New Roman" w:hAnsi="Times New Roman" w:cs="Times New Roman"/>
                <w:b/>
                <w:iCs/>
                <w:sz w:val="20"/>
                <w:szCs w:val="20"/>
                <w:lang w:val="en-US"/>
              </w:rPr>
              <w:t>Table 4: Dimension 1 – intervention field</w:t>
            </w:r>
          </w:p>
        </w:tc>
      </w:tr>
      <w:tr w:rsidR="00F42F0B" w:rsidRPr="0000318B" w:rsidTr="0067003D">
        <w:trPr>
          <w:trHeight w:val="269"/>
        </w:trPr>
        <w:tc>
          <w:tcPr>
            <w:tcW w:w="0" w:type="auto"/>
            <w:tcBorders>
              <w:top w:val="single" w:sz="4" w:space="0" w:color="auto"/>
              <w:left w:val="single" w:sz="4" w:space="0" w:color="auto"/>
              <w:bottom w:val="single" w:sz="4" w:space="0" w:color="auto"/>
              <w:right w:val="single" w:sz="4" w:space="0" w:color="auto"/>
            </w:tcBorders>
            <w:hideMark/>
          </w:tcPr>
          <w:p w:rsidR="00F42F0B" w:rsidRPr="007B330B" w:rsidRDefault="00F42F0B" w:rsidP="0067003D">
            <w:pPr>
              <w:spacing w:after="0" w:line="240" w:lineRule="auto"/>
              <w:rPr>
                <w:rFonts w:cstheme="minorHAnsi"/>
                <w:iCs/>
                <w:sz w:val="20"/>
                <w:szCs w:val="20"/>
                <w:lang w:val="en-US"/>
              </w:rPr>
            </w:pPr>
            <w:r w:rsidRPr="007B330B">
              <w:rPr>
                <w:rFonts w:cstheme="minorHAnsi"/>
                <w:iCs/>
                <w:sz w:val="20"/>
                <w:szCs w:val="20"/>
                <w:lang w:val="en-US"/>
              </w:rPr>
              <w:t>Priority No</w:t>
            </w:r>
          </w:p>
        </w:tc>
        <w:tc>
          <w:tcPr>
            <w:tcW w:w="0" w:type="auto"/>
            <w:tcBorders>
              <w:top w:val="single" w:sz="4" w:space="0" w:color="auto"/>
              <w:left w:val="single" w:sz="4" w:space="0" w:color="auto"/>
              <w:bottom w:val="single" w:sz="4" w:space="0" w:color="auto"/>
              <w:right w:val="single" w:sz="4" w:space="0" w:color="auto"/>
            </w:tcBorders>
            <w:hideMark/>
          </w:tcPr>
          <w:p w:rsidR="00F42F0B" w:rsidRPr="007B330B" w:rsidRDefault="00F42F0B" w:rsidP="0067003D">
            <w:pPr>
              <w:spacing w:after="0" w:line="240" w:lineRule="auto"/>
              <w:rPr>
                <w:rFonts w:cstheme="minorHAnsi"/>
                <w:iCs/>
                <w:sz w:val="20"/>
                <w:szCs w:val="20"/>
                <w:lang w:val="en-US"/>
              </w:rPr>
            </w:pPr>
            <w:r w:rsidRPr="007B330B">
              <w:rPr>
                <w:rFonts w:cstheme="minorHAnsi"/>
                <w:iCs/>
                <w:sz w:val="20"/>
                <w:szCs w:val="20"/>
                <w:lang w:val="en-US"/>
              </w:rPr>
              <w:t>Fund</w:t>
            </w:r>
          </w:p>
        </w:tc>
        <w:tc>
          <w:tcPr>
            <w:tcW w:w="0" w:type="auto"/>
            <w:tcBorders>
              <w:top w:val="single" w:sz="4" w:space="0" w:color="auto"/>
              <w:left w:val="single" w:sz="4" w:space="0" w:color="auto"/>
              <w:bottom w:val="single" w:sz="4" w:space="0" w:color="auto"/>
              <w:right w:val="single" w:sz="4" w:space="0" w:color="auto"/>
            </w:tcBorders>
            <w:hideMark/>
          </w:tcPr>
          <w:p w:rsidR="00F42F0B" w:rsidRPr="007B330B" w:rsidRDefault="00F42F0B" w:rsidP="0067003D">
            <w:pPr>
              <w:spacing w:after="0" w:line="240" w:lineRule="auto"/>
              <w:rPr>
                <w:rFonts w:cstheme="minorHAnsi"/>
                <w:iCs/>
                <w:sz w:val="20"/>
                <w:szCs w:val="20"/>
                <w:lang w:val="en-US"/>
              </w:rPr>
            </w:pPr>
            <w:r w:rsidRPr="007B330B">
              <w:rPr>
                <w:rFonts w:cstheme="minorHAnsi"/>
                <w:iCs/>
                <w:sz w:val="20"/>
                <w:szCs w:val="20"/>
                <w:lang w:val="en-US"/>
              </w:rPr>
              <w:t>Category of region</w:t>
            </w:r>
            <w:r w:rsidRPr="007B330B">
              <w:rPr>
                <w:rFonts w:cstheme="minorHAnsi"/>
                <w:iCs/>
                <w:sz w:val="20"/>
                <w:szCs w:val="20"/>
                <w:vertAlign w:val="superscript"/>
                <w:lang w:val="en-US"/>
              </w:rPr>
              <w:footnoteReference w:id="36"/>
            </w:r>
          </w:p>
        </w:tc>
        <w:tc>
          <w:tcPr>
            <w:tcW w:w="2700" w:type="dxa"/>
            <w:tcBorders>
              <w:top w:val="single" w:sz="4" w:space="0" w:color="auto"/>
              <w:left w:val="single" w:sz="4" w:space="0" w:color="auto"/>
              <w:bottom w:val="single" w:sz="4" w:space="0" w:color="auto"/>
              <w:right w:val="single" w:sz="4" w:space="0" w:color="auto"/>
            </w:tcBorders>
            <w:hideMark/>
          </w:tcPr>
          <w:p w:rsidR="00F42F0B" w:rsidRPr="007B330B" w:rsidRDefault="00F42F0B" w:rsidP="0067003D">
            <w:pPr>
              <w:spacing w:after="0" w:line="240" w:lineRule="auto"/>
              <w:rPr>
                <w:rFonts w:cstheme="minorHAnsi"/>
                <w:iCs/>
                <w:sz w:val="20"/>
                <w:szCs w:val="20"/>
                <w:lang w:val="en-US"/>
              </w:rPr>
            </w:pPr>
            <w:r w:rsidRPr="007B330B">
              <w:rPr>
                <w:rFonts w:cstheme="minorHAnsi"/>
                <w:iCs/>
                <w:sz w:val="20"/>
                <w:szCs w:val="20"/>
                <w:lang w:val="en-US"/>
              </w:rPr>
              <w:t xml:space="preserve">Code </w:t>
            </w:r>
          </w:p>
        </w:tc>
        <w:tc>
          <w:tcPr>
            <w:tcW w:w="2264" w:type="dxa"/>
            <w:tcBorders>
              <w:top w:val="single" w:sz="4" w:space="0" w:color="auto"/>
              <w:left w:val="single" w:sz="4" w:space="0" w:color="auto"/>
              <w:bottom w:val="single" w:sz="4" w:space="0" w:color="auto"/>
              <w:right w:val="single" w:sz="4" w:space="0" w:color="auto"/>
            </w:tcBorders>
            <w:hideMark/>
          </w:tcPr>
          <w:p w:rsidR="00F42F0B" w:rsidRPr="007B330B" w:rsidRDefault="00F42F0B" w:rsidP="0067003D">
            <w:pPr>
              <w:spacing w:after="0" w:line="240" w:lineRule="auto"/>
              <w:rPr>
                <w:rFonts w:cstheme="minorHAnsi"/>
                <w:iCs/>
                <w:sz w:val="20"/>
                <w:szCs w:val="20"/>
                <w:lang w:val="en-US"/>
              </w:rPr>
            </w:pPr>
            <w:r w:rsidRPr="007B330B">
              <w:rPr>
                <w:rFonts w:cstheme="minorHAnsi"/>
                <w:iCs/>
                <w:sz w:val="20"/>
                <w:szCs w:val="20"/>
                <w:lang w:val="en-US"/>
              </w:rPr>
              <w:t>Amount (inEUR)</w:t>
            </w:r>
          </w:p>
        </w:tc>
      </w:tr>
      <w:tr w:rsidR="003D5116" w:rsidRPr="00D75BF8" w:rsidTr="007375AE">
        <w:trPr>
          <w:trHeight w:val="289"/>
        </w:trPr>
        <w:tc>
          <w:tcPr>
            <w:tcW w:w="0" w:type="auto"/>
            <w:vMerge w:val="restart"/>
            <w:tcBorders>
              <w:top w:val="single" w:sz="4" w:space="0" w:color="auto"/>
              <w:left w:val="single" w:sz="4" w:space="0" w:color="auto"/>
              <w:right w:val="single" w:sz="4" w:space="0" w:color="auto"/>
            </w:tcBorders>
          </w:tcPr>
          <w:p w:rsidR="003D5116" w:rsidRPr="007B330B" w:rsidRDefault="003D5116" w:rsidP="009A15A3">
            <w:pPr>
              <w:spacing w:after="0" w:line="240" w:lineRule="auto"/>
              <w:rPr>
                <w:rFonts w:cstheme="minorHAnsi"/>
                <w:iCs/>
                <w:sz w:val="20"/>
                <w:szCs w:val="20"/>
                <w:lang w:val="en-US"/>
              </w:rPr>
            </w:pPr>
            <w:r w:rsidRPr="007B330B">
              <w:rPr>
                <w:rFonts w:cstheme="minorHAnsi"/>
                <w:iCs/>
                <w:sz w:val="20"/>
                <w:szCs w:val="20"/>
                <w:lang w:val="en-US"/>
              </w:rPr>
              <w:t>OS b (i)</w:t>
            </w:r>
          </w:p>
        </w:tc>
        <w:tc>
          <w:tcPr>
            <w:tcW w:w="0" w:type="auto"/>
            <w:vMerge w:val="restart"/>
            <w:tcBorders>
              <w:top w:val="single" w:sz="4" w:space="0" w:color="auto"/>
              <w:left w:val="single" w:sz="4" w:space="0" w:color="auto"/>
              <w:right w:val="single" w:sz="4" w:space="0" w:color="auto"/>
            </w:tcBorders>
          </w:tcPr>
          <w:p w:rsidR="003D5116" w:rsidRPr="007B330B" w:rsidRDefault="003D5116" w:rsidP="0067003D">
            <w:pPr>
              <w:spacing w:after="0" w:line="240" w:lineRule="auto"/>
              <w:rPr>
                <w:rFonts w:cstheme="minorHAnsi"/>
                <w:iCs/>
                <w:sz w:val="20"/>
                <w:szCs w:val="20"/>
                <w:lang w:val="en-US"/>
              </w:rPr>
            </w:pPr>
            <w:r w:rsidRPr="007B330B">
              <w:rPr>
                <w:rFonts w:cstheme="minorHAnsi"/>
                <w:iCs/>
                <w:sz w:val="20"/>
                <w:szCs w:val="20"/>
                <w:lang w:val="en-US"/>
              </w:rPr>
              <w:t>FEDR</w:t>
            </w:r>
          </w:p>
        </w:tc>
        <w:tc>
          <w:tcPr>
            <w:tcW w:w="0" w:type="auto"/>
            <w:vMerge w:val="restart"/>
            <w:tcBorders>
              <w:top w:val="single" w:sz="4" w:space="0" w:color="auto"/>
              <w:left w:val="single" w:sz="4" w:space="0" w:color="auto"/>
              <w:right w:val="single" w:sz="4" w:space="0" w:color="auto"/>
            </w:tcBorders>
          </w:tcPr>
          <w:p w:rsidR="003D5116" w:rsidRPr="007B330B" w:rsidRDefault="003D5116" w:rsidP="0067003D">
            <w:pPr>
              <w:spacing w:after="0" w:line="240" w:lineRule="auto"/>
              <w:rPr>
                <w:rFonts w:cstheme="minorHAnsi"/>
                <w:iCs/>
                <w:sz w:val="20"/>
                <w:szCs w:val="20"/>
                <w:lang w:val="en-US"/>
              </w:rPr>
            </w:pPr>
            <w:r w:rsidRPr="007B330B">
              <w:rPr>
                <w:rFonts w:cstheme="minorHAnsi"/>
                <w:iCs/>
                <w:sz w:val="20"/>
                <w:szCs w:val="20"/>
                <w:lang w:val="en-US"/>
              </w:rPr>
              <w:t>Mai puțin dezvoltate</w:t>
            </w:r>
          </w:p>
        </w:tc>
        <w:tc>
          <w:tcPr>
            <w:tcW w:w="2700" w:type="dxa"/>
            <w:tcBorders>
              <w:top w:val="single" w:sz="4" w:space="0" w:color="auto"/>
              <w:left w:val="single" w:sz="4" w:space="0" w:color="auto"/>
              <w:bottom w:val="single" w:sz="4" w:space="0" w:color="auto"/>
              <w:right w:val="single" w:sz="4" w:space="0" w:color="auto"/>
            </w:tcBorders>
          </w:tcPr>
          <w:p w:rsidR="003D5116" w:rsidRPr="007B330B" w:rsidRDefault="003D5116" w:rsidP="0067003D">
            <w:pPr>
              <w:spacing w:after="0" w:line="240" w:lineRule="auto"/>
              <w:rPr>
                <w:rFonts w:cstheme="minorHAnsi"/>
                <w:iCs/>
                <w:sz w:val="20"/>
                <w:szCs w:val="20"/>
                <w:lang w:val="en-US"/>
              </w:rPr>
            </w:pPr>
            <w:r w:rsidRPr="007B330B">
              <w:rPr>
                <w:rFonts w:cstheme="minorHAnsi"/>
                <w:iCs/>
                <w:sz w:val="20"/>
                <w:szCs w:val="20"/>
                <w:lang w:val="en-US"/>
              </w:rPr>
              <w:t>025</w:t>
            </w:r>
          </w:p>
        </w:tc>
        <w:tc>
          <w:tcPr>
            <w:tcW w:w="2264" w:type="dxa"/>
            <w:tcBorders>
              <w:top w:val="single" w:sz="4" w:space="0" w:color="auto"/>
              <w:left w:val="single" w:sz="4" w:space="0" w:color="auto"/>
              <w:bottom w:val="single" w:sz="4" w:space="0" w:color="auto"/>
              <w:right w:val="single" w:sz="4" w:space="0" w:color="auto"/>
            </w:tcBorders>
          </w:tcPr>
          <w:p w:rsidR="003D5116" w:rsidRPr="007B330B" w:rsidRDefault="003D5116" w:rsidP="0067003D">
            <w:pPr>
              <w:spacing w:after="0" w:line="240" w:lineRule="auto"/>
              <w:contextualSpacing/>
              <w:jc w:val="center"/>
              <w:rPr>
                <w:rFonts w:cstheme="minorHAnsi"/>
                <w:iCs/>
                <w:color w:val="C00000"/>
                <w:sz w:val="20"/>
                <w:szCs w:val="20"/>
                <w:lang w:val="en-US"/>
              </w:rPr>
            </w:pPr>
            <w:r w:rsidRPr="007B330B">
              <w:rPr>
                <w:rFonts w:cstheme="minorHAnsi"/>
                <w:sz w:val="20"/>
                <w:szCs w:val="20"/>
              </w:rPr>
              <w:t>25.000.000</w:t>
            </w:r>
          </w:p>
        </w:tc>
      </w:tr>
      <w:tr w:rsidR="003D5116" w:rsidRPr="00D75BF8" w:rsidTr="00C03C14">
        <w:trPr>
          <w:trHeight w:val="80"/>
        </w:trPr>
        <w:tc>
          <w:tcPr>
            <w:tcW w:w="0" w:type="auto"/>
            <w:vMerge/>
            <w:tcBorders>
              <w:left w:val="single" w:sz="4" w:space="0" w:color="auto"/>
              <w:bottom w:val="single" w:sz="4" w:space="0" w:color="auto"/>
              <w:right w:val="single" w:sz="4" w:space="0" w:color="auto"/>
            </w:tcBorders>
          </w:tcPr>
          <w:p w:rsidR="003D5116" w:rsidRPr="007B330B" w:rsidRDefault="003D5116" w:rsidP="0067003D">
            <w:pPr>
              <w:spacing w:after="0" w:line="240" w:lineRule="auto"/>
              <w:rPr>
                <w:rFonts w:cstheme="minorHAnsi"/>
                <w:iCs/>
                <w:sz w:val="20"/>
                <w:szCs w:val="20"/>
                <w:lang w:val="en-US"/>
              </w:rPr>
            </w:pPr>
          </w:p>
        </w:tc>
        <w:tc>
          <w:tcPr>
            <w:tcW w:w="0" w:type="auto"/>
            <w:vMerge/>
            <w:tcBorders>
              <w:left w:val="single" w:sz="4" w:space="0" w:color="auto"/>
              <w:bottom w:val="single" w:sz="4" w:space="0" w:color="auto"/>
              <w:right w:val="single" w:sz="4" w:space="0" w:color="auto"/>
            </w:tcBorders>
          </w:tcPr>
          <w:p w:rsidR="003D5116" w:rsidRPr="007B330B" w:rsidRDefault="003D5116" w:rsidP="0067003D">
            <w:pPr>
              <w:spacing w:after="0" w:line="240" w:lineRule="auto"/>
              <w:rPr>
                <w:rFonts w:cstheme="minorHAnsi"/>
                <w:iCs/>
                <w:sz w:val="20"/>
                <w:szCs w:val="20"/>
                <w:lang w:val="en-US"/>
              </w:rPr>
            </w:pPr>
          </w:p>
        </w:tc>
        <w:tc>
          <w:tcPr>
            <w:tcW w:w="0" w:type="auto"/>
            <w:vMerge/>
            <w:tcBorders>
              <w:left w:val="single" w:sz="4" w:space="0" w:color="auto"/>
              <w:bottom w:val="single" w:sz="4" w:space="0" w:color="auto"/>
              <w:right w:val="single" w:sz="4" w:space="0" w:color="auto"/>
            </w:tcBorders>
          </w:tcPr>
          <w:p w:rsidR="003D5116" w:rsidRPr="007B330B" w:rsidRDefault="003D5116" w:rsidP="0067003D">
            <w:pPr>
              <w:spacing w:after="0" w:line="240" w:lineRule="auto"/>
              <w:rPr>
                <w:rFonts w:cstheme="minorHAnsi"/>
                <w:iCs/>
                <w:sz w:val="20"/>
                <w:szCs w:val="20"/>
                <w:lang w:val="en-US"/>
              </w:rPr>
            </w:pPr>
          </w:p>
        </w:tc>
        <w:tc>
          <w:tcPr>
            <w:tcW w:w="2700" w:type="dxa"/>
            <w:tcBorders>
              <w:top w:val="single" w:sz="4" w:space="0" w:color="auto"/>
              <w:left w:val="single" w:sz="4" w:space="0" w:color="auto"/>
              <w:bottom w:val="single" w:sz="4" w:space="0" w:color="auto"/>
              <w:right w:val="single" w:sz="4" w:space="0" w:color="auto"/>
            </w:tcBorders>
          </w:tcPr>
          <w:p w:rsidR="003D5116" w:rsidRPr="007B330B" w:rsidRDefault="003D5116" w:rsidP="0067003D">
            <w:pPr>
              <w:spacing w:after="0" w:line="240" w:lineRule="auto"/>
              <w:rPr>
                <w:rFonts w:cstheme="minorHAnsi"/>
                <w:iCs/>
                <w:sz w:val="20"/>
                <w:szCs w:val="20"/>
                <w:lang w:val="en-US"/>
              </w:rPr>
            </w:pPr>
            <w:r w:rsidRPr="007B330B">
              <w:rPr>
                <w:rFonts w:cstheme="minorHAnsi"/>
                <w:iCs/>
                <w:sz w:val="20"/>
                <w:szCs w:val="20"/>
                <w:lang w:val="en-US"/>
              </w:rPr>
              <w:t>026</w:t>
            </w:r>
          </w:p>
        </w:tc>
        <w:tc>
          <w:tcPr>
            <w:tcW w:w="2264" w:type="dxa"/>
            <w:tcBorders>
              <w:top w:val="single" w:sz="4" w:space="0" w:color="auto"/>
              <w:left w:val="single" w:sz="4" w:space="0" w:color="auto"/>
              <w:bottom w:val="single" w:sz="4" w:space="0" w:color="auto"/>
              <w:right w:val="single" w:sz="4" w:space="0" w:color="auto"/>
            </w:tcBorders>
          </w:tcPr>
          <w:p w:rsidR="003D5116" w:rsidRPr="007B330B" w:rsidRDefault="00C810CA" w:rsidP="0067003D">
            <w:pPr>
              <w:spacing w:after="0" w:line="240" w:lineRule="auto"/>
              <w:jc w:val="center"/>
              <w:rPr>
                <w:rFonts w:eastAsia="Times New Roman" w:cstheme="minorHAnsi"/>
                <w:bCs/>
                <w:color w:val="C00000"/>
                <w:sz w:val="20"/>
                <w:szCs w:val="20"/>
                <w:lang w:eastAsia="ro-RO"/>
              </w:rPr>
            </w:pPr>
            <w:r>
              <w:rPr>
                <w:rFonts w:cstheme="minorHAnsi"/>
                <w:sz w:val="20"/>
                <w:szCs w:val="20"/>
              </w:rPr>
              <w:t>7</w:t>
            </w:r>
            <w:r w:rsidRPr="007B330B">
              <w:rPr>
                <w:rFonts w:cstheme="minorHAnsi"/>
                <w:sz w:val="20"/>
                <w:szCs w:val="20"/>
              </w:rPr>
              <w:t>6</w:t>
            </w:r>
            <w:r w:rsidR="003D5116" w:rsidRPr="007B330B">
              <w:rPr>
                <w:rFonts w:cstheme="minorHAnsi"/>
                <w:sz w:val="20"/>
                <w:szCs w:val="20"/>
              </w:rPr>
              <w:t xml:space="preserve">.617.000 </w:t>
            </w:r>
          </w:p>
        </w:tc>
      </w:tr>
      <w:tr w:rsidR="00E521D7" w:rsidRPr="00D75BF8" w:rsidTr="007375AE">
        <w:trPr>
          <w:trHeight w:val="70"/>
        </w:trPr>
        <w:tc>
          <w:tcPr>
            <w:tcW w:w="0" w:type="auto"/>
            <w:vMerge w:val="restart"/>
            <w:tcBorders>
              <w:top w:val="single" w:sz="4" w:space="0" w:color="auto"/>
              <w:left w:val="single" w:sz="4" w:space="0" w:color="auto"/>
              <w:right w:val="single" w:sz="4" w:space="0" w:color="auto"/>
            </w:tcBorders>
          </w:tcPr>
          <w:p w:rsidR="00E521D7" w:rsidRPr="007B330B" w:rsidRDefault="00E521D7" w:rsidP="00E521D7">
            <w:pPr>
              <w:spacing w:after="0" w:line="240" w:lineRule="auto"/>
              <w:rPr>
                <w:rFonts w:cstheme="minorHAnsi"/>
                <w:iCs/>
                <w:sz w:val="20"/>
                <w:szCs w:val="20"/>
                <w:lang w:val="en-US"/>
              </w:rPr>
            </w:pPr>
            <w:r w:rsidRPr="007B330B">
              <w:rPr>
                <w:rFonts w:cstheme="minorHAnsi"/>
                <w:iCs/>
                <w:sz w:val="20"/>
                <w:szCs w:val="20"/>
                <w:lang w:val="en-US"/>
              </w:rPr>
              <w:t>OS b (vii)</w:t>
            </w:r>
          </w:p>
        </w:tc>
        <w:tc>
          <w:tcPr>
            <w:tcW w:w="0" w:type="auto"/>
            <w:vMerge w:val="restart"/>
            <w:tcBorders>
              <w:top w:val="single" w:sz="4" w:space="0" w:color="auto"/>
              <w:left w:val="single" w:sz="4" w:space="0" w:color="auto"/>
              <w:right w:val="single" w:sz="4" w:space="0" w:color="auto"/>
            </w:tcBorders>
          </w:tcPr>
          <w:p w:rsidR="00E521D7" w:rsidRPr="007B330B" w:rsidRDefault="00E521D7" w:rsidP="00E521D7">
            <w:pPr>
              <w:spacing w:after="0" w:line="240" w:lineRule="auto"/>
              <w:rPr>
                <w:rFonts w:cstheme="minorHAnsi"/>
                <w:iCs/>
                <w:sz w:val="20"/>
                <w:szCs w:val="20"/>
                <w:lang w:val="en-US"/>
              </w:rPr>
            </w:pPr>
            <w:r w:rsidRPr="007B330B">
              <w:rPr>
                <w:rFonts w:cstheme="minorHAnsi"/>
                <w:iCs/>
                <w:sz w:val="20"/>
                <w:szCs w:val="20"/>
                <w:lang w:val="en-US"/>
              </w:rPr>
              <w:t>FEDR</w:t>
            </w:r>
          </w:p>
        </w:tc>
        <w:tc>
          <w:tcPr>
            <w:tcW w:w="0" w:type="auto"/>
            <w:vMerge w:val="restart"/>
            <w:tcBorders>
              <w:top w:val="single" w:sz="4" w:space="0" w:color="auto"/>
              <w:left w:val="single" w:sz="4" w:space="0" w:color="auto"/>
              <w:right w:val="single" w:sz="4" w:space="0" w:color="auto"/>
            </w:tcBorders>
          </w:tcPr>
          <w:p w:rsidR="00E521D7" w:rsidRPr="007B330B" w:rsidRDefault="00E521D7" w:rsidP="00E521D7">
            <w:pPr>
              <w:spacing w:after="0" w:line="240" w:lineRule="auto"/>
              <w:rPr>
                <w:rFonts w:cstheme="minorHAnsi"/>
                <w:iCs/>
                <w:sz w:val="20"/>
                <w:szCs w:val="20"/>
                <w:lang w:val="en-US"/>
              </w:rPr>
            </w:pPr>
            <w:r w:rsidRPr="007B330B">
              <w:rPr>
                <w:rFonts w:cstheme="minorHAnsi"/>
                <w:iCs/>
                <w:sz w:val="20"/>
                <w:szCs w:val="20"/>
                <w:lang w:val="en-US"/>
              </w:rPr>
              <w:t>Mai puțin dezvoltate</w:t>
            </w:r>
          </w:p>
        </w:tc>
        <w:tc>
          <w:tcPr>
            <w:tcW w:w="2700" w:type="dxa"/>
            <w:tcBorders>
              <w:top w:val="single" w:sz="4" w:space="0" w:color="auto"/>
              <w:left w:val="single" w:sz="4" w:space="0" w:color="auto"/>
              <w:bottom w:val="single" w:sz="4" w:space="0" w:color="auto"/>
              <w:right w:val="single" w:sz="4" w:space="0" w:color="auto"/>
            </w:tcBorders>
          </w:tcPr>
          <w:p w:rsidR="00E521D7" w:rsidRPr="007B330B" w:rsidRDefault="00E521D7" w:rsidP="00E521D7">
            <w:pPr>
              <w:spacing w:after="0" w:line="240" w:lineRule="auto"/>
              <w:rPr>
                <w:rFonts w:cstheme="minorHAnsi"/>
                <w:iCs/>
                <w:sz w:val="20"/>
                <w:szCs w:val="20"/>
                <w:lang w:val="en-US"/>
              </w:rPr>
            </w:pPr>
            <w:r w:rsidRPr="007B330B">
              <w:rPr>
                <w:rFonts w:cstheme="minorHAnsi"/>
                <w:iCs/>
                <w:sz w:val="20"/>
                <w:szCs w:val="20"/>
                <w:lang w:val="en-US"/>
              </w:rPr>
              <w:t>050</w:t>
            </w:r>
          </w:p>
        </w:tc>
        <w:tc>
          <w:tcPr>
            <w:tcW w:w="2264" w:type="dxa"/>
            <w:tcBorders>
              <w:top w:val="single" w:sz="4" w:space="0" w:color="auto"/>
              <w:left w:val="single" w:sz="4" w:space="0" w:color="auto"/>
              <w:bottom w:val="single" w:sz="4" w:space="0" w:color="auto"/>
              <w:right w:val="single" w:sz="4" w:space="0" w:color="auto"/>
            </w:tcBorders>
          </w:tcPr>
          <w:p w:rsidR="00E521D7" w:rsidRPr="007B330B" w:rsidRDefault="00C03C14" w:rsidP="00E521D7">
            <w:pPr>
              <w:spacing w:after="0" w:line="240" w:lineRule="auto"/>
              <w:jc w:val="center"/>
              <w:rPr>
                <w:rFonts w:cstheme="minorHAnsi"/>
                <w:color w:val="C00000"/>
                <w:sz w:val="20"/>
                <w:szCs w:val="20"/>
              </w:rPr>
            </w:pPr>
            <w:r>
              <w:rPr>
                <w:rFonts w:cstheme="minorHAnsi"/>
                <w:sz w:val="20"/>
                <w:szCs w:val="20"/>
              </w:rPr>
              <w:t>75.046.500</w:t>
            </w:r>
          </w:p>
        </w:tc>
      </w:tr>
      <w:tr w:rsidR="00E521D7" w:rsidRPr="004E23AC" w:rsidTr="007375AE">
        <w:trPr>
          <w:trHeight w:val="371"/>
        </w:trPr>
        <w:tc>
          <w:tcPr>
            <w:tcW w:w="0" w:type="auto"/>
            <w:vMerge/>
            <w:tcBorders>
              <w:left w:val="single" w:sz="4" w:space="0" w:color="auto"/>
              <w:bottom w:val="single" w:sz="4" w:space="0" w:color="auto"/>
              <w:right w:val="single" w:sz="4" w:space="0" w:color="auto"/>
            </w:tcBorders>
          </w:tcPr>
          <w:p w:rsidR="00E521D7" w:rsidRPr="007B330B" w:rsidRDefault="00E521D7" w:rsidP="00E521D7">
            <w:pPr>
              <w:spacing w:after="0" w:line="240" w:lineRule="auto"/>
              <w:rPr>
                <w:rFonts w:cstheme="minorHAnsi"/>
                <w:iCs/>
                <w:sz w:val="20"/>
                <w:szCs w:val="20"/>
                <w:lang w:val="en-US"/>
              </w:rPr>
            </w:pPr>
          </w:p>
        </w:tc>
        <w:tc>
          <w:tcPr>
            <w:tcW w:w="0" w:type="auto"/>
            <w:vMerge/>
            <w:tcBorders>
              <w:left w:val="single" w:sz="4" w:space="0" w:color="auto"/>
              <w:bottom w:val="single" w:sz="4" w:space="0" w:color="auto"/>
              <w:right w:val="single" w:sz="4" w:space="0" w:color="auto"/>
            </w:tcBorders>
          </w:tcPr>
          <w:p w:rsidR="00E521D7" w:rsidRPr="007B330B" w:rsidRDefault="00E521D7" w:rsidP="00E521D7">
            <w:pPr>
              <w:spacing w:after="0" w:line="240" w:lineRule="auto"/>
              <w:rPr>
                <w:rFonts w:cstheme="minorHAnsi"/>
                <w:iCs/>
                <w:sz w:val="20"/>
                <w:szCs w:val="20"/>
                <w:lang w:val="en-US"/>
              </w:rPr>
            </w:pPr>
          </w:p>
        </w:tc>
        <w:tc>
          <w:tcPr>
            <w:tcW w:w="0" w:type="auto"/>
            <w:vMerge/>
            <w:tcBorders>
              <w:left w:val="single" w:sz="4" w:space="0" w:color="auto"/>
              <w:bottom w:val="single" w:sz="4" w:space="0" w:color="auto"/>
              <w:right w:val="single" w:sz="4" w:space="0" w:color="auto"/>
            </w:tcBorders>
          </w:tcPr>
          <w:p w:rsidR="00E521D7" w:rsidRPr="007B330B" w:rsidRDefault="00E521D7" w:rsidP="00E521D7">
            <w:pPr>
              <w:spacing w:after="0" w:line="240" w:lineRule="auto"/>
              <w:rPr>
                <w:rFonts w:cstheme="minorHAnsi"/>
                <w:iCs/>
                <w:sz w:val="20"/>
                <w:szCs w:val="20"/>
                <w:highlight w:val="red"/>
                <w:lang w:val="en-US"/>
              </w:rPr>
            </w:pPr>
          </w:p>
        </w:tc>
        <w:tc>
          <w:tcPr>
            <w:tcW w:w="2700" w:type="dxa"/>
            <w:tcBorders>
              <w:top w:val="single" w:sz="4" w:space="0" w:color="auto"/>
              <w:left w:val="single" w:sz="4" w:space="0" w:color="auto"/>
              <w:bottom w:val="single" w:sz="4" w:space="0" w:color="auto"/>
              <w:right w:val="single" w:sz="4" w:space="0" w:color="auto"/>
            </w:tcBorders>
          </w:tcPr>
          <w:p w:rsidR="00E521D7" w:rsidRPr="007B330B" w:rsidRDefault="00E521D7" w:rsidP="00E521D7">
            <w:pPr>
              <w:spacing w:after="0" w:line="240" w:lineRule="auto"/>
              <w:rPr>
                <w:rFonts w:cstheme="minorHAnsi"/>
                <w:iCs/>
                <w:sz w:val="20"/>
                <w:szCs w:val="20"/>
                <w:lang w:val="en-US"/>
              </w:rPr>
            </w:pPr>
            <w:r w:rsidRPr="007B330B">
              <w:rPr>
                <w:rFonts w:cstheme="minorHAnsi"/>
                <w:iCs/>
                <w:sz w:val="20"/>
                <w:szCs w:val="20"/>
                <w:lang w:val="en-US"/>
              </w:rPr>
              <w:t>131</w:t>
            </w:r>
          </w:p>
        </w:tc>
        <w:tc>
          <w:tcPr>
            <w:tcW w:w="2264" w:type="dxa"/>
            <w:tcBorders>
              <w:top w:val="single" w:sz="4" w:space="0" w:color="auto"/>
              <w:left w:val="single" w:sz="4" w:space="0" w:color="auto"/>
              <w:bottom w:val="single" w:sz="4" w:space="0" w:color="auto"/>
              <w:right w:val="single" w:sz="4" w:space="0" w:color="auto"/>
            </w:tcBorders>
          </w:tcPr>
          <w:p w:rsidR="00E521D7" w:rsidRPr="007B330B" w:rsidRDefault="00C03C14" w:rsidP="00E521D7">
            <w:pPr>
              <w:spacing w:after="0" w:line="240" w:lineRule="auto"/>
              <w:jc w:val="center"/>
              <w:rPr>
                <w:rFonts w:cstheme="minorHAnsi"/>
                <w:sz w:val="20"/>
                <w:szCs w:val="20"/>
              </w:rPr>
            </w:pPr>
            <w:r>
              <w:rPr>
                <w:rFonts w:cstheme="minorHAnsi"/>
                <w:sz w:val="20"/>
                <w:szCs w:val="20"/>
              </w:rPr>
              <w:t>54.105.500</w:t>
            </w:r>
          </w:p>
        </w:tc>
      </w:tr>
      <w:tr w:rsidR="00E521D7" w:rsidRPr="004E23AC" w:rsidTr="007375AE">
        <w:trPr>
          <w:trHeight w:val="284"/>
        </w:trPr>
        <w:tc>
          <w:tcPr>
            <w:tcW w:w="0" w:type="auto"/>
            <w:vMerge w:val="restart"/>
            <w:tcBorders>
              <w:top w:val="single" w:sz="4" w:space="0" w:color="auto"/>
              <w:left w:val="single" w:sz="4" w:space="0" w:color="auto"/>
              <w:right w:val="single" w:sz="4" w:space="0" w:color="auto"/>
            </w:tcBorders>
          </w:tcPr>
          <w:p w:rsidR="00E521D7" w:rsidRPr="007B330B" w:rsidRDefault="00E521D7" w:rsidP="00E521D7">
            <w:pPr>
              <w:spacing w:after="0" w:line="240" w:lineRule="auto"/>
              <w:rPr>
                <w:rFonts w:cstheme="minorHAnsi"/>
                <w:iCs/>
                <w:sz w:val="20"/>
                <w:szCs w:val="20"/>
                <w:lang w:val="en-US"/>
              </w:rPr>
            </w:pPr>
            <w:r w:rsidRPr="007B330B">
              <w:rPr>
                <w:rFonts w:cstheme="minorHAnsi"/>
                <w:iCs/>
                <w:sz w:val="20"/>
                <w:szCs w:val="20"/>
                <w:lang w:val="en-US"/>
              </w:rPr>
              <w:t>OS b (viii)</w:t>
            </w:r>
          </w:p>
        </w:tc>
        <w:tc>
          <w:tcPr>
            <w:tcW w:w="0" w:type="auto"/>
            <w:vMerge w:val="restart"/>
            <w:tcBorders>
              <w:top w:val="single" w:sz="4" w:space="0" w:color="auto"/>
              <w:left w:val="single" w:sz="4" w:space="0" w:color="auto"/>
              <w:right w:val="single" w:sz="4" w:space="0" w:color="auto"/>
            </w:tcBorders>
          </w:tcPr>
          <w:p w:rsidR="00E521D7" w:rsidRPr="007B330B" w:rsidRDefault="00E521D7" w:rsidP="00E521D7">
            <w:pPr>
              <w:spacing w:after="0" w:line="240" w:lineRule="auto"/>
              <w:rPr>
                <w:rFonts w:cstheme="minorHAnsi"/>
                <w:iCs/>
                <w:sz w:val="20"/>
                <w:szCs w:val="20"/>
                <w:lang w:val="en-US"/>
              </w:rPr>
            </w:pPr>
            <w:r w:rsidRPr="007B330B">
              <w:rPr>
                <w:rFonts w:cstheme="minorHAnsi"/>
                <w:iCs/>
                <w:sz w:val="20"/>
                <w:szCs w:val="20"/>
                <w:lang w:val="en-US"/>
              </w:rPr>
              <w:t>FEDR</w:t>
            </w:r>
          </w:p>
        </w:tc>
        <w:tc>
          <w:tcPr>
            <w:tcW w:w="0" w:type="auto"/>
            <w:vMerge w:val="restart"/>
            <w:tcBorders>
              <w:top w:val="single" w:sz="4" w:space="0" w:color="auto"/>
              <w:left w:val="single" w:sz="4" w:space="0" w:color="auto"/>
              <w:right w:val="single" w:sz="4" w:space="0" w:color="auto"/>
            </w:tcBorders>
          </w:tcPr>
          <w:p w:rsidR="00E521D7" w:rsidRPr="007B330B" w:rsidRDefault="00E521D7" w:rsidP="00E521D7">
            <w:pPr>
              <w:spacing w:after="0" w:line="240" w:lineRule="auto"/>
              <w:rPr>
                <w:rFonts w:cstheme="minorHAnsi"/>
                <w:iCs/>
                <w:sz w:val="20"/>
                <w:szCs w:val="20"/>
                <w:lang w:val="en-US"/>
              </w:rPr>
            </w:pPr>
            <w:r w:rsidRPr="007B330B">
              <w:rPr>
                <w:rFonts w:cstheme="minorHAnsi"/>
                <w:iCs/>
                <w:sz w:val="20"/>
                <w:szCs w:val="20"/>
                <w:lang w:val="en-US"/>
              </w:rPr>
              <w:t>Mai puțin dezvoltate</w:t>
            </w:r>
          </w:p>
        </w:tc>
        <w:tc>
          <w:tcPr>
            <w:tcW w:w="2700" w:type="dxa"/>
            <w:tcBorders>
              <w:top w:val="single" w:sz="4" w:space="0" w:color="auto"/>
              <w:left w:val="single" w:sz="4" w:space="0" w:color="auto"/>
              <w:bottom w:val="single" w:sz="4" w:space="0" w:color="auto"/>
              <w:right w:val="single" w:sz="4" w:space="0" w:color="auto"/>
            </w:tcBorders>
          </w:tcPr>
          <w:p w:rsidR="00E521D7" w:rsidRPr="007B330B" w:rsidRDefault="00E521D7" w:rsidP="00E521D7">
            <w:pPr>
              <w:spacing w:after="0" w:line="240" w:lineRule="auto"/>
              <w:rPr>
                <w:rFonts w:cstheme="minorHAnsi"/>
                <w:iCs/>
                <w:sz w:val="20"/>
                <w:szCs w:val="20"/>
                <w:lang w:val="en-US"/>
              </w:rPr>
            </w:pPr>
            <w:r w:rsidRPr="007B330B">
              <w:rPr>
                <w:rFonts w:cstheme="minorHAnsi"/>
                <w:iCs/>
                <w:sz w:val="20"/>
                <w:szCs w:val="20"/>
                <w:lang w:val="en-US"/>
              </w:rPr>
              <w:t>073 (062)</w:t>
            </w:r>
          </w:p>
        </w:tc>
        <w:tc>
          <w:tcPr>
            <w:tcW w:w="2264" w:type="dxa"/>
            <w:tcBorders>
              <w:top w:val="single" w:sz="4" w:space="0" w:color="auto"/>
              <w:left w:val="single" w:sz="4" w:space="0" w:color="auto"/>
              <w:bottom w:val="single" w:sz="4" w:space="0" w:color="auto"/>
              <w:right w:val="single" w:sz="4" w:space="0" w:color="auto"/>
            </w:tcBorders>
            <w:vAlign w:val="center"/>
          </w:tcPr>
          <w:p w:rsidR="00E521D7" w:rsidRPr="007B330B" w:rsidRDefault="00E521D7" w:rsidP="00C03C14">
            <w:pPr>
              <w:spacing w:after="0" w:line="240" w:lineRule="auto"/>
              <w:jc w:val="center"/>
              <w:rPr>
                <w:rFonts w:cstheme="minorHAnsi"/>
                <w:sz w:val="20"/>
                <w:szCs w:val="20"/>
              </w:rPr>
            </w:pPr>
            <w:r w:rsidRPr="007B330B">
              <w:rPr>
                <w:rFonts w:cstheme="minorHAnsi"/>
                <w:bCs/>
                <w:sz w:val="20"/>
                <w:szCs w:val="20"/>
              </w:rPr>
              <w:t xml:space="preserve">     </w:t>
            </w:r>
            <w:r w:rsidR="00C03C14">
              <w:rPr>
                <w:rFonts w:cstheme="minorHAnsi"/>
                <w:bCs/>
                <w:sz w:val="20"/>
                <w:szCs w:val="20"/>
              </w:rPr>
              <w:t>93.752.400</w:t>
            </w:r>
            <w:r w:rsidRPr="007B330B">
              <w:rPr>
                <w:rFonts w:cstheme="minorHAnsi"/>
                <w:bCs/>
                <w:sz w:val="20"/>
                <w:szCs w:val="20"/>
              </w:rPr>
              <w:t xml:space="preserve"> </w:t>
            </w:r>
          </w:p>
        </w:tc>
      </w:tr>
      <w:tr w:rsidR="00E521D7" w:rsidRPr="007351CE" w:rsidTr="007375AE">
        <w:trPr>
          <w:trHeight w:val="284"/>
        </w:trPr>
        <w:tc>
          <w:tcPr>
            <w:tcW w:w="0" w:type="auto"/>
            <w:vMerge/>
            <w:tcBorders>
              <w:left w:val="single" w:sz="4" w:space="0" w:color="auto"/>
              <w:right w:val="single" w:sz="4" w:space="0" w:color="auto"/>
            </w:tcBorders>
          </w:tcPr>
          <w:p w:rsidR="00E521D7" w:rsidRPr="007B330B" w:rsidRDefault="00E521D7" w:rsidP="00E521D7">
            <w:pPr>
              <w:spacing w:after="0" w:line="240" w:lineRule="auto"/>
              <w:rPr>
                <w:rFonts w:cstheme="minorHAnsi"/>
                <w:iCs/>
                <w:sz w:val="20"/>
                <w:szCs w:val="20"/>
                <w:lang w:val="en-US"/>
              </w:rPr>
            </w:pPr>
          </w:p>
        </w:tc>
        <w:tc>
          <w:tcPr>
            <w:tcW w:w="0" w:type="auto"/>
            <w:vMerge/>
            <w:tcBorders>
              <w:left w:val="single" w:sz="4" w:space="0" w:color="auto"/>
              <w:right w:val="single" w:sz="4" w:space="0" w:color="auto"/>
            </w:tcBorders>
          </w:tcPr>
          <w:p w:rsidR="00E521D7" w:rsidRPr="007B330B" w:rsidRDefault="00E521D7" w:rsidP="00E521D7">
            <w:pPr>
              <w:spacing w:after="0" w:line="240" w:lineRule="auto"/>
              <w:rPr>
                <w:rFonts w:cstheme="minorHAnsi"/>
                <w:iCs/>
                <w:sz w:val="20"/>
                <w:szCs w:val="20"/>
                <w:lang w:val="en-US"/>
              </w:rPr>
            </w:pPr>
          </w:p>
        </w:tc>
        <w:tc>
          <w:tcPr>
            <w:tcW w:w="0" w:type="auto"/>
            <w:vMerge/>
            <w:tcBorders>
              <w:left w:val="single" w:sz="4" w:space="0" w:color="auto"/>
              <w:right w:val="single" w:sz="4" w:space="0" w:color="auto"/>
            </w:tcBorders>
          </w:tcPr>
          <w:p w:rsidR="00E521D7" w:rsidRPr="007B330B" w:rsidRDefault="00E521D7" w:rsidP="00E521D7">
            <w:pPr>
              <w:spacing w:after="0" w:line="240" w:lineRule="auto"/>
              <w:rPr>
                <w:rFonts w:cstheme="minorHAnsi"/>
                <w:iCs/>
                <w:sz w:val="20"/>
                <w:szCs w:val="20"/>
                <w:lang w:val="en-US"/>
              </w:rPr>
            </w:pPr>
          </w:p>
        </w:tc>
        <w:tc>
          <w:tcPr>
            <w:tcW w:w="2700" w:type="dxa"/>
            <w:tcBorders>
              <w:top w:val="single" w:sz="4" w:space="0" w:color="auto"/>
              <w:left w:val="single" w:sz="4" w:space="0" w:color="auto"/>
              <w:bottom w:val="single" w:sz="4" w:space="0" w:color="auto"/>
              <w:right w:val="single" w:sz="4" w:space="0" w:color="auto"/>
            </w:tcBorders>
          </w:tcPr>
          <w:p w:rsidR="00E521D7" w:rsidRPr="007B330B" w:rsidRDefault="00E521D7" w:rsidP="00E521D7">
            <w:pPr>
              <w:spacing w:after="0" w:line="240" w:lineRule="auto"/>
              <w:rPr>
                <w:rFonts w:cstheme="minorHAnsi"/>
                <w:iCs/>
                <w:sz w:val="20"/>
                <w:szCs w:val="20"/>
                <w:lang w:val="en-US"/>
              </w:rPr>
            </w:pPr>
            <w:r w:rsidRPr="007B330B">
              <w:rPr>
                <w:rFonts w:cstheme="minorHAnsi"/>
                <w:iCs/>
                <w:sz w:val="20"/>
                <w:szCs w:val="20"/>
                <w:lang w:val="en-US"/>
              </w:rPr>
              <w:t>074</w:t>
            </w:r>
          </w:p>
        </w:tc>
        <w:tc>
          <w:tcPr>
            <w:tcW w:w="2264" w:type="dxa"/>
            <w:tcBorders>
              <w:top w:val="single" w:sz="4" w:space="0" w:color="auto"/>
              <w:left w:val="single" w:sz="4" w:space="0" w:color="auto"/>
              <w:bottom w:val="single" w:sz="4" w:space="0" w:color="auto"/>
              <w:right w:val="single" w:sz="4" w:space="0" w:color="auto"/>
            </w:tcBorders>
            <w:vAlign w:val="center"/>
          </w:tcPr>
          <w:p w:rsidR="00E521D7" w:rsidRPr="007B330B" w:rsidRDefault="00E521D7" w:rsidP="00E521D7">
            <w:pPr>
              <w:spacing w:after="0" w:line="240" w:lineRule="auto"/>
              <w:jc w:val="center"/>
              <w:rPr>
                <w:rFonts w:eastAsia="Times New Roman" w:cstheme="minorHAnsi"/>
                <w:bCs/>
                <w:sz w:val="20"/>
                <w:szCs w:val="20"/>
                <w:lang w:eastAsia="ro-RO"/>
              </w:rPr>
            </w:pPr>
            <w:r w:rsidRPr="007B330B">
              <w:rPr>
                <w:rFonts w:cstheme="minorHAnsi"/>
                <w:bCs/>
                <w:sz w:val="20"/>
                <w:szCs w:val="20"/>
              </w:rPr>
              <w:t xml:space="preserve">     64.785.600 </w:t>
            </w:r>
          </w:p>
        </w:tc>
      </w:tr>
      <w:tr w:rsidR="00E521D7" w:rsidRPr="007351CE" w:rsidTr="007375AE">
        <w:trPr>
          <w:trHeight w:val="284"/>
        </w:trPr>
        <w:tc>
          <w:tcPr>
            <w:tcW w:w="0" w:type="auto"/>
            <w:vMerge/>
            <w:tcBorders>
              <w:left w:val="single" w:sz="4" w:space="0" w:color="auto"/>
              <w:right w:val="single" w:sz="4" w:space="0" w:color="auto"/>
            </w:tcBorders>
          </w:tcPr>
          <w:p w:rsidR="00E521D7" w:rsidRPr="007B330B" w:rsidRDefault="00E521D7" w:rsidP="00E521D7">
            <w:pPr>
              <w:spacing w:after="0" w:line="240" w:lineRule="auto"/>
              <w:rPr>
                <w:rFonts w:cstheme="minorHAnsi"/>
                <w:iCs/>
                <w:sz w:val="20"/>
                <w:szCs w:val="20"/>
                <w:lang w:val="en-US"/>
              </w:rPr>
            </w:pPr>
          </w:p>
        </w:tc>
        <w:tc>
          <w:tcPr>
            <w:tcW w:w="0" w:type="auto"/>
            <w:vMerge/>
            <w:tcBorders>
              <w:left w:val="single" w:sz="4" w:space="0" w:color="auto"/>
              <w:right w:val="single" w:sz="4" w:space="0" w:color="auto"/>
            </w:tcBorders>
          </w:tcPr>
          <w:p w:rsidR="00E521D7" w:rsidRPr="007B330B" w:rsidRDefault="00E521D7" w:rsidP="00E521D7">
            <w:pPr>
              <w:spacing w:after="0" w:line="240" w:lineRule="auto"/>
              <w:rPr>
                <w:rFonts w:cstheme="minorHAnsi"/>
                <w:iCs/>
                <w:sz w:val="20"/>
                <w:szCs w:val="20"/>
                <w:lang w:val="en-US"/>
              </w:rPr>
            </w:pPr>
          </w:p>
        </w:tc>
        <w:tc>
          <w:tcPr>
            <w:tcW w:w="0" w:type="auto"/>
            <w:vMerge/>
            <w:tcBorders>
              <w:left w:val="single" w:sz="4" w:space="0" w:color="auto"/>
              <w:right w:val="single" w:sz="4" w:space="0" w:color="auto"/>
            </w:tcBorders>
          </w:tcPr>
          <w:p w:rsidR="00E521D7" w:rsidRPr="007B330B" w:rsidRDefault="00E521D7" w:rsidP="00E521D7">
            <w:pPr>
              <w:spacing w:after="0" w:line="240" w:lineRule="auto"/>
              <w:rPr>
                <w:rFonts w:cstheme="minorHAnsi"/>
                <w:iCs/>
                <w:sz w:val="20"/>
                <w:szCs w:val="20"/>
                <w:lang w:val="en-US"/>
              </w:rPr>
            </w:pPr>
          </w:p>
        </w:tc>
        <w:tc>
          <w:tcPr>
            <w:tcW w:w="2700" w:type="dxa"/>
            <w:tcBorders>
              <w:top w:val="single" w:sz="4" w:space="0" w:color="auto"/>
              <w:left w:val="single" w:sz="4" w:space="0" w:color="auto"/>
              <w:bottom w:val="single" w:sz="4" w:space="0" w:color="auto"/>
              <w:right w:val="single" w:sz="4" w:space="0" w:color="auto"/>
            </w:tcBorders>
          </w:tcPr>
          <w:p w:rsidR="00E521D7" w:rsidRPr="007B330B" w:rsidRDefault="00E521D7" w:rsidP="00E521D7">
            <w:pPr>
              <w:spacing w:after="0" w:line="240" w:lineRule="auto"/>
              <w:rPr>
                <w:rFonts w:cstheme="minorHAnsi"/>
                <w:iCs/>
                <w:sz w:val="20"/>
                <w:szCs w:val="20"/>
                <w:lang w:val="en-US"/>
              </w:rPr>
            </w:pPr>
            <w:r w:rsidRPr="007B330B">
              <w:rPr>
                <w:rFonts w:cstheme="minorHAnsi"/>
                <w:iCs/>
                <w:sz w:val="20"/>
                <w:szCs w:val="20"/>
                <w:lang w:val="en-US"/>
              </w:rPr>
              <w:t>075</w:t>
            </w:r>
          </w:p>
        </w:tc>
        <w:tc>
          <w:tcPr>
            <w:tcW w:w="2264" w:type="dxa"/>
            <w:tcBorders>
              <w:top w:val="single" w:sz="4" w:space="0" w:color="auto"/>
              <w:left w:val="single" w:sz="4" w:space="0" w:color="auto"/>
              <w:bottom w:val="single" w:sz="4" w:space="0" w:color="auto"/>
              <w:right w:val="single" w:sz="4" w:space="0" w:color="auto"/>
            </w:tcBorders>
            <w:vAlign w:val="center"/>
          </w:tcPr>
          <w:p w:rsidR="00E521D7" w:rsidRPr="007B330B" w:rsidRDefault="00E521D7" w:rsidP="00C03C14">
            <w:pPr>
              <w:spacing w:after="0" w:line="240" w:lineRule="auto"/>
              <w:jc w:val="center"/>
              <w:rPr>
                <w:rFonts w:eastAsia="Times New Roman" w:cstheme="minorHAnsi"/>
                <w:bCs/>
                <w:sz w:val="20"/>
                <w:szCs w:val="20"/>
                <w:lang w:eastAsia="ro-RO"/>
              </w:rPr>
            </w:pPr>
            <w:r w:rsidRPr="007B330B">
              <w:rPr>
                <w:rFonts w:cstheme="minorHAnsi"/>
                <w:bCs/>
                <w:sz w:val="20"/>
                <w:szCs w:val="20"/>
              </w:rPr>
              <w:t xml:space="preserve">     </w:t>
            </w:r>
            <w:r w:rsidR="00C03C14">
              <w:rPr>
                <w:rFonts w:cstheme="minorHAnsi"/>
                <w:bCs/>
                <w:sz w:val="20"/>
                <w:szCs w:val="20"/>
              </w:rPr>
              <w:t>47.913.000</w:t>
            </w:r>
            <w:r w:rsidRPr="007B330B">
              <w:rPr>
                <w:rFonts w:cstheme="minorHAnsi"/>
                <w:bCs/>
                <w:sz w:val="20"/>
                <w:szCs w:val="20"/>
              </w:rPr>
              <w:t xml:space="preserve"> </w:t>
            </w:r>
          </w:p>
        </w:tc>
      </w:tr>
      <w:tr w:rsidR="00E521D7" w:rsidRPr="007351CE" w:rsidTr="007375AE">
        <w:trPr>
          <w:trHeight w:val="284"/>
        </w:trPr>
        <w:tc>
          <w:tcPr>
            <w:tcW w:w="0" w:type="auto"/>
            <w:vMerge/>
            <w:tcBorders>
              <w:left w:val="single" w:sz="4" w:space="0" w:color="auto"/>
              <w:right w:val="single" w:sz="4" w:space="0" w:color="auto"/>
            </w:tcBorders>
          </w:tcPr>
          <w:p w:rsidR="00E521D7" w:rsidRPr="007B330B" w:rsidRDefault="00E521D7" w:rsidP="00E521D7">
            <w:pPr>
              <w:spacing w:after="0" w:line="240" w:lineRule="auto"/>
              <w:rPr>
                <w:rFonts w:cstheme="minorHAnsi"/>
                <w:iCs/>
                <w:sz w:val="20"/>
                <w:szCs w:val="20"/>
                <w:lang w:val="en-US"/>
              </w:rPr>
            </w:pPr>
          </w:p>
        </w:tc>
        <w:tc>
          <w:tcPr>
            <w:tcW w:w="0" w:type="auto"/>
            <w:vMerge/>
            <w:tcBorders>
              <w:left w:val="single" w:sz="4" w:space="0" w:color="auto"/>
              <w:right w:val="single" w:sz="4" w:space="0" w:color="auto"/>
            </w:tcBorders>
          </w:tcPr>
          <w:p w:rsidR="00E521D7" w:rsidRPr="007B330B" w:rsidRDefault="00E521D7" w:rsidP="00E521D7">
            <w:pPr>
              <w:spacing w:after="0" w:line="240" w:lineRule="auto"/>
              <w:rPr>
                <w:rFonts w:cstheme="minorHAnsi"/>
                <w:iCs/>
                <w:sz w:val="20"/>
                <w:szCs w:val="20"/>
                <w:lang w:val="en-US"/>
              </w:rPr>
            </w:pPr>
          </w:p>
        </w:tc>
        <w:tc>
          <w:tcPr>
            <w:tcW w:w="0" w:type="auto"/>
            <w:vMerge/>
            <w:tcBorders>
              <w:left w:val="single" w:sz="4" w:space="0" w:color="auto"/>
              <w:right w:val="single" w:sz="4" w:space="0" w:color="auto"/>
            </w:tcBorders>
          </w:tcPr>
          <w:p w:rsidR="00E521D7" w:rsidRPr="007B330B" w:rsidRDefault="00E521D7" w:rsidP="00E521D7">
            <w:pPr>
              <w:spacing w:after="0" w:line="240" w:lineRule="auto"/>
              <w:rPr>
                <w:rFonts w:cstheme="minorHAnsi"/>
                <w:iCs/>
                <w:sz w:val="20"/>
                <w:szCs w:val="20"/>
                <w:lang w:val="en-US"/>
              </w:rPr>
            </w:pPr>
          </w:p>
        </w:tc>
        <w:tc>
          <w:tcPr>
            <w:tcW w:w="2700" w:type="dxa"/>
            <w:tcBorders>
              <w:top w:val="single" w:sz="4" w:space="0" w:color="auto"/>
              <w:left w:val="single" w:sz="4" w:space="0" w:color="auto"/>
              <w:bottom w:val="single" w:sz="4" w:space="0" w:color="auto"/>
              <w:right w:val="single" w:sz="4" w:space="0" w:color="auto"/>
            </w:tcBorders>
          </w:tcPr>
          <w:p w:rsidR="00E521D7" w:rsidRPr="007B330B" w:rsidRDefault="00E521D7" w:rsidP="00E521D7">
            <w:pPr>
              <w:spacing w:after="0" w:line="240" w:lineRule="auto"/>
              <w:rPr>
                <w:rFonts w:cstheme="minorHAnsi"/>
                <w:iCs/>
                <w:sz w:val="20"/>
                <w:szCs w:val="20"/>
                <w:lang w:val="en-US"/>
              </w:rPr>
            </w:pPr>
            <w:r w:rsidRPr="007B330B">
              <w:rPr>
                <w:rFonts w:cstheme="minorHAnsi"/>
                <w:iCs/>
                <w:sz w:val="20"/>
                <w:szCs w:val="20"/>
                <w:lang w:val="en-US"/>
              </w:rPr>
              <w:t>076</w:t>
            </w:r>
          </w:p>
        </w:tc>
        <w:tc>
          <w:tcPr>
            <w:tcW w:w="2264" w:type="dxa"/>
            <w:tcBorders>
              <w:top w:val="single" w:sz="4" w:space="0" w:color="auto"/>
              <w:left w:val="single" w:sz="4" w:space="0" w:color="auto"/>
              <w:bottom w:val="single" w:sz="4" w:space="0" w:color="auto"/>
              <w:right w:val="single" w:sz="4" w:space="0" w:color="auto"/>
            </w:tcBorders>
            <w:vAlign w:val="center"/>
          </w:tcPr>
          <w:p w:rsidR="00E521D7" w:rsidRPr="007B330B" w:rsidRDefault="00E521D7" w:rsidP="00E521D7">
            <w:pPr>
              <w:spacing w:after="0" w:line="240" w:lineRule="auto"/>
              <w:jc w:val="center"/>
              <w:rPr>
                <w:rFonts w:eastAsia="Times New Roman" w:cstheme="minorHAnsi"/>
                <w:bCs/>
                <w:sz w:val="20"/>
                <w:szCs w:val="20"/>
                <w:lang w:eastAsia="ro-RO"/>
              </w:rPr>
            </w:pPr>
            <w:r w:rsidRPr="007B330B">
              <w:rPr>
                <w:rFonts w:cstheme="minorHAnsi"/>
                <w:bCs/>
                <w:sz w:val="20"/>
                <w:szCs w:val="20"/>
              </w:rPr>
              <w:t xml:space="preserve">       9.816.000 </w:t>
            </w:r>
          </w:p>
        </w:tc>
      </w:tr>
      <w:tr w:rsidR="00E521D7" w:rsidRPr="007351CE" w:rsidTr="007375AE">
        <w:trPr>
          <w:trHeight w:val="284"/>
        </w:trPr>
        <w:tc>
          <w:tcPr>
            <w:tcW w:w="0" w:type="auto"/>
            <w:vMerge/>
            <w:tcBorders>
              <w:left w:val="single" w:sz="4" w:space="0" w:color="auto"/>
              <w:bottom w:val="single" w:sz="4" w:space="0" w:color="auto"/>
              <w:right w:val="single" w:sz="4" w:space="0" w:color="auto"/>
            </w:tcBorders>
          </w:tcPr>
          <w:p w:rsidR="00E521D7" w:rsidRPr="007B330B" w:rsidRDefault="00E521D7" w:rsidP="00E521D7">
            <w:pPr>
              <w:spacing w:after="0" w:line="240" w:lineRule="auto"/>
              <w:rPr>
                <w:rFonts w:cstheme="minorHAnsi"/>
                <w:iCs/>
                <w:sz w:val="20"/>
                <w:szCs w:val="20"/>
                <w:lang w:val="en-US"/>
              </w:rPr>
            </w:pPr>
          </w:p>
        </w:tc>
        <w:tc>
          <w:tcPr>
            <w:tcW w:w="0" w:type="auto"/>
            <w:vMerge/>
            <w:tcBorders>
              <w:left w:val="single" w:sz="4" w:space="0" w:color="auto"/>
              <w:bottom w:val="single" w:sz="4" w:space="0" w:color="auto"/>
              <w:right w:val="single" w:sz="4" w:space="0" w:color="auto"/>
            </w:tcBorders>
          </w:tcPr>
          <w:p w:rsidR="00E521D7" w:rsidRPr="007B330B" w:rsidRDefault="00E521D7" w:rsidP="00E521D7">
            <w:pPr>
              <w:spacing w:after="0" w:line="240" w:lineRule="auto"/>
              <w:rPr>
                <w:rFonts w:cstheme="minorHAnsi"/>
                <w:iCs/>
                <w:sz w:val="20"/>
                <w:szCs w:val="20"/>
                <w:lang w:val="en-US"/>
              </w:rPr>
            </w:pPr>
          </w:p>
        </w:tc>
        <w:tc>
          <w:tcPr>
            <w:tcW w:w="0" w:type="auto"/>
            <w:vMerge/>
            <w:tcBorders>
              <w:left w:val="single" w:sz="4" w:space="0" w:color="auto"/>
              <w:bottom w:val="single" w:sz="4" w:space="0" w:color="auto"/>
              <w:right w:val="single" w:sz="4" w:space="0" w:color="auto"/>
            </w:tcBorders>
          </w:tcPr>
          <w:p w:rsidR="00E521D7" w:rsidRPr="007B330B" w:rsidRDefault="00E521D7" w:rsidP="00E521D7">
            <w:pPr>
              <w:spacing w:after="0" w:line="240" w:lineRule="auto"/>
              <w:rPr>
                <w:rFonts w:cstheme="minorHAnsi"/>
                <w:iCs/>
                <w:sz w:val="20"/>
                <w:szCs w:val="20"/>
                <w:lang w:val="en-US"/>
              </w:rPr>
            </w:pPr>
          </w:p>
        </w:tc>
        <w:tc>
          <w:tcPr>
            <w:tcW w:w="2700" w:type="dxa"/>
            <w:tcBorders>
              <w:top w:val="single" w:sz="4" w:space="0" w:color="auto"/>
              <w:left w:val="single" w:sz="4" w:space="0" w:color="auto"/>
              <w:bottom w:val="single" w:sz="4" w:space="0" w:color="auto"/>
              <w:right w:val="single" w:sz="4" w:space="0" w:color="auto"/>
            </w:tcBorders>
          </w:tcPr>
          <w:p w:rsidR="00E521D7" w:rsidRPr="007B330B" w:rsidRDefault="00E521D7" w:rsidP="00E521D7">
            <w:pPr>
              <w:spacing w:after="0" w:line="240" w:lineRule="auto"/>
              <w:rPr>
                <w:rFonts w:cstheme="minorHAnsi"/>
                <w:iCs/>
                <w:sz w:val="20"/>
                <w:szCs w:val="20"/>
                <w:lang w:val="en-US"/>
              </w:rPr>
            </w:pPr>
            <w:r w:rsidRPr="007B330B">
              <w:rPr>
                <w:rFonts w:cstheme="minorHAnsi"/>
                <w:iCs/>
                <w:sz w:val="20"/>
                <w:szCs w:val="20"/>
                <w:lang w:val="en-US"/>
              </w:rPr>
              <w:t>077</w:t>
            </w:r>
          </w:p>
        </w:tc>
        <w:tc>
          <w:tcPr>
            <w:tcW w:w="2264" w:type="dxa"/>
            <w:tcBorders>
              <w:top w:val="single" w:sz="4" w:space="0" w:color="auto"/>
              <w:left w:val="single" w:sz="4" w:space="0" w:color="auto"/>
              <w:bottom w:val="single" w:sz="4" w:space="0" w:color="auto"/>
              <w:right w:val="single" w:sz="4" w:space="0" w:color="auto"/>
            </w:tcBorders>
            <w:vAlign w:val="center"/>
          </w:tcPr>
          <w:p w:rsidR="00E521D7" w:rsidRPr="007B330B" w:rsidRDefault="00E521D7" w:rsidP="00E521D7">
            <w:pPr>
              <w:spacing w:after="0" w:line="240" w:lineRule="auto"/>
              <w:jc w:val="center"/>
              <w:rPr>
                <w:rFonts w:eastAsia="Times New Roman" w:cstheme="minorHAnsi"/>
                <w:bCs/>
                <w:sz w:val="20"/>
                <w:szCs w:val="20"/>
                <w:lang w:eastAsia="ro-RO"/>
              </w:rPr>
            </w:pPr>
            <w:r w:rsidRPr="007B330B">
              <w:rPr>
                <w:rFonts w:cstheme="minorHAnsi"/>
                <w:bCs/>
                <w:sz w:val="20"/>
                <w:szCs w:val="20"/>
              </w:rPr>
              <w:t xml:space="preserve">4.500.000 </w:t>
            </w:r>
          </w:p>
        </w:tc>
      </w:tr>
    </w:tbl>
    <w:p w:rsidR="00B105D0" w:rsidRDefault="00B105D0" w:rsidP="00B105D0">
      <w:pPr>
        <w:spacing w:after="0" w:line="240" w:lineRule="auto"/>
        <w:contextualSpacing/>
        <w:jc w:val="both"/>
        <w:rPr>
          <w:rFonts w:ascii="Times New Roman" w:eastAsia="Times New Roman" w:hAnsi="Times New Roman" w:cs="Times New Roman"/>
          <w:bCs/>
          <w:i/>
          <w:iCs/>
          <w:noProof/>
          <w:color w:val="1F497D" w:themeColor="text2"/>
          <w:sz w:val="20"/>
          <w:szCs w:val="20"/>
          <w:lang w:val="en-US"/>
        </w:rPr>
      </w:pPr>
    </w:p>
    <w:tbl>
      <w:tblPr>
        <w:tblW w:w="9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992"/>
        <w:gridCol w:w="2257"/>
        <w:gridCol w:w="2815"/>
        <w:gridCol w:w="2331"/>
      </w:tblGrid>
      <w:tr w:rsidR="00AA567F" w:rsidRPr="0000318B" w:rsidTr="00AA567F">
        <w:tc>
          <w:tcPr>
            <w:tcW w:w="9808" w:type="dxa"/>
            <w:gridSpan w:val="5"/>
            <w:tcBorders>
              <w:top w:val="single" w:sz="4" w:space="0" w:color="auto"/>
              <w:left w:val="single" w:sz="4" w:space="0" w:color="auto"/>
              <w:bottom w:val="single" w:sz="4" w:space="0" w:color="auto"/>
              <w:right w:val="single" w:sz="4" w:space="0" w:color="auto"/>
            </w:tcBorders>
            <w:hideMark/>
          </w:tcPr>
          <w:p w:rsidR="00AA567F" w:rsidRPr="0000318B" w:rsidRDefault="00AA567F" w:rsidP="008239CE">
            <w:pPr>
              <w:spacing w:after="0" w:line="240" w:lineRule="auto"/>
              <w:contextualSpacing/>
              <w:rPr>
                <w:rFonts w:ascii="Times New Roman" w:hAnsi="Times New Roman" w:cs="Times New Roman"/>
                <w:b/>
                <w:iCs/>
                <w:sz w:val="20"/>
                <w:szCs w:val="20"/>
                <w:lang w:val="en-US"/>
              </w:rPr>
            </w:pPr>
            <w:r w:rsidRPr="0000318B">
              <w:rPr>
                <w:rFonts w:ascii="Times New Roman" w:hAnsi="Times New Roman" w:cs="Times New Roman"/>
                <w:b/>
                <w:iCs/>
                <w:sz w:val="20"/>
                <w:szCs w:val="20"/>
                <w:lang w:val="en-US"/>
              </w:rPr>
              <w:t>Table 5: Dimension 2 – form of support</w:t>
            </w:r>
          </w:p>
        </w:tc>
      </w:tr>
      <w:tr w:rsidR="00AA567F" w:rsidRPr="0000318B" w:rsidTr="008239CE">
        <w:trPr>
          <w:trHeight w:val="269"/>
        </w:trPr>
        <w:tc>
          <w:tcPr>
            <w:tcW w:w="1413" w:type="dxa"/>
            <w:tcBorders>
              <w:top w:val="single" w:sz="4" w:space="0" w:color="auto"/>
              <w:left w:val="single" w:sz="4" w:space="0" w:color="auto"/>
              <w:bottom w:val="single" w:sz="4" w:space="0" w:color="auto"/>
              <w:right w:val="single" w:sz="4" w:space="0" w:color="auto"/>
            </w:tcBorders>
            <w:hideMark/>
          </w:tcPr>
          <w:p w:rsidR="00AA567F" w:rsidRPr="0000318B" w:rsidRDefault="00AA567F" w:rsidP="008239CE">
            <w:pPr>
              <w:spacing w:after="0" w:line="240" w:lineRule="auto"/>
              <w:contextualSpacing/>
              <w:rPr>
                <w:rFonts w:ascii="Times New Roman" w:hAnsi="Times New Roman" w:cs="Times New Roman"/>
                <w:b/>
                <w:iCs/>
                <w:sz w:val="20"/>
                <w:szCs w:val="20"/>
                <w:lang w:val="en-US"/>
              </w:rPr>
            </w:pPr>
            <w:r w:rsidRPr="0000318B">
              <w:rPr>
                <w:rFonts w:ascii="Times New Roman" w:hAnsi="Times New Roman" w:cs="Times New Roman"/>
                <w:b/>
                <w:iCs/>
                <w:sz w:val="20"/>
                <w:szCs w:val="20"/>
                <w:lang w:val="en-US"/>
              </w:rPr>
              <w:t>Priority No</w:t>
            </w:r>
          </w:p>
        </w:tc>
        <w:tc>
          <w:tcPr>
            <w:tcW w:w="992" w:type="dxa"/>
            <w:tcBorders>
              <w:top w:val="single" w:sz="4" w:space="0" w:color="auto"/>
              <w:left w:val="single" w:sz="4" w:space="0" w:color="auto"/>
              <w:bottom w:val="single" w:sz="4" w:space="0" w:color="auto"/>
              <w:right w:val="single" w:sz="4" w:space="0" w:color="auto"/>
            </w:tcBorders>
            <w:hideMark/>
          </w:tcPr>
          <w:p w:rsidR="00AA567F" w:rsidRPr="0000318B" w:rsidRDefault="00AA567F" w:rsidP="008239CE">
            <w:pPr>
              <w:spacing w:after="0" w:line="240" w:lineRule="auto"/>
              <w:contextualSpacing/>
              <w:rPr>
                <w:rFonts w:ascii="Times New Roman" w:hAnsi="Times New Roman" w:cs="Times New Roman"/>
                <w:b/>
                <w:iCs/>
                <w:sz w:val="20"/>
                <w:szCs w:val="20"/>
                <w:lang w:val="en-US"/>
              </w:rPr>
            </w:pPr>
            <w:r w:rsidRPr="0000318B">
              <w:rPr>
                <w:rFonts w:ascii="Times New Roman" w:hAnsi="Times New Roman" w:cs="Times New Roman"/>
                <w:b/>
                <w:iCs/>
                <w:sz w:val="20"/>
                <w:szCs w:val="20"/>
                <w:lang w:val="en-US"/>
              </w:rPr>
              <w:t>Fund</w:t>
            </w:r>
          </w:p>
        </w:tc>
        <w:tc>
          <w:tcPr>
            <w:tcW w:w="2257" w:type="dxa"/>
            <w:tcBorders>
              <w:top w:val="single" w:sz="4" w:space="0" w:color="auto"/>
              <w:left w:val="single" w:sz="4" w:space="0" w:color="auto"/>
              <w:bottom w:val="single" w:sz="4" w:space="0" w:color="auto"/>
              <w:right w:val="single" w:sz="4" w:space="0" w:color="auto"/>
            </w:tcBorders>
            <w:hideMark/>
          </w:tcPr>
          <w:p w:rsidR="00AA567F" w:rsidRPr="0000318B" w:rsidRDefault="00AA567F" w:rsidP="008239CE">
            <w:pPr>
              <w:spacing w:after="0" w:line="240" w:lineRule="auto"/>
              <w:contextualSpacing/>
              <w:rPr>
                <w:rFonts w:ascii="Times New Roman" w:hAnsi="Times New Roman" w:cs="Times New Roman"/>
                <w:b/>
                <w:iCs/>
                <w:sz w:val="20"/>
                <w:szCs w:val="20"/>
                <w:lang w:val="en-US"/>
              </w:rPr>
            </w:pPr>
            <w:r w:rsidRPr="0000318B">
              <w:rPr>
                <w:rFonts w:ascii="Times New Roman" w:hAnsi="Times New Roman" w:cs="Times New Roman"/>
                <w:b/>
                <w:iCs/>
                <w:sz w:val="20"/>
                <w:szCs w:val="20"/>
                <w:lang w:val="en-US"/>
              </w:rPr>
              <w:t>Category of region</w:t>
            </w:r>
            <w:r w:rsidRPr="0000318B">
              <w:rPr>
                <w:rFonts w:ascii="Times New Roman" w:hAnsi="Times New Roman" w:cs="Times New Roman"/>
                <w:b/>
                <w:iCs/>
                <w:sz w:val="20"/>
                <w:szCs w:val="20"/>
                <w:vertAlign w:val="superscript"/>
                <w:lang w:val="en-US"/>
              </w:rPr>
              <w:footnoteReference w:id="37"/>
            </w:r>
          </w:p>
        </w:tc>
        <w:tc>
          <w:tcPr>
            <w:tcW w:w="2815" w:type="dxa"/>
            <w:tcBorders>
              <w:top w:val="single" w:sz="4" w:space="0" w:color="auto"/>
              <w:left w:val="single" w:sz="4" w:space="0" w:color="auto"/>
              <w:bottom w:val="single" w:sz="4" w:space="0" w:color="auto"/>
              <w:right w:val="single" w:sz="4" w:space="0" w:color="auto"/>
            </w:tcBorders>
            <w:hideMark/>
          </w:tcPr>
          <w:p w:rsidR="00AA567F" w:rsidRPr="0000318B" w:rsidRDefault="00AA567F" w:rsidP="008239CE">
            <w:pPr>
              <w:spacing w:after="0" w:line="240" w:lineRule="auto"/>
              <w:contextualSpacing/>
              <w:rPr>
                <w:rFonts w:ascii="Times New Roman" w:hAnsi="Times New Roman" w:cs="Times New Roman"/>
                <w:b/>
                <w:iCs/>
                <w:sz w:val="20"/>
                <w:szCs w:val="20"/>
                <w:lang w:val="en-US"/>
              </w:rPr>
            </w:pPr>
            <w:r w:rsidRPr="0000318B">
              <w:rPr>
                <w:rFonts w:ascii="Times New Roman" w:hAnsi="Times New Roman" w:cs="Times New Roman"/>
                <w:b/>
                <w:iCs/>
                <w:sz w:val="20"/>
                <w:szCs w:val="20"/>
                <w:lang w:val="en-US"/>
              </w:rPr>
              <w:t xml:space="preserve">Code </w:t>
            </w:r>
          </w:p>
        </w:tc>
        <w:tc>
          <w:tcPr>
            <w:tcW w:w="2331" w:type="dxa"/>
            <w:tcBorders>
              <w:top w:val="single" w:sz="4" w:space="0" w:color="auto"/>
              <w:left w:val="single" w:sz="4" w:space="0" w:color="auto"/>
              <w:bottom w:val="single" w:sz="4" w:space="0" w:color="auto"/>
              <w:right w:val="single" w:sz="4" w:space="0" w:color="auto"/>
            </w:tcBorders>
            <w:hideMark/>
          </w:tcPr>
          <w:p w:rsidR="00AA567F" w:rsidRPr="0000318B" w:rsidRDefault="00AA567F" w:rsidP="008239CE">
            <w:pPr>
              <w:spacing w:after="0" w:line="240" w:lineRule="auto"/>
              <w:contextualSpacing/>
              <w:rPr>
                <w:rFonts w:ascii="Times New Roman" w:hAnsi="Times New Roman" w:cs="Times New Roman"/>
                <w:b/>
                <w:iCs/>
                <w:sz w:val="20"/>
                <w:szCs w:val="20"/>
                <w:lang w:val="en-US"/>
              </w:rPr>
            </w:pPr>
            <w:r w:rsidRPr="0000318B">
              <w:rPr>
                <w:rFonts w:ascii="Times New Roman" w:hAnsi="Times New Roman" w:cs="Times New Roman"/>
                <w:b/>
                <w:iCs/>
                <w:sz w:val="20"/>
                <w:szCs w:val="20"/>
                <w:lang w:val="en-US"/>
              </w:rPr>
              <w:t>Amount (EUR)</w:t>
            </w:r>
          </w:p>
        </w:tc>
      </w:tr>
      <w:tr w:rsidR="00AA567F" w:rsidRPr="007B330B" w:rsidTr="008239CE">
        <w:trPr>
          <w:trHeight w:val="327"/>
        </w:trPr>
        <w:tc>
          <w:tcPr>
            <w:tcW w:w="1413" w:type="dxa"/>
            <w:tcBorders>
              <w:top w:val="single" w:sz="4" w:space="0" w:color="auto"/>
              <w:left w:val="single" w:sz="4" w:space="0" w:color="auto"/>
              <w:bottom w:val="single" w:sz="4" w:space="0" w:color="auto"/>
              <w:right w:val="single" w:sz="4" w:space="0" w:color="auto"/>
            </w:tcBorders>
          </w:tcPr>
          <w:p w:rsidR="00AA567F" w:rsidRPr="007B330B" w:rsidRDefault="003D5116" w:rsidP="008239CE">
            <w:pPr>
              <w:spacing w:after="0" w:line="240" w:lineRule="auto"/>
              <w:contextualSpacing/>
              <w:rPr>
                <w:rFonts w:ascii="Times New Roman" w:hAnsi="Times New Roman" w:cs="Times New Roman"/>
                <w:iCs/>
                <w:sz w:val="20"/>
                <w:szCs w:val="20"/>
                <w:lang w:val="en-US"/>
              </w:rPr>
            </w:pPr>
            <w:r w:rsidRPr="007B330B">
              <w:rPr>
                <w:rFonts w:ascii="Times New Roman" w:hAnsi="Times New Roman" w:cs="Times New Roman"/>
                <w:iCs/>
                <w:sz w:val="20"/>
                <w:szCs w:val="20"/>
                <w:lang w:val="en-US"/>
              </w:rPr>
              <w:t>3.</w:t>
            </w:r>
          </w:p>
        </w:tc>
        <w:tc>
          <w:tcPr>
            <w:tcW w:w="992" w:type="dxa"/>
            <w:tcBorders>
              <w:top w:val="single" w:sz="4" w:space="0" w:color="auto"/>
              <w:left w:val="single" w:sz="4" w:space="0" w:color="auto"/>
              <w:bottom w:val="single" w:sz="4" w:space="0" w:color="auto"/>
              <w:right w:val="single" w:sz="4" w:space="0" w:color="auto"/>
            </w:tcBorders>
          </w:tcPr>
          <w:p w:rsidR="00AA567F" w:rsidRPr="007B330B" w:rsidRDefault="00AA567F" w:rsidP="008239CE">
            <w:pPr>
              <w:spacing w:after="0" w:line="240" w:lineRule="auto"/>
              <w:contextualSpacing/>
              <w:rPr>
                <w:rFonts w:ascii="Times New Roman" w:hAnsi="Times New Roman" w:cs="Times New Roman"/>
                <w:iCs/>
                <w:sz w:val="20"/>
                <w:szCs w:val="20"/>
                <w:lang w:val="en-US"/>
              </w:rPr>
            </w:pPr>
            <w:r w:rsidRPr="007B330B">
              <w:rPr>
                <w:rFonts w:ascii="Times New Roman" w:hAnsi="Times New Roman" w:cs="Times New Roman"/>
                <w:iCs/>
                <w:sz w:val="20"/>
                <w:szCs w:val="20"/>
                <w:lang w:val="en-US"/>
              </w:rPr>
              <w:t>FEDR</w:t>
            </w:r>
          </w:p>
        </w:tc>
        <w:tc>
          <w:tcPr>
            <w:tcW w:w="2257" w:type="dxa"/>
            <w:tcBorders>
              <w:top w:val="single" w:sz="4" w:space="0" w:color="auto"/>
              <w:left w:val="single" w:sz="4" w:space="0" w:color="auto"/>
              <w:bottom w:val="single" w:sz="4" w:space="0" w:color="auto"/>
              <w:right w:val="single" w:sz="4" w:space="0" w:color="auto"/>
            </w:tcBorders>
          </w:tcPr>
          <w:p w:rsidR="00AA567F" w:rsidRPr="007B330B" w:rsidRDefault="00AA567F" w:rsidP="008239CE">
            <w:pPr>
              <w:spacing w:after="0" w:line="240" w:lineRule="auto"/>
              <w:contextualSpacing/>
              <w:rPr>
                <w:rFonts w:ascii="Times New Roman" w:hAnsi="Times New Roman" w:cs="Times New Roman"/>
                <w:iCs/>
                <w:sz w:val="20"/>
                <w:szCs w:val="20"/>
                <w:lang w:val="en-US"/>
              </w:rPr>
            </w:pPr>
            <w:r w:rsidRPr="007B330B">
              <w:rPr>
                <w:rFonts w:ascii="Times New Roman" w:hAnsi="Times New Roman" w:cs="Times New Roman"/>
                <w:iCs/>
                <w:sz w:val="20"/>
                <w:szCs w:val="20"/>
                <w:lang w:val="en-US"/>
              </w:rPr>
              <w:t>Mai puțin dezvoltate</w:t>
            </w:r>
          </w:p>
        </w:tc>
        <w:tc>
          <w:tcPr>
            <w:tcW w:w="2815" w:type="dxa"/>
            <w:tcBorders>
              <w:top w:val="single" w:sz="4" w:space="0" w:color="auto"/>
              <w:left w:val="single" w:sz="4" w:space="0" w:color="auto"/>
              <w:bottom w:val="single" w:sz="4" w:space="0" w:color="auto"/>
              <w:right w:val="single" w:sz="4" w:space="0" w:color="auto"/>
            </w:tcBorders>
          </w:tcPr>
          <w:p w:rsidR="00AA567F" w:rsidRPr="007B330B" w:rsidRDefault="00AA567F" w:rsidP="008239CE">
            <w:pPr>
              <w:spacing w:after="0" w:line="240" w:lineRule="auto"/>
              <w:contextualSpacing/>
              <w:rPr>
                <w:rFonts w:ascii="Times New Roman" w:hAnsi="Times New Roman" w:cs="Times New Roman"/>
                <w:iCs/>
                <w:sz w:val="20"/>
                <w:szCs w:val="20"/>
                <w:lang w:val="en-US"/>
              </w:rPr>
            </w:pPr>
            <w:r w:rsidRPr="007B330B">
              <w:rPr>
                <w:rFonts w:ascii="Times New Roman" w:hAnsi="Times New Roman" w:cs="Times New Roman"/>
                <w:iCs/>
                <w:sz w:val="20"/>
                <w:szCs w:val="20"/>
                <w:lang w:val="en-US"/>
              </w:rPr>
              <w:t>01</w:t>
            </w:r>
          </w:p>
        </w:tc>
        <w:tc>
          <w:tcPr>
            <w:tcW w:w="2331" w:type="dxa"/>
            <w:tcBorders>
              <w:top w:val="single" w:sz="4" w:space="0" w:color="auto"/>
              <w:left w:val="single" w:sz="4" w:space="0" w:color="auto"/>
              <w:bottom w:val="single" w:sz="4" w:space="0" w:color="auto"/>
              <w:right w:val="single" w:sz="4" w:space="0" w:color="auto"/>
            </w:tcBorders>
          </w:tcPr>
          <w:p w:rsidR="00AA567F" w:rsidRPr="007B330B" w:rsidRDefault="00F42F0B" w:rsidP="008239CE">
            <w:pPr>
              <w:spacing w:after="0" w:line="240" w:lineRule="auto"/>
              <w:contextualSpacing/>
              <w:rPr>
                <w:rFonts w:ascii="Times New Roman" w:hAnsi="Times New Roman" w:cs="Times New Roman"/>
                <w:b/>
                <w:iCs/>
                <w:sz w:val="20"/>
                <w:szCs w:val="20"/>
                <w:lang w:val="en-US"/>
              </w:rPr>
            </w:pPr>
            <w:r w:rsidRPr="007B330B">
              <w:rPr>
                <w:rFonts w:ascii="Times New Roman" w:hAnsi="Times New Roman" w:cs="Times New Roman"/>
                <w:sz w:val="20"/>
                <w:szCs w:val="20"/>
              </w:rPr>
              <w:t>451.536.000</w:t>
            </w:r>
            <w:r w:rsidR="00AA567F" w:rsidRPr="007B330B">
              <w:rPr>
                <w:rFonts w:ascii="Times New Roman" w:hAnsi="Times New Roman" w:cs="Times New Roman"/>
                <w:sz w:val="20"/>
                <w:szCs w:val="20"/>
              </w:rPr>
              <w:t xml:space="preserve">     </w:t>
            </w:r>
          </w:p>
        </w:tc>
      </w:tr>
      <w:tr w:rsidR="00AA567F" w:rsidRPr="007B330B" w:rsidTr="008239CE">
        <w:tc>
          <w:tcPr>
            <w:tcW w:w="9808" w:type="dxa"/>
            <w:gridSpan w:val="5"/>
            <w:tcBorders>
              <w:top w:val="single" w:sz="4" w:space="0" w:color="auto"/>
              <w:left w:val="single" w:sz="4" w:space="0" w:color="auto"/>
              <w:bottom w:val="single" w:sz="4" w:space="0" w:color="auto"/>
              <w:right w:val="single" w:sz="4" w:space="0" w:color="auto"/>
            </w:tcBorders>
            <w:hideMark/>
          </w:tcPr>
          <w:p w:rsidR="00AA567F" w:rsidRPr="007B330B" w:rsidRDefault="00AA567F" w:rsidP="008239CE">
            <w:pPr>
              <w:spacing w:after="0" w:line="240" w:lineRule="auto"/>
              <w:contextualSpacing/>
              <w:rPr>
                <w:rFonts w:ascii="Times New Roman" w:hAnsi="Times New Roman" w:cs="Times New Roman"/>
                <w:b/>
                <w:iCs/>
                <w:sz w:val="20"/>
                <w:szCs w:val="20"/>
                <w:lang w:val="en-US"/>
              </w:rPr>
            </w:pPr>
          </w:p>
        </w:tc>
      </w:tr>
      <w:tr w:rsidR="00B105D0" w:rsidRPr="007B330B" w:rsidTr="009A6765">
        <w:tc>
          <w:tcPr>
            <w:tcW w:w="9808" w:type="dxa"/>
            <w:gridSpan w:val="5"/>
            <w:tcBorders>
              <w:top w:val="single" w:sz="4" w:space="0" w:color="auto"/>
              <w:left w:val="single" w:sz="4" w:space="0" w:color="auto"/>
              <w:bottom w:val="single" w:sz="4" w:space="0" w:color="auto"/>
              <w:right w:val="single" w:sz="4" w:space="0" w:color="auto"/>
            </w:tcBorders>
            <w:hideMark/>
          </w:tcPr>
          <w:p w:rsidR="00B105D0" w:rsidRPr="007B330B" w:rsidRDefault="00B105D0" w:rsidP="009A6765">
            <w:pPr>
              <w:spacing w:after="0" w:line="240" w:lineRule="auto"/>
              <w:contextualSpacing/>
              <w:rPr>
                <w:rFonts w:ascii="Times New Roman" w:hAnsi="Times New Roman" w:cs="Times New Roman"/>
                <w:b/>
                <w:iCs/>
                <w:sz w:val="20"/>
                <w:szCs w:val="20"/>
                <w:lang w:val="en-US"/>
              </w:rPr>
            </w:pPr>
          </w:p>
        </w:tc>
      </w:tr>
    </w:tbl>
    <w:p w:rsidR="00B105D0" w:rsidRPr="007B330B" w:rsidRDefault="00B105D0" w:rsidP="00B105D0">
      <w:pPr>
        <w:spacing w:after="0" w:line="240" w:lineRule="auto"/>
        <w:contextualSpacing/>
        <w:rPr>
          <w:rFonts w:ascii="Times New Roman" w:hAnsi="Times New Roman" w:cs="Times New Roman"/>
          <w:b/>
          <w:iCs/>
          <w:sz w:val="20"/>
          <w:szCs w:val="20"/>
          <w:lang w:val="en-GB"/>
        </w:rPr>
      </w:pPr>
    </w:p>
    <w:tbl>
      <w:tblPr>
        <w:tblW w:w="9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3"/>
        <w:gridCol w:w="779"/>
        <w:gridCol w:w="2228"/>
        <w:gridCol w:w="3118"/>
        <w:gridCol w:w="2322"/>
      </w:tblGrid>
      <w:tr w:rsidR="008165CD" w:rsidRPr="007B330B" w:rsidTr="008165CD">
        <w:trPr>
          <w:trHeight w:val="390"/>
        </w:trPr>
        <w:tc>
          <w:tcPr>
            <w:tcW w:w="9830" w:type="dxa"/>
            <w:gridSpan w:val="5"/>
            <w:tcBorders>
              <w:top w:val="single" w:sz="4" w:space="0" w:color="auto"/>
              <w:left w:val="single" w:sz="4" w:space="0" w:color="auto"/>
              <w:bottom w:val="single" w:sz="4" w:space="0" w:color="auto"/>
              <w:right w:val="single" w:sz="4" w:space="0" w:color="auto"/>
            </w:tcBorders>
            <w:hideMark/>
          </w:tcPr>
          <w:p w:rsidR="008165CD" w:rsidRPr="007B330B" w:rsidRDefault="008165CD" w:rsidP="008239CE">
            <w:pPr>
              <w:spacing w:after="0" w:line="240" w:lineRule="auto"/>
              <w:contextualSpacing/>
              <w:rPr>
                <w:rFonts w:ascii="Times New Roman" w:hAnsi="Times New Roman" w:cs="Times New Roman"/>
                <w:b/>
                <w:iCs/>
                <w:sz w:val="20"/>
                <w:szCs w:val="20"/>
                <w:lang w:val="en-US"/>
              </w:rPr>
            </w:pPr>
            <w:r w:rsidRPr="007B330B">
              <w:rPr>
                <w:rFonts w:ascii="Times New Roman" w:hAnsi="Times New Roman" w:cs="Times New Roman"/>
                <w:b/>
                <w:iCs/>
                <w:sz w:val="20"/>
                <w:szCs w:val="20"/>
                <w:lang w:val="en-US"/>
              </w:rPr>
              <w:t>Table 6: Dimension 3 – territorial delivery mechanism and territorial focus</w:t>
            </w:r>
          </w:p>
        </w:tc>
      </w:tr>
      <w:tr w:rsidR="008165CD" w:rsidRPr="007B330B" w:rsidTr="008239CE">
        <w:trPr>
          <w:trHeight w:val="323"/>
        </w:trPr>
        <w:tc>
          <w:tcPr>
            <w:tcW w:w="1383" w:type="dxa"/>
            <w:tcBorders>
              <w:top w:val="single" w:sz="4" w:space="0" w:color="auto"/>
              <w:left w:val="single" w:sz="4" w:space="0" w:color="auto"/>
              <w:bottom w:val="single" w:sz="4" w:space="0" w:color="auto"/>
              <w:right w:val="single" w:sz="4" w:space="0" w:color="auto"/>
            </w:tcBorders>
            <w:hideMark/>
          </w:tcPr>
          <w:p w:rsidR="008165CD" w:rsidRPr="007B330B" w:rsidRDefault="008165CD" w:rsidP="008239CE">
            <w:pPr>
              <w:spacing w:after="0" w:line="240" w:lineRule="auto"/>
              <w:contextualSpacing/>
              <w:rPr>
                <w:rFonts w:ascii="Times New Roman" w:hAnsi="Times New Roman" w:cs="Times New Roman"/>
                <w:b/>
                <w:iCs/>
                <w:sz w:val="20"/>
                <w:szCs w:val="20"/>
                <w:lang w:val="en-US"/>
              </w:rPr>
            </w:pPr>
            <w:r w:rsidRPr="007B330B">
              <w:rPr>
                <w:rFonts w:ascii="Times New Roman" w:hAnsi="Times New Roman" w:cs="Times New Roman"/>
                <w:b/>
                <w:iCs/>
                <w:sz w:val="20"/>
                <w:szCs w:val="20"/>
                <w:lang w:val="en-US"/>
              </w:rPr>
              <w:t>Priority No</w:t>
            </w:r>
          </w:p>
        </w:tc>
        <w:tc>
          <w:tcPr>
            <w:tcW w:w="779" w:type="dxa"/>
            <w:tcBorders>
              <w:top w:val="single" w:sz="4" w:space="0" w:color="auto"/>
              <w:left w:val="single" w:sz="4" w:space="0" w:color="auto"/>
              <w:bottom w:val="single" w:sz="4" w:space="0" w:color="auto"/>
              <w:right w:val="single" w:sz="4" w:space="0" w:color="auto"/>
            </w:tcBorders>
            <w:hideMark/>
          </w:tcPr>
          <w:p w:rsidR="008165CD" w:rsidRPr="007B330B" w:rsidRDefault="008165CD" w:rsidP="008239CE">
            <w:pPr>
              <w:spacing w:after="0" w:line="240" w:lineRule="auto"/>
              <w:contextualSpacing/>
              <w:rPr>
                <w:rFonts w:ascii="Times New Roman" w:hAnsi="Times New Roman" w:cs="Times New Roman"/>
                <w:b/>
                <w:iCs/>
                <w:sz w:val="20"/>
                <w:szCs w:val="20"/>
                <w:lang w:val="en-US"/>
              </w:rPr>
            </w:pPr>
            <w:r w:rsidRPr="007B330B">
              <w:rPr>
                <w:rFonts w:ascii="Times New Roman" w:hAnsi="Times New Roman" w:cs="Times New Roman"/>
                <w:b/>
                <w:iCs/>
                <w:sz w:val="20"/>
                <w:szCs w:val="20"/>
                <w:lang w:val="en-US"/>
              </w:rPr>
              <w:t>Fund</w:t>
            </w:r>
          </w:p>
        </w:tc>
        <w:tc>
          <w:tcPr>
            <w:tcW w:w="2228" w:type="dxa"/>
            <w:tcBorders>
              <w:top w:val="single" w:sz="4" w:space="0" w:color="auto"/>
              <w:left w:val="single" w:sz="4" w:space="0" w:color="auto"/>
              <w:bottom w:val="single" w:sz="4" w:space="0" w:color="auto"/>
              <w:right w:val="single" w:sz="4" w:space="0" w:color="auto"/>
            </w:tcBorders>
            <w:hideMark/>
          </w:tcPr>
          <w:p w:rsidR="008165CD" w:rsidRPr="007B330B" w:rsidRDefault="008165CD" w:rsidP="008239CE">
            <w:pPr>
              <w:spacing w:after="0" w:line="240" w:lineRule="auto"/>
              <w:contextualSpacing/>
              <w:rPr>
                <w:rFonts w:ascii="Times New Roman" w:hAnsi="Times New Roman" w:cs="Times New Roman"/>
                <w:b/>
                <w:iCs/>
                <w:sz w:val="20"/>
                <w:szCs w:val="20"/>
                <w:lang w:val="en-US"/>
              </w:rPr>
            </w:pPr>
            <w:r w:rsidRPr="007B330B">
              <w:rPr>
                <w:rFonts w:ascii="Times New Roman" w:hAnsi="Times New Roman" w:cs="Times New Roman"/>
                <w:b/>
                <w:iCs/>
                <w:sz w:val="20"/>
                <w:szCs w:val="20"/>
                <w:lang w:val="en-US"/>
              </w:rPr>
              <w:t>Category of region</w:t>
            </w:r>
            <w:r w:rsidRPr="007B330B">
              <w:rPr>
                <w:rFonts w:ascii="Times New Roman" w:hAnsi="Times New Roman" w:cs="Times New Roman"/>
                <w:b/>
                <w:iCs/>
                <w:sz w:val="20"/>
                <w:szCs w:val="20"/>
                <w:lang w:val="en-US"/>
              </w:rPr>
              <w:footnoteReference w:id="38"/>
            </w:r>
          </w:p>
        </w:tc>
        <w:tc>
          <w:tcPr>
            <w:tcW w:w="3118" w:type="dxa"/>
            <w:tcBorders>
              <w:top w:val="single" w:sz="4" w:space="0" w:color="auto"/>
              <w:left w:val="single" w:sz="4" w:space="0" w:color="auto"/>
              <w:bottom w:val="single" w:sz="4" w:space="0" w:color="auto"/>
              <w:right w:val="single" w:sz="4" w:space="0" w:color="auto"/>
            </w:tcBorders>
            <w:hideMark/>
          </w:tcPr>
          <w:p w:rsidR="008165CD" w:rsidRPr="007B330B" w:rsidRDefault="008165CD" w:rsidP="008239CE">
            <w:pPr>
              <w:spacing w:after="0" w:line="240" w:lineRule="auto"/>
              <w:contextualSpacing/>
              <w:rPr>
                <w:rFonts w:ascii="Times New Roman" w:hAnsi="Times New Roman" w:cs="Times New Roman"/>
                <w:b/>
                <w:iCs/>
                <w:sz w:val="20"/>
                <w:szCs w:val="20"/>
                <w:lang w:val="en-US"/>
              </w:rPr>
            </w:pPr>
            <w:r w:rsidRPr="007B330B">
              <w:rPr>
                <w:rFonts w:ascii="Times New Roman" w:hAnsi="Times New Roman" w:cs="Times New Roman"/>
                <w:b/>
                <w:iCs/>
                <w:sz w:val="20"/>
                <w:szCs w:val="20"/>
                <w:lang w:val="en-US"/>
              </w:rPr>
              <w:t xml:space="preserve">Code </w:t>
            </w:r>
          </w:p>
        </w:tc>
        <w:tc>
          <w:tcPr>
            <w:tcW w:w="2322" w:type="dxa"/>
            <w:tcBorders>
              <w:top w:val="single" w:sz="4" w:space="0" w:color="auto"/>
              <w:left w:val="single" w:sz="4" w:space="0" w:color="auto"/>
              <w:bottom w:val="single" w:sz="4" w:space="0" w:color="auto"/>
              <w:right w:val="single" w:sz="4" w:space="0" w:color="auto"/>
            </w:tcBorders>
            <w:hideMark/>
          </w:tcPr>
          <w:p w:rsidR="008165CD" w:rsidRPr="007B330B" w:rsidRDefault="008165CD" w:rsidP="008239CE">
            <w:pPr>
              <w:spacing w:after="0" w:line="240" w:lineRule="auto"/>
              <w:contextualSpacing/>
              <w:rPr>
                <w:rFonts w:ascii="Times New Roman" w:hAnsi="Times New Roman" w:cs="Times New Roman"/>
                <w:b/>
                <w:iCs/>
                <w:sz w:val="20"/>
                <w:szCs w:val="20"/>
                <w:lang w:val="en-US"/>
              </w:rPr>
            </w:pPr>
            <w:r w:rsidRPr="007B330B">
              <w:rPr>
                <w:rFonts w:ascii="Times New Roman" w:hAnsi="Times New Roman" w:cs="Times New Roman"/>
                <w:b/>
                <w:iCs/>
                <w:sz w:val="20"/>
                <w:szCs w:val="20"/>
                <w:lang w:val="en-US"/>
              </w:rPr>
              <w:t>Amount (EUR)</w:t>
            </w:r>
          </w:p>
        </w:tc>
      </w:tr>
      <w:tr w:rsidR="008165CD" w:rsidRPr="007B330B" w:rsidTr="008239CE">
        <w:trPr>
          <w:trHeight w:val="133"/>
        </w:trPr>
        <w:tc>
          <w:tcPr>
            <w:tcW w:w="1383" w:type="dxa"/>
            <w:tcBorders>
              <w:top w:val="single" w:sz="4" w:space="0" w:color="auto"/>
              <w:left w:val="single" w:sz="4" w:space="0" w:color="auto"/>
              <w:bottom w:val="single" w:sz="4" w:space="0" w:color="auto"/>
              <w:right w:val="single" w:sz="4" w:space="0" w:color="auto"/>
            </w:tcBorders>
          </w:tcPr>
          <w:p w:rsidR="008165CD" w:rsidRPr="007B330B" w:rsidRDefault="00F42F0B" w:rsidP="008239CE">
            <w:pPr>
              <w:spacing w:after="0" w:line="240" w:lineRule="auto"/>
              <w:contextualSpacing/>
              <w:rPr>
                <w:rFonts w:ascii="Times New Roman" w:hAnsi="Times New Roman" w:cs="Times New Roman"/>
                <w:iCs/>
                <w:sz w:val="20"/>
                <w:szCs w:val="20"/>
                <w:lang w:val="en-US"/>
              </w:rPr>
            </w:pPr>
            <w:r w:rsidRPr="007B330B">
              <w:rPr>
                <w:rFonts w:ascii="Times New Roman" w:hAnsi="Times New Roman" w:cs="Times New Roman"/>
                <w:iCs/>
                <w:sz w:val="20"/>
                <w:szCs w:val="20"/>
                <w:lang w:val="en-US"/>
              </w:rPr>
              <w:t>3.0</w:t>
            </w:r>
          </w:p>
        </w:tc>
        <w:tc>
          <w:tcPr>
            <w:tcW w:w="779" w:type="dxa"/>
            <w:tcBorders>
              <w:top w:val="single" w:sz="4" w:space="0" w:color="auto"/>
              <w:left w:val="single" w:sz="4" w:space="0" w:color="auto"/>
              <w:bottom w:val="single" w:sz="4" w:space="0" w:color="auto"/>
              <w:right w:val="single" w:sz="4" w:space="0" w:color="auto"/>
            </w:tcBorders>
          </w:tcPr>
          <w:p w:rsidR="008165CD" w:rsidRPr="007B330B" w:rsidRDefault="008165CD" w:rsidP="008239CE">
            <w:pPr>
              <w:spacing w:after="0" w:line="240" w:lineRule="auto"/>
              <w:contextualSpacing/>
              <w:rPr>
                <w:rFonts w:ascii="Times New Roman" w:hAnsi="Times New Roman" w:cs="Times New Roman"/>
                <w:iCs/>
                <w:sz w:val="20"/>
                <w:szCs w:val="20"/>
                <w:lang w:val="en-US"/>
              </w:rPr>
            </w:pPr>
            <w:r w:rsidRPr="007B330B">
              <w:rPr>
                <w:rFonts w:ascii="Times New Roman" w:hAnsi="Times New Roman" w:cs="Times New Roman"/>
                <w:iCs/>
                <w:sz w:val="20"/>
                <w:szCs w:val="20"/>
                <w:lang w:val="en-US"/>
              </w:rPr>
              <w:t>FEDR</w:t>
            </w:r>
          </w:p>
        </w:tc>
        <w:tc>
          <w:tcPr>
            <w:tcW w:w="2228" w:type="dxa"/>
            <w:tcBorders>
              <w:top w:val="single" w:sz="4" w:space="0" w:color="auto"/>
              <w:left w:val="single" w:sz="4" w:space="0" w:color="auto"/>
              <w:bottom w:val="single" w:sz="4" w:space="0" w:color="auto"/>
              <w:right w:val="single" w:sz="4" w:space="0" w:color="auto"/>
            </w:tcBorders>
          </w:tcPr>
          <w:p w:rsidR="008165CD" w:rsidRPr="007B330B" w:rsidRDefault="008165CD" w:rsidP="008239CE">
            <w:pPr>
              <w:spacing w:after="0" w:line="240" w:lineRule="auto"/>
              <w:contextualSpacing/>
              <w:rPr>
                <w:rFonts w:ascii="Times New Roman" w:hAnsi="Times New Roman" w:cs="Times New Roman"/>
                <w:iCs/>
                <w:sz w:val="20"/>
                <w:szCs w:val="20"/>
                <w:lang w:val="en-US"/>
              </w:rPr>
            </w:pPr>
            <w:r w:rsidRPr="007B330B">
              <w:rPr>
                <w:rFonts w:ascii="Times New Roman" w:hAnsi="Times New Roman" w:cs="Times New Roman"/>
                <w:iCs/>
                <w:sz w:val="20"/>
                <w:szCs w:val="20"/>
                <w:lang w:val="en-US"/>
              </w:rPr>
              <w:t>Mai puțin dezvoltate</w:t>
            </w:r>
          </w:p>
        </w:tc>
        <w:tc>
          <w:tcPr>
            <w:tcW w:w="3118" w:type="dxa"/>
            <w:tcBorders>
              <w:top w:val="single" w:sz="4" w:space="0" w:color="auto"/>
              <w:left w:val="single" w:sz="4" w:space="0" w:color="auto"/>
              <w:bottom w:val="single" w:sz="4" w:space="0" w:color="auto"/>
              <w:right w:val="single" w:sz="4" w:space="0" w:color="auto"/>
            </w:tcBorders>
          </w:tcPr>
          <w:p w:rsidR="008165CD" w:rsidRPr="007B330B" w:rsidRDefault="008165CD" w:rsidP="008239CE">
            <w:pPr>
              <w:spacing w:after="0" w:line="240" w:lineRule="auto"/>
              <w:contextualSpacing/>
              <w:rPr>
                <w:rFonts w:ascii="Times New Roman" w:hAnsi="Times New Roman" w:cs="Times New Roman"/>
                <w:iCs/>
                <w:sz w:val="20"/>
                <w:szCs w:val="20"/>
                <w:lang w:val="en-US"/>
              </w:rPr>
            </w:pPr>
            <w:r w:rsidRPr="007B330B">
              <w:rPr>
                <w:rFonts w:ascii="Times New Roman" w:hAnsi="Times New Roman" w:cs="Times New Roman"/>
                <w:iCs/>
                <w:sz w:val="20"/>
                <w:szCs w:val="20"/>
                <w:lang w:val="en-US"/>
              </w:rPr>
              <w:t>48</w:t>
            </w:r>
          </w:p>
        </w:tc>
        <w:tc>
          <w:tcPr>
            <w:tcW w:w="2322" w:type="dxa"/>
            <w:tcBorders>
              <w:top w:val="single" w:sz="4" w:space="0" w:color="auto"/>
              <w:left w:val="single" w:sz="4" w:space="0" w:color="auto"/>
              <w:bottom w:val="single" w:sz="4" w:space="0" w:color="auto"/>
              <w:right w:val="single" w:sz="4" w:space="0" w:color="auto"/>
            </w:tcBorders>
          </w:tcPr>
          <w:p w:rsidR="008165CD" w:rsidRPr="007B330B" w:rsidRDefault="008165CD" w:rsidP="008239CE">
            <w:pPr>
              <w:spacing w:after="0" w:line="240" w:lineRule="auto"/>
              <w:contextualSpacing/>
              <w:rPr>
                <w:rFonts w:ascii="Times New Roman" w:hAnsi="Times New Roman" w:cs="Times New Roman"/>
                <w:iCs/>
                <w:sz w:val="20"/>
                <w:szCs w:val="20"/>
                <w:highlight w:val="yellow"/>
                <w:lang w:val="en-US"/>
              </w:rPr>
            </w:pPr>
          </w:p>
        </w:tc>
      </w:tr>
      <w:tr w:rsidR="007B330B" w:rsidRPr="007B330B" w:rsidTr="00E95FAC">
        <w:trPr>
          <w:trHeight w:val="305"/>
        </w:trPr>
        <w:tc>
          <w:tcPr>
            <w:tcW w:w="1383" w:type="dxa"/>
            <w:tcBorders>
              <w:top w:val="single" w:sz="4" w:space="0" w:color="auto"/>
              <w:left w:val="single" w:sz="4" w:space="0" w:color="auto"/>
              <w:bottom w:val="single" w:sz="4" w:space="0" w:color="auto"/>
              <w:right w:val="single" w:sz="4" w:space="0" w:color="auto"/>
            </w:tcBorders>
          </w:tcPr>
          <w:p w:rsidR="008165CD" w:rsidRPr="007B330B" w:rsidRDefault="00F42F0B" w:rsidP="008239CE">
            <w:pPr>
              <w:spacing w:after="0" w:line="240" w:lineRule="auto"/>
              <w:contextualSpacing/>
              <w:rPr>
                <w:rFonts w:ascii="Times New Roman" w:hAnsi="Times New Roman" w:cs="Times New Roman"/>
                <w:iCs/>
                <w:sz w:val="20"/>
                <w:szCs w:val="20"/>
                <w:lang w:val="en-US"/>
              </w:rPr>
            </w:pPr>
            <w:r w:rsidRPr="007B330B">
              <w:rPr>
                <w:rFonts w:ascii="Times New Roman" w:hAnsi="Times New Roman" w:cs="Times New Roman"/>
                <w:iCs/>
                <w:sz w:val="20"/>
                <w:szCs w:val="20"/>
                <w:lang w:val="en-US"/>
              </w:rPr>
              <w:t>3.0</w:t>
            </w:r>
          </w:p>
        </w:tc>
        <w:tc>
          <w:tcPr>
            <w:tcW w:w="779" w:type="dxa"/>
            <w:tcBorders>
              <w:top w:val="single" w:sz="4" w:space="0" w:color="auto"/>
              <w:left w:val="single" w:sz="4" w:space="0" w:color="auto"/>
              <w:bottom w:val="single" w:sz="4" w:space="0" w:color="auto"/>
              <w:right w:val="single" w:sz="4" w:space="0" w:color="auto"/>
            </w:tcBorders>
          </w:tcPr>
          <w:p w:rsidR="008165CD" w:rsidRPr="007B330B" w:rsidRDefault="008165CD" w:rsidP="008239CE">
            <w:pPr>
              <w:spacing w:after="0" w:line="240" w:lineRule="auto"/>
              <w:contextualSpacing/>
              <w:rPr>
                <w:rFonts w:ascii="Times New Roman" w:hAnsi="Times New Roman" w:cs="Times New Roman"/>
                <w:iCs/>
                <w:sz w:val="20"/>
                <w:szCs w:val="20"/>
                <w:lang w:val="en-US"/>
              </w:rPr>
            </w:pPr>
            <w:r w:rsidRPr="007B330B">
              <w:rPr>
                <w:rFonts w:ascii="Times New Roman" w:hAnsi="Times New Roman" w:cs="Times New Roman"/>
                <w:iCs/>
                <w:sz w:val="20"/>
                <w:szCs w:val="20"/>
                <w:lang w:val="en-US"/>
              </w:rPr>
              <w:t>FEDR</w:t>
            </w:r>
          </w:p>
        </w:tc>
        <w:tc>
          <w:tcPr>
            <w:tcW w:w="2228" w:type="dxa"/>
            <w:tcBorders>
              <w:top w:val="single" w:sz="4" w:space="0" w:color="auto"/>
              <w:left w:val="single" w:sz="4" w:space="0" w:color="auto"/>
              <w:bottom w:val="single" w:sz="4" w:space="0" w:color="auto"/>
              <w:right w:val="single" w:sz="4" w:space="0" w:color="auto"/>
            </w:tcBorders>
          </w:tcPr>
          <w:p w:rsidR="008165CD" w:rsidRPr="007B330B" w:rsidRDefault="008165CD" w:rsidP="008239CE">
            <w:pPr>
              <w:spacing w:after="0" w:line="240" w:lineRule="auto"/>
              <w:contextualSpacing/>
              <w:rPr>
                <w:rFonts w:ascii="Times New Roman" w:hAnsi="Times New Roman" w:cs="Times New Roman"/>
                <w:iCs/>
                <w:sz w:val="20"/>
                <w:szCs w:val="20"/>
                <w:lang w:val="en-US"/>
              </w:rPr>
            </w:pPr>
            <w:r w:rsidRPr="007B330B">
              <w:rPr>
                <w:rFonts w:ascii="Times New Roman" w:hAnsi="Times New Roman" w:cs="Times New Roman"/>
                <w:iCs/>
                <w:sz w:val="20"/>
                <w:szCs w:val="20"/>
                <w:lang w:val="en-US"/>
              </w:rPr>
              <w:t>Mai puțin dezvoltate</w:t>
            </w:r>
          </w:p>
        </w:tc>
        <w:tc>
          <w:tcPr>
            <w:tcW w:w="3118" w:type="dxa"/>
            <w:tcBorders>
              <w:top w:val="single" w:sz="4" w:space="0" w:color="auto"/>
              <w:left w:val="single" w:sz="4" w:space="0" w:color="auto"/>
              <w:bottom w:val="single" w:sz="4" w:space="0" w:color="auto"/>
              <w:right w:val="single" w:sz="4" w:space="0" w:color="auto"/>
            </w:tcBorders>
          </w:tcPr>
          <w:p w:rsidR="008165CD" w:rsidRPr="007B330B" w:rsidRDefault="00F42F0B" w:rsidP="008239CE">
            <w:pPr>
              <w:spacing w:after="0" w:line="240" w:lineRule="auto"/>
              <w:contextualSpacing/>
              <w:rPr>
                <w:rFonts w:ascii="Times New Roman" w:hAnsi="Times New Roman" w:cs="Times New Roman"/>
                <w:iCs/>
                <w:sz w:val="20"/>
                <w:szCs w:val="20"/>
                <w:lang w:val="en-US"/>
              </w:rPr>
            </w:pPr>
            <w:r w:rsidRPr="007B330B">
              <w:rPr>
                <w:rFonts w:ascii="Times New Roman" w:hAnsi="Times New Roman" w:cs="Times New Roman"/>
                <w:iCs/>
                <w:sz w:val="20"/>
                <w:szCs w:val="20"/>
                <w:lang w:val="en-US"/>
              </w:rPr>
              <w:t>42</w:t>
            </w:r>
          </w:p>
        </w:tc>
        <w:tc>
          <w:tcPr>
            <w:tcW w:w="2322" w:type="dxa"/>
            <w:tcBorders>
              <w:top w:val="single" w:sz="4" w:space="0" w:color="auto"/>
              <w:left w:val="single" w:sz="4" w:space="0" w:color="auto"/>
              <w:bottom w:val="single" w:sz="4" w:space="0" w:color="auto"/>
              <w:right w:val="single" w:sz="4" w:space="0" w:color="auto"/>
            </w:tcBorders>
          </w:tcPr>
          <w:p w:rsidR="008165CD" w:rsidRPr="007B330B" w:rsidRDefault="008165CD" w:rsidP="008239CE">
            <w:pPr>
              <w:spacing w:after="0" w:line="240" w:lineRule="auto"/>
              <w:contextualSpacing/>
              <w:rPr>
                <w:rFonts w:ascii="Times New Roman" w:hAnsi="Times New Roman" w:cs="Times New Roman"/>
                <w:iCs/>
                <w:sz w:val="20"/>
                <w:szCs w:val="20"/>
                <w:highlight w:val="yellow"/>
                <w:lang w:val="en-US"/>
              </w:rPr>
            </w:pPr>
          </w:p>
        </w:tc>
      </w:tr>
      <w:tr w:rsidR="00B105D0" w:rsidRPr="0000318B" w:rsidTr="009A6765">
        <w:trPr>
          <w:trHeight w:val="390"/>
        </w:trPr>
        <w:tc>
          <w:tcPr>
            <w:tcW w:w="9830" w:type="dxa"/>
            <w:gridSpan w:val="5"/>
            <w:tcBorders>
              <w:top w:val="single" w:sz="4" w:space="0" w:color="auto"/>
              <w:left w:val="single" w:sz="4" w:space="0" w:color="auto"/>
              <w:bottom w:val="single" w:sz="4" w:space="0" w:color="auto"/>
              <w:right w:val="single" w:sz="4" w:space="0" w:color="auto"/>
            </w:tcBorders>
            <w:hideMark/>
          </w:tcPr>
          <w:p w:rsidR="00B105D0" w:rsidRPr="0000318B" w:rsidRDefault="00B105D0" w:rsidP="009A6765">
            <w:pPr>
              <w:spacing w:after="0" w:line="240" w:lineRule="auto"/>
              <w:contextualSpacing/>
              <w:rPr>
                <w:rFonts w:ascii="Times New Roman" w:hAnsi="Times New Roman" w:cs="Times New Roman"/>
                <w:b/>
                <w:iCs/>
                <w:sz w:val="20"/>
                <w:szCs w:val="20"/>
                <w:lang w:val="en-US"/>
              </w:rPr>
            </w:pPr>
            <w:r w:rsidRPr="0000318B">
              <w:rPr>
                <w:rFonts w:ascii="Times New Roman" w:hAnsi="Times New Roman" w:cs="Times New Roman"/>
                <w:b/>
                <w:iCs/>
                <w:sz w:val="20"/>
                <w:szCs w:val="20"/>
                <w:lang w:val="en-US"/>
              </w:rPr>
              <w:t>Table 6: Dimension 3 – territorial delivery mechanism and territorial focus</w:t>
            </w:r>
          </w:p>
        </w:tc>
      </w:tr>
    </w:tbl>
    <w:p w:rsidR="00B105D0" w:rsidRPr="0000318B" w:rsidRDefault="00B105D0" w:rsidP="00B105D0">
      <w:pPr>
        <w:spacing w:after="0" w:line="240" w:lineRule="auto"/>
        <w:contextualSpacing/>
        <w:rPr>
          <w:rFonts w:ascii="Times New Roman" w:hAnsi="Times New Roman" w:cs="Times New Roman"/>
          <w:b/>
          <w:iCs/>
          <w:sz w:val="20"/>
          <w:szCs w:val="20"/>
          <w:lang w:val="en-GB"/>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850"/>
        <w:gridCol w:w="2127"/>
        <w:gridCol w:w="3118"/>
        <w:gridCol w:w="2268"/>
      </w:tblGrid>
      <w:tr w:rsidR="00B105D0" w:rsidRPr="0000318B" w:rsidTr="009A6765">
        <w:trPr>
          <w:trHeight w:val="196"/>
        </w:trPr>
        <w:tc>
          <w:tcPr>
            <w:tcW w:w="9776" w:type="dxa"/>
            <w:gridSpan w:val="5"/>
            <w:tcBorders>
              <w:top w:val="single" w:sz="4" w:space="0" w:color="auto"/>
              <w:left w:val="single" w:sz="4" w:space="0" w:color="auto"/>
              <w:bottom w:val="single" w:sz="4" w:space="0" w:color="auto"/>
              <w:right w:val="single" w:sz="4" w:space="0" w:color="auto"/>
            </w:tcBorders>
            <w:hideMark/>
          </w:tcPr>
          <w:p w:rsidR="00B105D0" w:rsidRPr="007B330B" w:rsidRDefault="00B105D0" w:rsidP="009A6765">
            <w:pPr>
              <w:spacing w:after="0" w:line="240" w:lineRule="auto"/>
              <w:contextualSpacing/>
              <w:rPr>
                <w:rFonts w:ascii="Times New Roman" w:hAnsi="Times New Roman" w:cs="Times New Roman"/>
                <w:b/>
                <w:iCs/>
                <w:sz w:val="20"/>
                <w:szCs w:val="20"/>
                <w:lang w:val="en-US"/>
              </w:rPr>
            </w:pPr>
            <w:r w:rsidRPr="007B330B">
              <w:rPr>
                <w:rFonts w:ascii="Times New Roman" w:hAnsi="Times New Roman" w:cs="Times New Roman"/>
                <w:b/>
                <w:iCs/>
                <w:sz w:val="20"/>
                <w:szCs w:val="20"/>
                <w:lang w:val="en-US"/>
              </w:rPr>
              <w:t>Table 7: Dimension 6 – ESF+ secondary themes</w:t>
            </w:r>
          </w:p>
        </w:tc>
      </w:tr>
      <w:tr w:rsidR="00B105D0" w:rsidRPr="0000318B" w:rsidTr="009A6765">
        <w:trPr>
          <w:trHeight w:val="210"/>
        </w:trPr>
        <w:tc>
          <w:tcPr>
            <w:tcW w:w="1413" w:type="dxa"/>
            <w:tcBorders>
              <w:top w:val="single" w:sz="4" w:space="0" w:color="auto"/>
              <w:left w:val="single" w:sz="4" w:space="0" w:color="auto"/>
              <w:bottom w:val="single" w:sz="4" w:space="0" w:color="auto"/>
              <w:right w:val="single" w:sz="4" w:space="0" w:color="auto"/>
            </w:tcBorders>
            <w:hideMark/>
          </w:tcPr>
          <w:p w:rsidR="00B105D0" w:rsidRPr="007B330B" w:rsidRDefault="00B105D0" w:rsidP="009A6765">
            <w:pPr>
              <w:spacing w:after="0" w:line="240" w:lineRule="auto"/>
              <w:contextualSpacing/>
              <w:rPr>
                <w:rFonts w:ascii="Times New Roman" w:hAnsi="Times New Roman" w:cs="Times New Roman"/>
                <w:b/>
                <w:iCs/>
                <w:sz w:val="20"/>
                <w:szCs w:val="20"/>
                <w:lang w:val="en-US"/>
              </w:rPr>
            </w:pPr>
            <w:r w:rsidRPr="007B330B">
              <w:rPr>
                <w:rFonts w:ascii="Times New Roman" w:hAnsi="Times New Roman" w:cs="Times New Roman"/>
                <w:b/>
                <w:iCs/>
                <w:sz w:val="20"/>
                <w:szCs w:val="20"/>
                <w:lang w:val="en-US"/>
              </w:rPr>
              <w:lastRenderedPageBreak/>
              <w:t>Priority No</w:t>
            </w:r>
          </w:p>
        </w:tc>
        <w:tc>
          <w:tcPr>
            <w:tcW w:w="850" w:type="dxa"/>
            <w:tcBorders>
              <w:top w:val="single" w:sz="4" w:space="0" w:color="auto"/>
              <w:left w:val="single" w:sz="4" w:space="0" w:color="auto"/>
              <w:bottom w:val="single" w:sz="4" w:space="0" w:color="auto"/>
              <w:right w:val="single" w:sz="4" w:space="0" w:color="auto"/>
            </w:tcBorders>
            <w:hideMark/>
          </w:tcPr>
          <w:p w:rsidR="00B105D0" w:rsidRPr="007B330B" w:rsidRDefault="00B105D0" w:rsidP="009A6765">
            <w:pPr>
              <w:spacing w:after="0" w:line="240" w:lineRule="auto"/>
              <w:contextualSpacing/>
              <w:rPr>
                <w:rFonts w:ascii="Times New Roman" w:hAnsi="Times New Roman" w:cs="Times New Roman"/>
                <w:b/>
                <w:iCs/>
                <w:sz w:val="20"/>
                <w:szCs w:val="20"/>
                <w:lang w:val="en-US"/>
              </w:rPr>
            </w:pPr>
            <w:r w:rsidRPr="007B330B">
              <w:rPr>
                <w:rFonts w:ascii="Times New Roman" w:hAnsi="Times New Roman" w:cs="Times New Roman"/>
                <w:b/>
                <w:iCs/>
                <w:sz w:val="20"/>
                <w:szCs w:val="20"/>
                <w:lang w:val="en-US"/>
              </w:rPr>
              <w:t>Fund</w:t>
            </w:r>
          </w:p>
        </w:tc>
        <w:tc>
          <w:tcPr>
            <w:tcW w:w="2127" w:type="dxa"/>
            <w:tcBorders>
              <w:top w:val="single" w:sz="4" w:space="0" w:color="auto"/>
              <w:left w:val="single" w:sz="4" w:space="0" w:color="auto"/>
              <w:bottom w:val="single" w:sz="4" w:space="0" w:color="auto"/>
              <w:right w:val="single" w:sz="4" w:space="0" w:color="auto"/>
            </w:tcBorders>
            <w:hideMark/>
          </w:tcPr>
          <w:p w:rsidR="00B105D0" w:rsidRPr="007B330B" w:rsidRDefault="00B105D0" w:rsidP="009A6765">
            <w:pPr>
              <w:spacing w:after="0" w:line="240" w:lineRule="auto"/>
              <w:contextualSpacing/>
              <w:rPr>
                <w:rFonts w:ascii="Times New Roman" w:hAnsi="Times New Roman" w:cs="Times New Roman"/>
                <w:b/>
                <w:iCs/>
                <w:sz w:val="20"/>
                <w:szCs w:val="20"/>
                <w:lang w:val="en-US"/>
              </w:rPr>
            </w:pPr>
            <w:r w:rsidRPr="007B330B">
              <w:rPr>
                <w:rFonts w:ascii="Times New Roman" w:hAnsi="Times New Roman" w:cs="Times New Roman"/>
                <w:b/>
                <w:iCs/>
                <w:sz w:val="20"/>
                <w:szCs w:val="20"/>
                <w:lang w:val="en-US"/>
              </w:rPr>
              <w:t>Category of region</w:t>
            </w:r>
          </w:p>
        </w:tc>
        <w:tc>
          <w:tcPr>
            <w:tcW w:w="3118" w:type="dxa"/>
            <w:tcBorders>
              <w:top w:val="single" w:sz="4" w:space="0" w:color="auto"/>
              <w:left w:val="single" w:sz="4" w:space="0" w:color="auto"/>
              <w:bottom w:val="single" w:sz="4" w:space="0" w:color="auto"/>
              <w:right w:val="single" w:sz="4" w:space="0" w:color="auto"/>
            </w:tcBorders>
            <w:hideMark/>
          </w:tcPr>
          <w:p w:rsidR="00B105D0" w:rsidRPr="007B330B" w:rsidRDefault="00B105D0" w:rsidP="009A6765">
            <w:pPr>
              <w:spacing w:after="0" w:line="240" w:lineRule="auto"/>
              <w:contextualSpacing/>
              <w:rPr>
                <w:rFonts w:ascii="Times New Roman" w:hAnsi="Times New Roman" w:cs="Times New Roman"/>
                <w:b/>
                <w:iCs/>
                <w:sz w:val="20"/>
                <w:szCs w:val="20"/>
                <w:lang w:val="en-US"/>
              </w:rPr>
            </w:pPr>
            <w:r w:rsidRPr="007B330B">
              <w:rPr>
                <w:rFonts w:ascii="Times New Roman" w:hAnsi="Times New Roman" w:cs="Times New Roman"/>
                <w:b/>
                <w:iCs/>
                <w:sz w:val="20"/>
                <w:szCs w:val="20"/>
                <w:lang w:val="en-US"/>
              </w:rPr>
              <w:t xml:space="preserve">Code </w:t>
            </w:r>
          </w:p>
        </w:tc>
        <w:tc>
          <w:tcPr>
            <w:tcW w:w="2268" w:type="dxa"/>
            <w:tcBorders>
              <w:top w:val="single" w:sz="4" w:space="0" w:color="auto"/>
              <w:left w:val="single" w:sz="4" w:space="0" w:color="auto"/>
              <w:bottom w:val="single" w:sz="4" w:space="0" w:color="auto"/>
              <w:right w:val="single" w:sz="4" w:space="0" w:color="auto"/>
            </w:tcBorders>
            <w:hideMark/>
          </w:tcPr>
          <w:p w:rsidR="00B105D0" w:rsidRPr="007B330B" w:rsidRDefault="00B105D0" w:rsidP="009A6765">
            <w:pPr>
              <w:spacing w:after="0" w:line="240" w:lineRule="auto"/>
              <w:contextualSpacing/>
              <w:rPr>
                <w:rFonts w:ascii="Times New Roman" w:hAnsi="Times New Roman" w:cs="Times New Roman"/>
                <w:b/>
                <w:iCs/>
                <w:sz w:val="20"/>
                <w:szCs w:val="20"/>
                <w:lang w:val="en-US"/>
              </w:rPr>
            </w:pPr>
            <w:r w:rsidRPr="007B330B">
              <w:rPr>
                <w:rFonts w:ascii="Times New Roman" w:hAnsi="Times New Roman" w:cs="Times New Roman"/>
                <w:b/>
                <w:iCs/>
                <w:sz w:val="20"/>
                <w:szCs w:val="20"/>
                <w:lang w:val="en-US"/>
              </w:rPr>
              <w:t>Amount (EUR)</w:t>
            </w:r>
          </w:p>
        </w:tc>
      </w:tr>
      <w:tr w:rsidR="00B105D0" w:rsidRPr="0000318B" w:rsidTr="009A6765">
        <w:trPr>
          <w:trHeight w:val="227"/>
        </w:trPr>
        <w:tc>
          <w:tcPr>
            <w:tcW w:w="1413" w:type="dxa"/>
            <w:tcBorders>
              <w:top w:val="single" w:sz="4" w:space="0" w:color="auto"/>
              <w:left w:val="single" w:sz="4" w:space="0" w:color="auto"/>
              <w:bottom w:val="single" w:sz="4" w:space="0" w:color="auto"/>
              <w:right w:val="single" w:sz="4" w:space="0" w:color="auto"/>
            </w:tcBorders>
          </w:tcPr>
          <w:p w:rsidR="00B105D0" w:rsidRPr="007B330B" w:rsidRDefault="00B105D0" w:rsidP="009A6765">
            <w:pPr>
              <w:spacing w:after="0" w:line="240" w:lineRule="auto"/>
              <w:contextualSpacing/>
              <w:rPr>
                <w:rFonts w:ascii="Times New Roman" w:hAnsi="Times New Roman" w:cs="Times New Roman"/>
                <w:iCs/>
                <w:sz w:val="20"/>
                <w:szCs w:val="20"/>
                <w:lang w:val="en-US"/>
              </w:rPr>
            </w:pPr>
          </w:p>
        </w:tc>
        <w:tc>
          <w:tcPr>
            <w:tcW w:w="850" w:type="dxa"/>
            <w:tcBorders>
              <w:top w:val="single" w:sz="4" w:space="0" w:color="auto"/>
              <w:left w:val="single" w:sz="4" w:space="0" w:color="auto"/>
              <w:bottom w:val="single" w:sz="4" w:space="0" w:color="auto"/>
              <w:right w:val="single" w:sz="4" w:space="0" w:color="auto"/>
            </w:tcBorders>
          </w:tcPr>
          <w:p w:rsidR="00B105D0" w:rsidRPr="007B330B" w:rsidRDefault="00B105D0" w:rsidP="009A6765">
            <w:pPr>
              <w:spacing w:after="0" w:line="240" w:lineRule="auto"/>
              <w:contextualSpacing/>
              <w:rPr>
                <w:rFonts w:ascii="Times New Roman" w:hAnsi="Times New Roman" w:cs="Times New Roman"/>
                <w:iCs/>
                <w:sz w:val="20"/>
                <w:szCs w:val="20"/>
                <w:lang w:val="en-US"/>
              </w:rPr>
            </w:pPr>
          </w:p>
        </w:tc>
        <w:tc>
          <w:tcPr>
            <w:tcW w:w="2127" w:type="dxa"/>
            <w:tcBorders>
              <w:top w:val="single" w:sz="4" w:space="0" w:color="auto"/>
              <w:left w:val="single" w:sz="4" w:space="0" w:color="auto"/>
              <w:bottom w:val="single" w:sz="4" w:space="0" w:color="auto"/>
              <w:right w:val="single" w:sz="4" w:space="0" w:color="auto"/>
            </w:tcBorders>
          </w:tcPr>
          <w:p w:rsidR="00B105D0" w:rsidRPr="007B330B" w:rsidRDefault="00B105D0" w:rsidP="009A6765">
            <w:pPr>
              <w:spacing w:after="0" w:line="240" w:lineRule="auto"/>
              <w:contextualSpacing/>
              <w:rPr>
                <w:rFonts w:ascii="Times New Roman" w:hAnsi="Times New Roman" w:cs="Times New Roman"/>
                <w:iCs/>
                <w:sz w:val="20"/>
                <w:szCs w:val="20"/>
                <w:lang w:val="en-US"/>
              </w:rPr>
            </w:pPr>
          </w:p>
        </w:tc>
        <w:tc>
          <w:tcPr>
            <w:tcW w:w="3118" w:type="dxa"/>
            <w:tcBorders>
              <w:top w:val="single" w:sz="4" w:space="0" w:color="auto"/>
              <w:left w:val="single" w:sz="4" w:space="0" w:color="auto"/>
              <w:bottom w:val="single" w:sz="4" w:space="0" w:color="auto"/>
              <w:right w:val="single" w:sz="4" w:space="0" w:color="auto"/>
            </w:tcBorders>
          </w:tcPr>
          <w:p w:rsidR="00B105D0" w:rsidRPr="007B330B" w:rsidRDefault="00B105D0" w:rsidP="009A6765">
            <w:pPr>
              <w:spacing w:after="0" w:line="240" w:lineRule="auto"/>
              <w:contextualSpacing/>
              <w:rPr>
                <w:rFonts w:ascii="Times New Roman" w:hAnsi="Times New Roman" w:cs="Times New Roman"/>
                <w:iCs/>
                <w:sz w:val="20"/>
                <w:szCs w:val="20"/>
                <w:lang w:val="en-US"/>
              </w:rPr>
            </w:pPr>
          </w:p>
        </w:tc>
        <w:tc>
          <w:tcPr>
            <w:tcW w:w="2268" w:type="dxa"/>
            <w:tcBorders>
              <w:top w:val="single" w:sz="4" w:space="0" w:color="auto"/>
              <w:left w:val="single" w:sz="4" w:space="0" w:color="auto"/>
              <w:bottom w:val="single" w:sz="4" w:space="0" w:color="auto"/>
              <w:right w:val="single" w:sz="4" w:space="0" w:color="auto"/>
            </w:tcBorders>
          </w:tcPr>
          <w:p w:rsidR="00B105D0" w:rsidRPr="007B330B" w:rsidRDefault="00B105D0" w:rsidP="009A6765">
            <w:pPr>
              <w:spacing w:after="0" w:line="240" w:lineRule="auto"/>
              <w:contextualSpacing/>
              <w:rPr>
                <w:rFonts w:ascii="Times New Roman" w:hAnsi="Times New Roman" w:cs="Times New Roman"/>
                <w:iCs/>
                <w:color w:val="C00000"/>
                <w:sz w:val="20"/>
                <w:szCs w:val="20"/>
                <w:lang w:val="en-US"/>
              </w:rPr>
            </w:pPr>
          </w:p>
        </w:tc>
      </w:tr>
    </w:tbl>
    <w:p w:rsidR="009A6765" w:rsidRDefault="006169A6" w:rsidP="009A6765">
      <w:pPr>
        <w:spacing w:before="240" w:after="240" w:line="360" w:lineRule="auto"/>
        <w:rPr>
          <w:rFonts w:ascii="Times New Roman" w:eastAsia="Times New Roman" w:hAnsi="Times New Roman" w:cs="Times New Roman"/>
          <w:b/>
          <w:iCs/>
          <w:noProof/>
          <w:sz w:val="24"/>
          <w:szCs w:val="24"/>
          <w:lang w:val="en-GB"/>
        </w:rPr>
      </w:pPr>
      <w:r w:rsidRPr="006B6325">
        <w:rPr>
          <w:rFonts w:ascii="Times New Roman" w:eastAsia="Times New Roman" w:hAnsi="Times New Roman" w:cs="Times New Roman"/>
          <w:b/>
          <w:iCs/>
          <w:noProof/>
          <w:sz w:val="24"/>
          <w:szCs w:val="24"/>
          <w:lang w:val="en-GB"/>
        </w:rPr>
        <w:t>2.A.3 Specific objective</w:t>
      </w:r>
      <w:r w:rsidRPr="006B6325">
        <w:rPr>
          <w:rFonts w:ascii="Times New Roman" w:eastAsia="Times New Roman" w:hAnsi="Times New Roman" w:cs="Times New Roman"/>
          <w:b/>
          <w:bCs/>
          <w:iCs/>
          <w:noProof/>
          <w:sz w:val="24"/>
          <w:szCs w:val="24"/>
          <w:vertAlign w:val="superscript"/>
          <w:lang w:val="en-GB"/>
        </w:rPr>
        <w:footnoteReference w:id="39"/>
      </w:r>
      <w:r w:rsidRPr="006B6325">
        <w:rPr>
          <w:rFonts w:ascii="Times New Roman" w:eastAsia="Times New Roman" w:hAnsi="Times New Roman" w:cs="Times New Roman"/>
          <w:b/>
          <w:iCs/>
          <w:noProof/>
          <w:sz w:val="24"/>
          <w:szCs w:val="24"/>
          <w:lang w:val="en-GB"/>
        </w:rPr>
        <w:t xml:space="preserve"> (Investment for Jobs and Growth goal) repeated for each selected specific objective for priorities other than technical assistance</w:t>
      </w:r>
    </w:p>
    <w:p w:rsidR="009A6765" w:rsidRDefault="002A4A5B" w:rsidP="009A6765">
      <w:pPr>
        <w:spacing w:before="240" w:after="240" w:line="360" w:lineRule="auto"/>
        <w:rPr>
          <w:rFonts w:ascii="Times New Roman" w:eastAsia="Times New Roman" w:hAnsi="Times New Roman" w:cs="Times New Roman"/>
          <w:b/>
          <w:iCs/>
          <w:noProof/>
          <w:sz w:val="24"/>
          <w:szCs w:val="24"/>
          <w:lang w:val="en-GB"/>
        </w:rPr>
      </w:pPr>
      <w:r w:rsidRPr="00662466">
        <w:rPr>
          <w:rFonts w:ascii="Times New Roman" w:hAnsi="Times New Roman" w:cs="Times New Roman"/>
          <w:b/>
          <w:color w:val="002060"/>
          <w:sz w:val="24"/>
          <w:szCs w:val="24"/>
          <w:lang w:val="en-US"/>
        </w:rPr>
        <w:t>OS 1b (i) Promovarea eficienței energetice și reducerea emisiilor de gaze cu efect de seră</w:t>
      </w:r>
    </w:p>
    <w:p w:rsidR="006169A6" w:rsidRPr="006B6325" w:rsidRDefault="006169A6" w:rsidP="006169A6">
      <w:pPr>
        <w:spacing w:after="0" w:line="240" w:lineRule="auto"/>
        <w:rPr>
          <w:rFonts w:ascii="Times New Roman" w:eastAsia="Times New Roman" w:hAnsi="Times New Roman" w:cs="Times New Roman"/>
          <w:b/>
          <w:iCs/>
          <w:noProof/>
          <w:sz w:val="24"/>
          <w:szCs w:val="24"/>
          <w:lang w:val="en-GB"/>
        </w:rPr>
      </w:pPr>
      <w:r w:rsidRPr="006B6325">
        <w:rPr>
          <w:rFonts w:ascii="Times New Roman" w:eastAsia="Times New Roman" w:hAnsi="Times New Roman" w:cs="Times New Roman"/>
          <w:b/>
          <w:iCs/>
          <w:noProof/>
          <w:sz w:val="24"/>
          <w:szCs w:val="24"/>
          <w:lang w:val="en-GB"/>
        </w:rPr>
        <w:t>2.A.3.1 Interventions of the Funds</w:t>
      </w:r>
    </w:p>
    <w:p w:rsidR="006169A6" w:rsidRPr="0040005B" w:rsidRDefault="006169A6" w:rsidP="006169A6">
      <w:pPr>
        <w:spacing w:after="0" w:line="240" w:lineRule="auto"/>
        <w:rPr>
          <w:rFonts w:ascii="Times New Roman" w:eastAsia="Times New Roman" w:hAnsi="Times New Roman" w:cs="Times New Roman"/>
          <w:i/>
          <w:noProof/>
          <w:sz w:val="24"/>
          <w:szCs w:val="24"/>
          <w:lang w:val="en-GB"/>
        </w:rPr>
      </w:pPr>
      <w:r w:rsidRPr="0040005B">
        <w:rPr>
          <w:rFonts w:ascii="Times New Roman" w:eastAsia="Times New Roman" w:hAnsi="Times New Roman" w:cs="Times New Roman"/>
          <w:i/>
          <w:noProof/>
          <w:sz w:val="24"/>
          <w:szCs w:val="24"/>
          <w:lang w:val="en-GB"/>
        </w:rPr>
        <w:t>Reference: Article 17(3)(d)(i),(iii),(iv),(v),(vi);</w:t>
      </w:r>
    </w:p>
    <w:p w:rsidR="006169A6" w:rsidRPr="006B6325" w:rsidRDefault="006169A6" w:rsidP="006169A6">
      <w:pPr>
        <w:bidi/>
        <w:spacing w:after="0" w:line="240" w:lineRule="auto"/>
        <w:jc w:val="right"/>
        <w:rPr>
          <w:rFonts w:ascii="Times New Roman" w:eastAsia="Times New Roman" w:hAnsi="Times New Roman" w:cs="Times New Roman"/>
          <w:i/>
          <w:noProof/>
          <w:sz w:val="24"/>
          <w:szCs w:val="24"/>
          <w:lang w:val="en-GB"/>
        </w:rPr>
      </w:pPr>
      <w:r w:rsidRPr="0040005B">
        <w:rPr>
          <w:rFonts w:ascii="Times New Roman" w:eastAsia="Times New Roman" w:hAnsi="Times New Roman" w:cs="Times New Roman"/>
          <w:i/>
          <w:noProof/>
          <w:sz w:val="24"/>
          <w:szCs w:val="24"/>
          <w:lang w:val="en-GB"/>
        </w:rPr>
        <w:t>The related types of actions – Article 17(3)(d)(i) CPR; Article 6(2) ESF</w:t>
      </w:r>
      <w:r w:rsidRPr="00F273D0">
        <w:rPr>
          <w:rFonts w:ascii="Times New Roman" w:eastAsia="Times New Roman" w:hAnsi="Times New Roman" w:cs="Times New Roman"/>
          <w:i/>
          <w:noProof/>
          <w:sz w:val="24"/>
          <w:szCs w:val="24"/>
          <w:lang w:val="en-GB"/>
        </w:rPr>
        <w:t>+</w:t>
      </w:r>
    </w:p>
    <w:p w:rsidR="006169A6" w:rsidRPr="006B6325" w:rsidRDefault="006169A6" w:rsidP="006169A6">
      <w:pPr>
        <w:bidi/>
        <w:spacing w:after="0" w:line="240" w:lineRule="auto"/>
        <w:jc w:val="center"/>
        <w:rPr>
          <w:rFonts w:ascii="Times New Roman" w:hAnsi="Times New Roman" w:cs="Times New Roman"/>
          <w:rtl/>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tblGrid>
      <w:tr w:rsidR="006169A6" w:rsidRPr="006B6325" w:rsidTr="00B105D0">
        <w:tc>
          <w:tcPr>
            <w:tcW w:w="9776" w:type="dxa"/>
            <w:tcBorders>
              <w:top w:val="single" w:sz="4" w:space="0" w:color="auto"/>
              <w:left w:val="single" w:sz="4" w:space="0" w:color="auto"/>
              <w:bottom w:val="single" w:sz="4" w:space="0" w:color="auto"/>
              <w:right w:val="single" w:sz="4" w:space="0" w:color="auto"/>
            </w:tcBorders>
            <w:hideMark/>
          </w:tcPr>
          <w:p w:rsidR="00896500" w:rsidRDefault="00896500" w:rsidP="0014333D">
            <w:pPr>
              <w:spacing w:after="0" w:line="240" w:lineRule="auto"/>
              <w:jc w:val="both"/>
              <w:rPr>
                <w:rFonts w:ascii="Times New Roman" w:hAnsi="Times New Roman" w:cs="Times New Roman"/>
                <w:b/>
                <w:sz w:val="20"/>
                <w:szCs w:val="20"/>
              </w:rPr>
            </w:pPr>
          </w:p>
          <w:p w:rsidR="009B6A74" w:rsidRPr="00A13412" w:rsidRDefault="009B6A74" w:rsidP="009B6A74">
            <w:pPr>
              <w:bidi/>
              <w:spacing w:after="0" w:line="240" w:lineRule="auto"/>
              <w:jc w:val="right"/>
              <w:rPr>
                <w:rFonts w:ascii="Times New Roman" w:hAnsi="Times New Roman" w:cs="Times New Roman"/>
                <w:b/>
                <w:i/>
                <w:color w:val="17365D" w:themeColor="text2" w:themeShade="BF"/>
              </w:rPr>
            </w:pPr>
            <w:r w:rsidRPr="0049177D">
              <w:rPr>
                <w:rFonts w:ascii="Times New Roman" w:hAnsi="Times New Roman" w:cs="Times New Roman"/>
                <w:b/>
                <w:i/>
                <w:color w:val="17365D" w:themeColor="text2" w:themeShade="BF"/>
              </w:rPr>
              <w:t>Promovarea eficienței energetice și reducerea emisiilor de gaze cu efect de seră</w:t>
            </w:r>
          </w:p>
          <w:p w:rsidR="009B6A74" w:rsidRPr="00A13412" w:rsidRDefault="009B6A74" w:rsidP="009B6A74">
            <w:pPr>
              <w:spacing w:after="0" w:line="240" w:lineRule="auto"/>
              <w:jc w:val="both"/>
              <w:rPr>
                <w:rFonts w:ascii="Times New Roman" w:hAnsi="Times New Roman" w:cs="Times New Roman"/>
                <w:b/>
                <w:sz w:val="20"/>
                <w:szCs w:val="20"/>
              </w:rPr>
            </w:pPr>
          </w:p>
          <w:p w:rsidR="00B105D0" w:rsidRPr="0000318B" w:rsidRDefault="00B105D0" w:rsidP="00B105D0">
            <w:pPr>
              <w:spacing w:after="0" w:line="240" w:lineRule="auto"/>
              <w:contextualSpacing/>
              <w:jc w:val="both"/>
              <w:rPr>
                <w:rFonts w:ascii="Times New Roman" w:hAnsi="Times New Roman" w:cs="Times New Roman"/>
                <w:noProof/>
                <w:sz w:val="20"/>
                <w:szCs w:val="20"/>
              </w:rPr>
            </w:pPr>
            <w:r w:rsidRPr="0000318B">
              <w:rPr>
                <w:rFonts w:ascii="Times New Roman" w:hAnsi="Times New Roman" w:cs="Times New Roman"/>
                <w:sz w:val="20"/>
                <w:szCs w:val="20"/>
              </w:rPr>
              <w:t xml:space="preserve">Creșterea eficienței energetice a clădirilor publice și rezidențiale, renovarea fondului construit și eficientizarea serviciilor de iluminat contribuie la reducerea emisiilor de gaze cu efect de seră de la nivelul  Regiunii Centru, fiind priorități regionale identificate în </w:t>
            </w:r>
            <w:r w:rsidR="003848AB">
              <w:rPr>
                <w:rFonts w:ascii="Times New Roman" w:hAnsi="Times New Roman" w:cs="Times New Roman"/>
                <w:sz w:val="20"/>
                <w:szCs w:val="20"/>
              </w:rPr>
              <w:t>DS</w:t>
            </w:r>
            <w:r>
              <w:rPr>
                <w:rFonts w:ascii="Times New Roman" w:hAnsi="Times New Roman" w:cs="Times New Roman"/>
                <w:sz w:val="20"/>
                <w:szCs w:val="20"/>
              </w:rPr>
              <w:t xml:space="preserve"> 4 al PDR Centru. </w:t>
            </w:r>
            <w:r w:rsidRPr="0000318B">
              <w:rPr>
                <w:rFonts w:ascii="Times New Roman" w:hAnsi="Times New Roman" w:cs="Times New Roman"/>
                <w:sz w:val="20"/>
                <w:szCs w:val="20"/>
              </w:rPr>
              <w:t xml:space="preserve">Aceste priorități sunt în concordanță cu obiectivele politicilor europene și naționale în ceea ce privește eficiența energetică și schimbările climatice și reducerii emisiilor de gaze cu efect de seră. </w:t>
            </w:r>
            <w:r w:rsidRPr="0000318B">
              <w:rPr>
                <w:rFonts w:ascii="Times New Roman" w:eastAsia="Times New Roman" w:hAnsi="Times New Roman" w:cs="Times New Roman"/>
                <w:iCs/>
                <w:noProof/>
                <w:sz w:val="20"/>
                <w:szCs w:val="20"/>
              </w:rPr>
              <w:t>Conform statisticilor INSSE</w:t>
            </w:r>
            <w:r w:rsidRPr="0000318B">
              <w:rPr>
                <w:rFonts w:ascii="Times New Roman" w:eastAsia="Times New Roman" w:hAnsi="Times New Roman" w:cs="Times New Roman"/>
                <w:iCs/>
                <w:noProof/>
                <w:sz w:val="20"/>
                <w:szCs w:val="20"/>
                <w:vertAlign w:val="superscript"/>
              </w:rPr>
              <w:footnoteReference w:id="40"/>
            </w:r>
            <w:r w:rsidRPr="0000318B">
              <w:rPr>
                <w:rFonts w:ascii="Times New Roman" w:eastAsia="Times New Roman" w:hAnsi="Times New Roman" w:cs="Times New Roman"/>
                <w:iCs/>
                <w:noProof/>
                <w:sz w:val="20"/>
                <w:szCs w:val="20"/>
              </w:rPr>
              <w:t xml:space="preserve">, în anul 2018, în Regiunea Centru erau cca 10,51 milioane locuințe, 98% din dintre acestea fiind în proprietate privată și 59,5% dintre acestea fiind în mediul urban. Recensământul populației şi locuințelor 2011 arată că din totalul locuințelor recenzate la nivel național, 89,3% fuseseră construite înainte de anul 2000. </w:t>
            </w:r>
            <w:r w:rsidRPr="0000318B">
              <w:rPr>
                <w:rFonts w:ascii="Times New Roman" w:hAnsi="Times New Roman" w:cs="Times New Roman"/>
                <w:noProof/>
                <w:sz w:val="20"/>
                <w:szCs w:val="20"/>
              </w:rPr>
              <w:t xml:space="preserve">Aproximativ 53 % din clădirile rezidențiale au fost construite înainte de 1970 și peste 90 % înainte de 1989, toate având o performanță energetică slabă. Iluminatul public reprezintă un alt sector important cu potențial mare pentru îmbunătățirea eficienței energetice. În ciuda potențialului mare de economisire în acest sector, ritmul de modernizare a infrastructurii și a serviciului de iluminat public de la nivel regional este lent, iar gradul de  acoperire a municipalităților cu serviciul de iluminat public este scăzut, inclusiv în municipiile reședințe de județ, iar extinderea / modernizarea infrastructurii de iluminat și de servicii rămâne o prioritate pentru multe comunități locale urbane. </w:t>
            </w:r>
          </w:p>
          <w:p w:rsidR="00B105D0" w:rsidRPr="0000318B" w:rsidRDefault="00B105D0" w:rsidP="00B105D0">
            <w:pPr>
              <w:spacing w:after="0" w:line="240" w:lineRule="auto"/>
              <w:contextualSpacing/>
              <w:jc w:val="both"/>
              <w:rPr>
                <w:rFonts w:ascii="Times New Roman" w:hAnsi="Times New Roman" w:cs="Times New Roman"/>
                <w:b/>
                <w:color w:val="002060"/>
                <w:sz w:val="20"/>
                <w:szCs w:val="20"/>
                <w:lang w:val="en-US"/>
              </w:rPr>
            </w:pPr>
            <w:r w:rsidRPr="0000318B">
              <w:rPr>
                <w:rFonts w:ascii="Times New Roman" w:hAnsi="Times New Roman" w:cs="Times New Roman"/>
                <w:b/>
                <w:color w:val="002060"/>
                <w:sz w:val="20"/>
                <w:szCs w:val="20"/>
                <w:lang w:val="en-US"/>
              </w:rPr>
              <w:t>Actiuni prioritare:</w:t>
            </w:r>
          </w:p>
          <w:p w:rsidR="00B105D0" w:rsidRPr="0000318B" w:rsidRDefault="00B105D0" w:rsidP="00B105D0">
            <w:pPr>
              <w:spacing w:after="0" w:line="240" w:lineRule="auto"/>
              <w:contextualSpacing/>
              <w:jc w:val="both"/>
              <w:rPr>
                <w:rFonts w:ascii="Times New Roman" w:hAnsi="Times New Roman" w:cs="Times New Roman"/>
                <w:b/>
                <w:sz w:val="20"/>
                <w:szCs w:val="20"/>
              </w:rPr>
            </w:pPr>
          </w:p>
          <w:p w:rsidR="00B105D0" w:rsidRPr="0000318B" w:rsidRDefault="00B105D0" w:rsidP="00B105D0">
            <w:pPr>
              <w:spacing w:after="0" w:line="240" w:lineRule="auto"/>
              <w:contextualSpacing/>
              <w:jc w:val="both"/>
              <w:rPr>
                <w:rFonts w:ascii="Times New Roman" w:hAnsi="Times New Roman" w:cs="Times New Roman"/>
                <w:b/>
                <w:sz w:val="20"/>
                <w:szCs w:val="20"/>
              </w:rPr>
            </w:pPr>
            <w:r w:rsidRPr="0000318B">
              <w:rPr>
                <w:rFonts w:ascii="Times New Roman" w:hAnsi="Times New Roman" w:cs="Times New Roman"/>
                <w:b/>
                <w:sz w:val="20"/>
                <w:szCs w:val="20"/>
              </w:rPr>
              <w:t xml:space="preserve"> Acț</w:t>
            </w:r>
            <w:r w:rsidRPr="0000318B">
              <w:rPr>
                <w:rFonts w:ascii="Times New Roman" w:hAnsi="Times New Roman" w:cs="Times New Roman"/>
                <w:b/>
                <w:sz w:val="20"/>
                <w:szCs w:val="20"/>
                <w:lang w:val="en-GB"/>
              </w:rPr>
              <w:t>iunea</w:t>
            </w:r>
            <w:r w:rsidRPr="0000318B">
              <w:rPr>
                <w:rFonts w:ascii="Times New Roman" w:hAnsi="Times New Roman" w:cs="Times New Roman"/>
                <w:b/>
                <w:sz w:val="20"/>
                <w:szCs w:val="20"/>
              </w:rPr>
              <w:t xml:space="preserve"> 3.1. Renovarea fondului construit regional (clădiri rezidențiale și nerezidențiale, publice și private) sisteme de iluminat eficiente energetic, proiecte de demonstrare și măsuri de sprijin ce contribuie la creșterea eficienței energetice în Regiunea Centru</w:t>
            </w:r>
          </w:p>
          <w:p w:rsidR="00B105D0" w:rsidRPr="0000318B" w:rsidRDefault="00B105D0" w:rsidP="00B105D0">
            <w:pPr>
              <w:spacing w:after="0" w:line="240" w:lineRule="auto"/>
              <w:contextualSpacing/>
              <w:jc w:val="both"/>
              <w:rPr>
                <w:rFonts w:ascii="Times New Roman" w:hAnsi="Times New Roman" w:cs="Times New Roman"/>
                <w:b/>
                <w:sz w:val="20"/>
                <w:szCs w:val="20"/>
              </w:rPr>
            </w:pPr>
          </w:p>
          <w:p w:rsidR="00D75BF8" w:rsidRPr="00D75BF8" w:rsidRDefault="00D75BF8" w:rsidP="00D75BF8">
            <w:pPr>
              <w:autoSpaceDE w:val="0"/>
              <w:autoSpaceDN w:val="0"/>
              <w:jc w:val="both"/>
              <w:rPr>
                <w:rFonts w:ascii="Times New Roman" w:hAnsi="Times New Roman" w:cs="Times New Roman"/>
                <w:i/>
                <w:iCs/>
                <w:sz w:val="20"/>
                <w:szCs w:val="20"/>
              </w:rPr>
            </w:pPr>
            <w:r w:rsidRPr="00D75BF8">
              <w:rPr>
                <w:rFonts w:ascii="Times New Roman" w:hAnsi="Times New Roman" w:cs="Times New Roman"/>
                <w:i/>
                <w:iCs/>
                <w:sz w:val="20"/>
                <w:szCs w:val="20"/>
              </w:rPr>
              <w:t>Operațiuni  cu caracter orientativ:</w:t>
            </w:r>
          </w:p>
          <w:p w:rsidR="00D75BF8" w:rsidRPr="00D75BF8" w:rsidRDefault="00D75BF8" w:rsidP="00D75BF8">
            <w:pPr>
              <w:pStyle w:val="Listparagraf"/>
              <w:numPr>
                <w:ilvl w:val="0"/>
                <w:numId w:val="75"/>
              </w:numPr>
              <w:autoSpaceDE w:val="0"/>
              <w:autoSpaceDN w:val="0"/>
              <w:spacing w:before="0" w:after="0" w:line="240" w:lineRule="auto"/>
              <w:jc w:val="both"/>
              <w:rPr>
                <w:b/>
                <w:bCs/>
                <w:i/>
                <w:iCs/>
                <w:sz w:val="20"/>
                <w:szCs w:val="20"/>
                <w:lang w:val="ro-RO"/>
              </w:rPr>
            </w:pPr>
            <w:r w:rsidRPr="00D75BF8">
              <w:rPr>
                <w:b/>
                <w:bCs/>
                <w:i/>
                <w:iCs/>
                <w:sz w:val="20"/>
                <w:szCs w:val="20"/>
                <w:lang w:val="ro-RO"/>
              </w:rPr>
              <w:t xml:space="preserve">sprijin </w:t>
            </w:r>
            <w:r w:rsidRPr="00D75BF8">
              <w:rPr>
                <w:i/>
                <w:iCs/>
                <w:sz w:val="20"/>
                <w:szCs w:val="20"/>
                <w:lang w:val="ro-RO"/>
              </w:rPr>
              <w:t xml:space="preserve">în vederea </w:t>
            </w:r>
            <w:r w:rsidRPr="00D75BF8">
              <w:rPr>
                <w:b/>
                <w:bCs/>
                <w:i/>
                <w:iCs/>
                <w:sz w:val="20"/>
                <w:szCs w:val="20"/>
                <w:lang w:val="ro-RO"/>
              </w:rPr>
              <w:t>asigurării/ îmbunătățirii eficienței energetice a clădirilor rezidențiale din Regiunea Centru</w:t>
            </w:r>
            <w:r w:rsidRPr="00D75BF8">
              <w:rPr>
                <w:i/>
                <w:iCs/>
                <w:sz w:val="20"/>
                <w:szCs w:val="20"/>
                <w:lang w:val="ro-RO"/>
              </w:rPr>
              <w:t xml:space="preserve">, inclusiv măsuri de consolidare structurală în funcție de nivelul de expunere și vulnerabilitate la riscurile identificate, </w:t>
            </w:r>
            <w:r w:rsidRPr="00D75BF8">
              <w:rPr>
                <w:b/>
                <w:bCs/>
                <w:i/>
                <w:iCs/>
                <w:sz w:val="20"/>
                <w:szCs w:val="20"/>
                <w:lang w:val="ro-RO"/>
              </w:rPr>
              <w:t>proiecte de demonstrare</w:t>
            </w:r>
            <w:r w:rsidRPr="00D75BF8">
              <w:rPr>
                <w:i/>
                <w:iCs/>
                <w:sz w:val="20"/>
                <w:szCs w:val="20"/>
                <w:lang w:val="ro-RO"/>
              </w:rPr>
              <w:t xml:space="preserve"> și </w:t>
            </w:r>
            <w:r w:rsidRPr="00D75BF8">
              <w:rPr>
                <w:b/>
                <w:bCs/>
                <w:i/>
                <w:iCs/>
                <w:sz w:val="20"/>
                <w:szCs w:val="20"/>
                <w:lang w:val="ro-RO"/>
              </w:rPr>
              <w:t xml:space="preserve">măsuri de sprijin </w:t>
            </w:r>
            <w:r w:rsidRPr="00D75BF8">
              <w:rPr>
                <w:i/>
                <w:iCs/>
                <w:sz w:val="20"/>
                <w:szCs w:val="20"/>
                <w:lang w:val="ro-RO"/>
              </w:rPr>
              <w:t>ce contribuie la creșterea ponderii de surse regenerabile în consumul de energie al acestor clădiri;</w:t>
            </w:r>
          </w:p>
          <w:p w:rsidR="00D75BF8" w:rsidRPr="00D75BF8" w:rsidRDefault="00D75BF8" w:rsidP="00D75BF8">
            <w:pPr>
              <w:pStyle w:val="Listparagraf"/>
              <w:numPr>
                <w:ilvl w:val="0"/>
                <w:numId w:val="75"/>
              </w:numPr>
              <w:autoSpaceDE w:val="0"/>
              <w:autoSpaceDN w:val="0"/>
              <w:spacing w:before="0" w:after="0" w:line="240" w:lineRule="auto"/>
              <w:jc w:val="both"/>
              <w:rPr>
                <w:b/>
                <w:bCs/>
                <w:i/>
                <w:iCs/>
                <w:sz w:val="20"/>
                <w:szCs w:val="20"/>
                <w:lang w:val="ro-RO"/>
              </w:rPr>
            </w:pPr>
            <w:r w:rsidRPr="00D75BF8">
              <w:rPr>
                <w:b/>
                <w:bCs/>
                <w:i/>
                <w:iCs/>
                <w:sz w:val="20"/>
                <w:szCs w:val="20"/>
                <w:lang w:val="ro-RO"/>
              </w:rPr>
              <w:t xml:space="preserve">sprijin </w:t>
            </w:r>
            <w:r w:rsidRPr="00D75BF8">
              <w:rPr>
                <w:i/>
                <w:iCs/>
                <w:sz w:val="20"/>
                <w:szCs w:val="20"/>
                <w:lang w:val="ro-RO"/>
              </w:rPr>
              <w:t xml:space="preserve">în vederea </w:t>
            </w:r>
            <w:r w:rsidRPr="00D75BF8">
              <w:rPr>
                <w:b/>
                <w:bCs/>
                <w:i/>
                <w:iCs/>
                <w:sz w:val="20"/>
                <w:szCs w:val="20"/>
                <w:lang w:val="ro-RO"/>
              </w:rPr>
              <w:t xml:space="preserve">asigurării/ îmbunătățirii eficienței energetice a clădirilor publice din Regiunea Centru, </w:t>
            </w:r>
            <w:r w:rsidRPr="00D75BF8">
              <w:rPr>
                <w:i/>
                <w:iCs/>
                <w:sz w:val="20"/>
                <w:szCs w:val="20"/>
                <w:lang w:val="ro-RO"/>
              </w:rPr>
              <w:t xml:space="preserve">inclusiv măsuri de consolidare structurală în funcție de nivelul de expunere și vulnerabilitate la riscurile identificate, </w:t>
            </w:r>
            <w:r w:rsidRPr="00D75BF8">
              <w:rPr>
                <w:b/>
                <w:bCs/>
                <w:i/>
                <w:iCs/>
                <w:sz w:val="20"/>
                <w:szCs w:val="20"/>
                <w:lang w:val="ro-RO"/>
              </w:rPr>
              <w:t>proiecte de demonstrare</w:t>
            </w:r>
            <w:r w:rsidRPr="00D75BF8">
              <w:rPr>
                <w:i/>
                <w:iCs/>
                <w:sz w:val="20"/>
                <w:szCs w:val="20"/>
                <w:lang w:val="ro-RO"/>
              </w:rPr>
              <w:t xml:space="preserve"> și </w:t>
            </w:r>
            <w:r w:rsidRPr="00D75BF8">
              <w:rPr>
                <w:b/>
                <w:bCs/>
                <w:i/>
                <w:iCs/>
                <w:sz w:val="20"/>
                <w:szCs w:val="20"/>
                <w:lang w:val="ro-RO"/>
              </w:rPr>
              <w:t xml:space="preserve">măsuri de sprijin </w:t>
            </w:r>
            <w:r w:rsidRPr="00D75BF8">
              <w:rPr>
                <w:i/>
                <w:iCs/>
                <w:sz w:val="20"/>
                <w:szCs w:val="20"/>
                <w:lang w:val="ro-RO"/>
              </w:rPr>
              <w:t>ce contribuie la creșterea ponderii de surse regenerabile în consumul de energie al acestor clădiri.</w:t>
            </w:r>
          </w:p>
          <w:p w:rsidR="00B105D0" w:rsidRDefault="00D75BF8" w:rsidP="00D75BF8">
            <w:pPr>
              <w:pStyle w:val="Listparagraf"/>
              <w:numPr>
                <w:ilvl w:val="0"/>
                <w:numId w:val="75"/>
              </w:numPr>
              <w:spacing w:before="0" w:after="0" w:line="240" w:lineRule="auto"/>
              <w:jc w:val="both"/>
              <w:rPr>
                <w:i/>
                <w:iCs/>
                <w:sz w:val="20"/>
                <w:szCs w:val="20"/>
                <w:lang w:val="ro-RO"/>
              </w:rPr>
            </w:pPr>
            <w:r w:rsidRPr="00D75BF8">
              <w:rPr>
                <w:i/>
                <w:iCs/>
                <w:sz w:val="20"/>
                <w:szCs w:val="20"/>
              </w:rPr>
              <w:t>intervenții ce vizezaza</w:t>
            </w:r>
            <w:r w:rsidRPr="00D75BF8">
              <w:rPr>
                <w:b/>
                <w:bCs/>
                <w:i/>
                <w:iCs/>
                <w:sz w:val="20"/>
                <w:szCs w:val="20"/>
              </w:rPr>
              <w:t xml:space="preserve"> reabilitarea/modernizarea si retehnologizarea sistemelor existente de iluminat, dezvoltarea unor sisteme de iluminat public performant și eficient energetic in Regiunea Centru, , </w:t>
            </w:r>
            <w:r w:rsidRPr="00D75BF8">
              <w:rPr>
                <w:i/>
                <w:iCs/>
                <w:sz w:val="20"/>
                <w:szCs w:val="20"/>
              </w:rPr>
              <w:t xml:space="preserve">inclusiv </w:t>
            </w:r>
            <w:r w:rsidRPr="00D75BF8">
              <w:rPr>
                <w:i/>
                <w:iCs/>
                <w:sz w:val="20"/>
                <w:szCs w:val="20"/>
                <w:lang w:val="ro-RO"/>
              </w:rPr>
              <w:t>dezvoltarea unor sisteme inteligente (smart grids) de distribuție și stocare a energiei electrice produse din surse locale de energie regenerabilă.</w:t>
            </w:r>
          </w:p>
          <w:p w:rsidR="00D75BF8" w:rsidRPr="00D75BF8" w:rsidRDefault="00D75BF8" w:rsidP="00D75BF8">
            <w:pPr>
              <w:pStyle w:val="Listparagraf"/>
              <w:spacing w:before="0" w:after="0" w:line="240" w:lineRule="auto"/>
              <w:jc w:val="both"/>
              <w:rPr>
                <w:i/>
                <w:iCs/>
                <w:sz w:val="20"/>
                <w:szCs w:val="20"/>
                <w:lang w:val="ro-RO"/>
              </w:rPr>
            </w:pPr>
          </w:p>
          <w:p w:rsidR="00B105D0" w:rsidRPr="0000318B" w:rsidRDefault="00B105D0" w:rsidP="00B105D0">
            <w:pPr>
              <w:spacing w:after="0" w:line="240" w:lineRule="auto"/>
              <w:contextualSpacing/>
              <w:rPr>
                <w:rFonts w:ascii="Times New Roman" w:hAnsi="Times New Roman" w:cs="Times New Roman"/>
                <w:sz w:val="20"/>
                <w:szCs w:val="20"/>
              </w:rPr>
            </w:pPr>
            <w:r w:rsidRPr="0000318B">
              <w:rPr>
                <w:rFonts w:ascii="Times New Roman" w:hAnsi="Times New Roman" w:cs="Times New Roman"/>
                <w:b/>
                <w:sz w:val="20"/>
                <w:szCs w:val="20"/>
              </w:rPr>
              <w:t>Contribuția preconizată la realizarea obiectivului de politica 2 O Europa mai verde</w:t>
            </w:r>
            <w:r w:rsidRPr="0000318B" w:rsidDel="00EA7237">
              <w:rPr>
                <w:rFonts w:ascii="Times New Roman" w:hAnsi="Times New Roman" w:cs="Times New Roman"/>
                <w:b/>
                <w:sz w:val="20"/>
                <w:szCs w:val="20"/>
              </w:rPr>
              <w:t xml:space="preserve"> </w:t>
            </w:r>
          </w:p>
          <w:p w:rsidR="00B105D0" w:rsidRPr="00AB309B" w:rsidRDefault="00B105D0" w:rsidP="005C75DF">
            <w:pPr>
              <w:pStyle w:val="Listparagraf"/>
              <w:numPr>
                <w:ilvl w:val="0"/>
                <w:numId w:val="60"/>
              </w:numPr>
              <w:spacing w:before="0" w:after="0" w:line="240" w:lineRule="auto"/>
              <w:ind w:left="29" w:firstLine="331"/>
              <w:jc w:val="both"/>
              <w:rPr>
                <w:sz w:val="20"/>
                <w:szCs w:val="20"/>
              </w:rPr>
            </w:pPr>
            <w:r w:rsidRPr="00D02D32">
              <w:rPr>
                <w:sz w:val="20"/>
                <w:szCs w:val="20"/>
              </w:rPr>
              <w:t>Tipurile de operațiuni indicate în ACȚIUNEA 3.1 din POR 2021-2027 Centru</w:t>
            </w:r>
            <w:r w:rsidRPr="00D02D32">
              <w:rPr>
                <w:rFonts w:eastAsia="Times New Roman"/>
                <w:color w:val="000000"/>
                <w:sz w:val="20"/>
                <w:szCs w:val="20"/>
                <w:lang w:eastAsia="en-GB"/>
              </w:rPr>
              <w:t xml:space="preserve"> </w:t>
            </w:r>
            <w:r w:rsidRPr="00D02D32">
              <w:rPr>
                <w:sz w:val="20"/>
                <w:szCs w:val="20"/>
              </w:rPr>
              <w:t xml:space="preserve">fac posibilă intervenția eficientă asupra fondului de clădiri publice și rezidențiale din Regiunea Centru, îmbunătățind eficiența energetică globală a teritoriului. Reabilitarea clădirilor rezidențiale (a locuințelor private din condominii, locuințelor sociale) și a clădirilor publice va face posibilă intervenția asupra fondului construit pentru a reduce sărăcia de combustibil, consumul de energie și nivelul emisiilor de gaze cu efect de seră în vederea conturării unei regiuni mai ecologice și mai durabile. Renovările pot, de asemenea, să stimuleze dezvoltarea sectorului construcțiilor și reprezintă o </w:t>
            </w:r>
            <w:r w:rsidRPr="00D02D32">
              <w:rPr>
                <w:sz w:val="20"/>
                <w:szCs w:val="20"/>
              </w:rPr>
              <w:lastRenderedPageBreak/>
              <w:t xml:space="preserve">oportunitate de a sprijini IMM-urile și locurile de muncă locale. Dezvoltarea proiectelor demonstrative/ pilot care să aibă în vedere valorificarea surselor regenerabile de energie în funcție de specificul zonei (biomasă, energie solară etc.) constituie o oportunitate Regiune, deoarece acestea permit dezvoltarea de noi soluții tehnice și însușirea lor de către actorii regionali implicați în reabilitarea/ construirea (specialiști din sectorul clădirilor și construcțiilor, arhitecții, inginerii) și, inclusiv dezvoltarea unui portofoliu de exemple ce pot sprijini și autoritățile locale în abordarea obstacolelor în materie de renovare/ reabilitare a clădirilor. Pe fondul creșterii performanței energetice și reducerii emisiilor de carbon, acțiunile privind modernizarea sistemelor de iluminat indicate în cadrul acestei priorități contribuie la atingerea privind îmbunătățirea eficienței energetice. </w:t>
            </w:r>
          </w:p>
          <w:p w:rsidR="00B105D0" w:rsidRPr="0000318B" w:rsidRDefault="00B105D0" w:rsidP="00B105D0">
            <w:pPr>
              <w:spacing w:after="0" w:line="240" w:lineRule="auto"/>
              <w:contextualSpacing/>
              <w:jc w:val="both"/>
              <w:rPr>
                <w:rFonts w:ascii="Times New Roman" w:hAnsi="Times New Roman" w:cs="Times New Roman"/>
                <w:b/>
                <w:sz w:val="20"/>
                <w:szCs w:val="20"/>
              </w:rPr>
            </w:pPr>
            <w:r w:rsidRPr="0000318B">
              <w:rPr>
                <w:rFonts w:ascii="Times New Roman" w:hAnsi="Times New Roman" w:cs="Times New Roman"/>
                <w:b/>
                <w:sz w:val="20"/>
                <w:szCs w:val="20"/>
              </w:rPr>
              <w:t>Contribuția preconizată la realizarea strategiilor macroregionale și strategiilor privind bazinele maritime, precum și planurilor teritoriale pentru o tranziție justă, prevăzute la articolul [7] din Regulamentul (UE) [Regulamentul FTJ] sprijinite de FTJ, după caz:</w:t>
            </w:r>
          </w:p>
          <w:p w:rsidR="006169A6" w:rsidRDefault="00B105D0" w:rsidP="00B105D0">
            <w:pPr>
              <w:spacing w:after="0" w:line="240" w:lineRule="auto"/>
              <w:jc w:val="both"/>
              <w:rPr>
                <w:rFonts w:ascii="Times New Roman" w:hAnsi="Times New Roman" w:cs="Times New Roman"/>
                <w:sz w:val="20"/>
                <w:szCs w:val="20"/>
              </w:rPr>
            </w:pPr>
            <w:r w:rsidRPr="0000318B">
              <w:rPr>
                <w:rFonts w:ascii="Times New Roman" w:hAnsi="Times New Roman" w:cs="Times New Roman"/>
                <w:sz w:val="20"/>
                <w:szCs w:val="20"/>
              </w:rPr>
              <w:t>Acțiunile indicate în AP 3.1 din POR 2021-2027 Centru vor</w:t>
            </w:r>
            <w:r w:rsidRPr="0000318B">
              <w:rPr>
                <w:rFonts w:ascii="Times New Roman" w:hAnsi="Times New Roman" w:cs="Times New Roman"/>
                <w:b/>
                <w:sz w:val="20"/>
                <w:szCs w:val="20"/>
              </w:rPr>
              <w:t xml:space="preserve"> </w:t>
            </w:r>
            <w:r w:rsidRPr="0000318B">
              <w:rPr>
                <w:rFonts w:ascii="Times New Roman" w:hAnsi="Times New Roman" w:cs="Times New Roman"/>
                <w:sz w:val="20"/>
                <w:szCs w:val="20"/>
              </w:rPr>
              <w:t>contribui la implementarea Strategiei Uniunii Europene pentru Regiunea Dunării (SUERD), prin promovarea unor investiții în conformitate cu ariile prioritare SUERD în scopul maximizării impactului acesteia la nivel regional. Aceste operațiuni sunt în concordanță cu ariile prioritare SUERD, definite în Planul de acțiune ce însoțește</w:t>
            </w:r>
            <w:r w:rsidRPr="0000318B">
              <w:rPr>
                <w:rFonts w:ascii="Times New Roman" w:hAnsi="Times New Roman" w:cs="Times New Roman"/>
                <w:b/>
                <w:sz w:val="20"/>
                <w:szCs w:val="20"/>
              </w:rPr>
              <w:t xml:space="preserve"> </w:t>
            </w:r>
            <w:r w:rsidRPr="0000318B">
              <w:rPr>
                <w:rFonts w:ascii="Times New Roman" w:hAnsi="Times New Roman" w:cs="Times New Roman"/>
                <w:sz w:val="20"/>
                <w:szCs w:val="20"/>
              </w:rPr>
              <w:t>Comunicarea Comisiei către Parlamentul European, Consiliu, Comitetul Economic și Social European și Comitetul Regiunilor</w:t>
            </w:r>
            <w:r w:rsidRPr="0000318B">
              <w:rPr>
                <w:rStyle w:val="Referinnotdesubsol"/>
                <w:rFonts w:ascii="Times New Roman" w:hAnsi="Times New Roman" w:cs="Times New Roman"/>
                <w:b w:val="0"/>
                <w:sz w:val="20"/>
                <w:szCs w:val="20"/>
              </w:rPr>
              <w:footnoteReference w:id="41"/>
            </w:r>
            <w:r w:rsidRPr="0000318B">
              <w:rPr>
                <w:rFonts w:ascii="Times New Roman" w:hAnsi="Times New Roman" w:cs="Times New Roman"/>
                <w:sz w:val="20"/>
                <w:szCs w:val="20"/>
              </w:rPr>
              <w:t>, respectiv aria prioritară 2 „Energie Sustenabilă”.</w:t>
            </w:r>
          </w:p>
          <w:p w:rsidR="00F42F0B" w:rsidRDefault="00F42F0B" w:rsidP="00B105D0">
            <w:pPr>
              <w:spacing w:after="0" w:line="240" w:lineRule="auto"/>
              <w:jc w:val="both"/>
              <w:rPr>
                <w:rFonts w:ascii="Times New Roman" w:hAnsi="Times New Roman" w:cs="Times New Roman"/>
                <w:sz w:val="20"/>
                <w:szCs w:val="20"/>
              </w:rPr>
            </w:pPr>
          </w:p>
          <w:p w:rsidR="00F42F0B" w:rsidRPr="006735A8" w:rsidRDefault="00F42F0B" w:rsidP="00F42F0B">
            <w:pPr>
              <w:pStyle w:val="Default"/>
              <w:tabs>
                <w:tab w:val="left" w:pos="311"/>
              </w:tabs>
              <w:contextualSpacing/>
              <w:jc w:val="both"/>
              <w:rPr>
                <w:rFonts w:ascii="Times New Roman" w:eastAsiaTheme="minorHAnsi" w:hAnsi="Times New Roman" w:cs="Times New Roman"/>
                <w:b/>
                <w:color w:val="auto"/>
                <w:sz w:val="20"/>
                <w:szCs w:val="20"/>
                <w:lang w:val="ro-RO" w:eastAsia="en-US"/>
              </w:rPr>
            </w:pPr>
            <w:r w:rsidRPr="006735A8">
              <w:rPr>
                <w:rFonts w:ascii="Times New Roman" w:eastAsiaTheme="minorHAnsi" w:hAnsi="Times New Roman" w:cs="Times New Roman"/>
                <w:b/>
                <w:color w:val="auto"/>
                <w:sz w:val="20"/>
                <w:szCs w:val="20"/>
                <w:lang w:val="ro-RO" w:eastAsia="en-US"/>
              </w:rPr>
              <w:t>Complementaritati cu alte programe operaționale</w:t>
            </w:r>
          </w:p>
          <w:p w:rsidR="00F42F0B" w:rsidRPr="006B6325" w:rsidRDefault="00F42F0B">
            <w:pPr>
              <w:spacing w:after="0" w:line="240" w:lineRule="auto"/>
              <w:jc w:val="both"/>
              <w:rPr>
                <w:rFonts w:ascii="Times New Roman" w:hAnsi="Times New Roman" w:cs="Times New Roman"/>
              </w:rPr>
            </w:pPr>
            <w:r w:rsidRPr="006735A8">
              <w:rPr>
                <w:rFonts w:ascii="Times New Roman" w:hAnsi="Times New Roman" w:cs="Times New Roman"/>
                <w:sz w:val="20"/>
                <w:szCs w:val="20"/>
              </w:rPr>
              <w:t>Intervențiile prevăzute în cadrul acestei priorități sunt complementare cu cele incluse în Programul Operational Dezvoltare Durabilă (PODD) 2021-2027.  În ceea ce privește promovarea eficienței energetice și reducerea emisiilor de gaze cu efect de seră, PODD finanțează proiecte demonstrative și de eficientă energetică în IMM-uri și în intreprinderile mari și măsuri de sprijin adiacente. POR Centru susține măsuri de eficiență energetică a clădirilor rezidențiale și publice, având ca scop reabilitarea energetică profundă (deep renovation), inclusiv măsuri de consolidare ale acestora, reabilitarea și moderni</w:t>
            </w:r>
            <w:r>
              <w:rPr>
                <w:rFonts w:ascii="Times New Roman" w:hAnsi="Times New Roman" w:cs="Times New Roman"/>
                <w:sz w:val="20"/>
                <w:szCs w:val="20"/>
              </w:rPr>
              <w:t xml:space="preserve">zarea sistemului de iluminat public. </w:t>
            </w:r>
            <w:r w:rsidRPr="006735A8">
              <w:rPr>
                <w:rFonts w:ascii="Times New Roman" w:hAnsi="Times New Roman" w:cs="Times New Roman"/>
                <w:sz w:val="20"/>
                <w:szCs w:val="20"/>
              </w:rPr>
              <w:t xml:space="preserve"> </w:t>
            </w:r>
          </w:p>
        </w:tc>
      </w:tr>
    </w:tbl>
    <w:p w:rsidR="006169A6" w:rsidRPr="006B6325" w:rsidRDefault="006169A6" w:rsidP="006169A6">
      <w:pPr>
        <w:spacing w:after="0" w:line="240" w:lineRule="auto"/>
        <w:rPr>
          <w:rFonts w:ascii="Times New Roman" w:eastAsia="Times New Roman" w:hAnsi="Times New Roman" w:cs="Times New Roman"/>
          <w:i/>
          <w:noProof/>
          <w:sz w:val="24"/>
          <w:szCs w:val="24"/>
          <w:lang w:val="en-GB"/>
        </w:rPr>
      </w:pPr>
    </w:p>
    <w:p w:rsidR="006169A6" w:rsidRPr="006B6325" w:rsidRDefault="006169A6" w:rsidP="006169A6">
      <w:pPr>
        <w:spacing w:after="0" w:line="240" w:lineRule="auto"/>
        <w:rPr>
          <w:rFonts w:ascii="Times New Roman" w:eastAsia="Times New Roman" w:hAnsi="Times New Roman" w:cs="Times New Roman"/>
          <w:b/>
          <w:i/>
          <w:iCs/>
          <w:noProof/>
          <w:sz w:val="24"/>
          <w:szCs w:val="24"/>
          <w:lang w:val="en-GB"/>
        </w:rPr>
      </w:pPr>
      <w:r w:rsidRPr="006B6325">
        <w:rPr>
          <w:rFonts w:ascii="Times New Roman" w:eastAsia="Times New Roman" w:hAnsi="Times New Roman" w:cs="Times New Roman"/>
          <w:i/>
          <w:noProof/>
          <w:sz w:val="24"/>
          <w:szCs w:val="24"/>
          <w:lang w:val="en-GB"/>
        </w:rPr>
        <w:t>The main target groups - Article 17(3)(d)(iii):</w:t>
      </w:r>
    </w:p>
    <w:p w:rsidR="006169A6" w:rsidRPr="006B6325" w:rsidRDefault="006169A6" w:rsidP="00662466">
      <w:pPr>
        <w:pBdr>
          <w:top w:val="single" w:sz="4" w:space="1" w:color="auto"/>
          <w:left w:val="single" w:sz="4" w:space="4" w:color="auto"/>
          <w:bottom w:val="single" w:sz="4" w:space="1" w:color="auto"/>
          <w:right w:val="single" w:sz="4" w:space="4" w:color="auto"/>
        </w:pBdr>
        <w:spacing w:before="120" w:after="120" w:line="360" w:lineRule="auto"/>
        <w:jc w:val="both"/>
        <w:rPr>
          <w:rFonts w:ascii="Times New Roman" w:eastAsia="Times New Roman" w:hAnsi="Times New Roman" w:cs="Times New Roman"/>
          <w:i/>
          <w:iCs/>
          <w:noProof/>
          <w:sz w:val="24"/>
          <w:szCs w:val="24"/>
          <w:lang w:val="en-GB"/>
        </w:rPr>
      </w:pPr>
      <w:r w:rsidRPr="006B6325">
        <w:rPr>
          <w:rFonts w:ascii="Times New Roman" w:eastAsia="Times New Roman" w:hAnsi="Times New Roman" w:cs="Times New Roman"/>
          <w:i/>
          <w:iCs/>
          <w:noProof/>
          <w:sz w:val="24"/>
          <w:szCs w:val="24"/>
          <w:lang w:val="en-GB"/>
        </w:rPr>
        <w:t>Text field [1 000]</w:t>
      </w:r>
    </w:p>
    <w:p w:rsidR="00B105D0" w:rsidRPr="0000318B" w:rsidRDefault="00DE2A42" w:rsidP="00B105D0">
      <w:pPr>
        <w:pBdr>
          <w:top w:val="single" w:sz="4" w:space="1" w:color="auto"/>
          <w:left w:val="single" w:sz="4" w:space="4" w:color="auto"/>
          <w:bottom w:val="single" w:sz="4" w:space="1" w:color="auto"/>
          <w:right w:val="single" w:sz="4" w:space="0" w:color="auto"/>
        </w:pBdr>
        <w:spacing w:after="0" w:line="240" w:lineRule="auto"/>
        <w:rPr>
          <w:rFonts w:ascii="Times New Roman" w:hAnsi="Times New Roman" w:cs="Times New Roman"/>
          <w:sz w:val="20"/>
          <w:szCs w:val="20"/>
        </w:rPr>
      </w:pPr>
      <w:r w:rsidRPr="00A13412">
        <w:rPr>
          <w:rFonts w:ascii="Times New Roman" w:eastAsia="Times New Roman" w:hAnsi="Times New Roman" w:cs="Times New Roman"/>
          <w:i/>
          <w:noProof/>
          <w:sz w:val="20"/>
          <w:szCs w:val="20"/>
          <w:lang w:val="en-GB"/>
        </w:rPr>
        <w:t>•</w:t>
      </w:r>
      <w:r w:rsidRPr="00A13412">
        <w:rPr>
          <w:rFonts w:ascii="Times New Roman" w:eastAsia="Times New Roman" w:hAnsi="Times New Roman" w:cs="Times New Roman"/>
          <w:i/>
          <w:noProof/>
          <w:sz w:val="20"/>
          <w:szCs w:val="20"/>
          <w:lang w:val="en-GB"/>
        </w:rPr>
        <w:tab/>
      </w:r>
      <w:r w:rsidR="00B105D0">
        <w:rPr>
          <w:rFonts w:ascii="Times New Roman" w:hAnsi="Times New Roman" w:cs="Times New Roman"/>
          <w:sz w:val="20"/>
          <w:szCs w:val="20"/>
        </w:rPr>
        <w:t>Principalele grupuri țintă pentru această prioritate sunt defalcate după cum urmează:</w:t>
      </w:r>
    </w:p>
    <w:p w:rsidR="00B105D0" w:rsidRPr="0000318B" w:rsidRDefault="00B105D0" w:rsidP="00B105D0">
      <w:pPr>
        <w:pBdr>
          <w:top w:val="single" w:sz="4" w:space="1" w:color="auto"/>
          <w:left w:val="single" w:sz="4" w:space="4" w:color="auto"/>
          <w:bottom w:val="single" w:sz="4" w:space="1" w:color="auto"/>
          <w:right w:val="single" w:sz="4" w:space="0" w:color="auto"/>
        </w:pBdr>
        <w:spacing w:after="0" w:line="240" w:lineRule="auto"/>
        <w:rPr>
          <w:rFonts w:ascii="Times New Roman" w:hAnsi="Times New Roman" w:cs="Times New Roman"/>
          <w:sz w:val="20"/>
          <w:szCs w:val="20"/>
        </w:rPr>
      </w:pPr>
      <w:r w:rsidRPr="0000318B">
        <w:rPr>
          <w:rFonts w:ascii="Times New Roman" w:hAnsi="Times New Roman" w:cs="Times New Roman"/>
          <w:sz w:val="20"/>
          <w:szCs w:val="20"/>
        </w:rPr>
        <w:t>a)</w:t>
      </w:r>
      <w:r>
        <w:rPr>
          <w:rFonts w:ascii="Times New Roman" w:hAnsi="Times New Roman" w:cs="Times New Roman"/>
          <w:sz w:val="20"/>
          <w:szCs w:val="20"/>
        </w:rPr>
        <w:t xml:space="preserve"> pentru</w:t>
      </w:r>
      <w:r w:rsidRPr="0000318B">
        <w:rPr>
          <w:rFonts w:ascii="Times New Roman" w:hAnsi="Times New Roman" w:cs="Times New Roman"/>
          <w:sz w:val="20"/>
          <w:szCs w:val="20"/>
        </w:rPr>
        <w:t xml:space="preserve"> clădiri rezidențiale</w:t>
      </w:r>
      <w:r>
        <w:rPr>
          <w:rFonts w:ascii="Times New Roman" w:hAnsi="Times New Roman" w:cs="Times New Roman"/>
          <w:sz w:val="20"/>
          <w:szCs w:val="20"/>
        </w:rPr>
        <w:t>:</w:t>
      </w:r>
    </w:p>
    <w:p w:rsidR="00CE586E" w:rsidRPr="00CE586E" w:rsidRDefault="00B105D0" w:rsidP="00CE586E">
      <w:pPr>
        <w:pBdr>
          <w:top w:val="single" w:sz="4" w:space="1" w:color="auto"/>
          <w:left w:val="single" w:sz="4" w:space="4" w:color="auto"/>
          <w:bottom w:val="single" w:sz="4" w:space="1" w:color="auto"/>
          <w:right w:val="single" w:sz="4" w:space="0" w:color="auto"/>
        </w:pBdr>
        <w:spacing w:after="0" w:line="240" w:lineRule="auto"/>
        <w:ind w:left="567" w:hanging="567"/>
        <w:rPr>
          <w:rFonts w:ascii="Times New Roman" w:hAnsi="Times New Roman" w:cs="Times New Roman"/>
          <w:sz w:val="20"/>
          <w:szCs w:val="20"/>
        </w:rPr>
      </w:pPr>
      <w:r w:rsidRPr="0000318B">
        <w:rPr>
          <w:rFonts w:ascii="Times New Roman" w:hAnsi="Times New Roman" w:cs="Times New Roman"/>
          <w:sz w:val="20"/>
          <w:szCs w:val="20"/>
        </w:rPr>
        <w:t>•</w:t>
      </w:r>
      <w:r w:rsidRPr="0000318B">
        <w:rPr>
          <w:rFonts w:ascii="Times New Roman" w:hAnsi="Times New Roman" w:cs="Times New Roman"/>
          <w:sz w:val="20"/>
          <w:szCs w:val="20"/>
        </w:rPr>
        <w:tab/>
      </w:r>
      <w:r w:rsidR="006D5EF2" w:rsidRPr="00CE586E">
        <w:rPr>
          <w:rFonts w:ascii="Times New Roman" w:hAnsi="Times New Roman" w:cs="Times New Roman"/>
          <w:sz w:val="20"/>
          <w:szCs w:val="20"/>
        </w:rPr>
        <w:t>locuitorii</w:t>
      </w:r>
      <w:r w:rsidR="00CE586E" w:rsidRPr="00CE586E">
        <w:rPr>
          <w:rFonts w:ascii="Times New Roman" w:hAnsi="Times New Roman" w:cs="Times New Roman"/>
          <w:sz w:val="20"/>
          <w:szCs w:val="20"/>
        </w:rPr>
        <w:t xml:space="preserve"> din mediul urban, asociațiile de proprietari, locatarii clădirilor rezidențiale</w:t>
      </w:r>
    </w:p>
    <w:p w:rsidR="00B105D0" w:rsidRPr="00CE586E" w:rsidRDefault="00B105D0" w:rsidP="00B105D0">
      <w:pPr>
        <w:pBdr>
          <w:top w:val="single" w:sz="4" w:space="1" w:color="auto"/>
          <w:left w:val="single" w:sz="4" w:space="4" w:color="auto"/>
          <w:bottom w:val="single" w:sz="4" w:space="1" w:color="auto"/>
          <w:right w:val="single" w:sz="4" w:space="0" w:color="auto"/>
        </w:pBdr>
        <w:spacing w:after="0" w:line="240" w:lineRule="auto"/>
        <w:ind w:left="567" w:hanging="567"/>
        <w:rPr>
          <w:rFonts w:ascii="Times New Roman" w:hAnsi="Times New Roman" w:cs="Times New Roman"/>
          <w:sz w:val="20"/>
          <w:szCs w:val="20"/>
        </w:rPr>
      </w:pPr>
      <w:r w:rsidRPr="00CE586E">
        <w:rPr>
          <w:rFonts w:ascii="Times New Roman" w:hAnsi="Times New Roman" w:cs="Times New Roman"/>
          <w:sz w:val="20"/>
          <w:szCs w:val="20"/>
        </w:rPr>
        <w:t>b) pentru clădiri publice:</w:t>
      </w:r>
    </w:p>
    <w:p w:rsidR="00CE586E" w:rsidRPr="00CE586E" w:rsidRDefault="00B105D0" w:rsidP="00B105D0">
      <w:pPr>
        <w:pBdr>
          <w:top w:val="single" w:sz="4" w:space="1" w:color="auto"/>
          <w:left w:val="single" w:sz="4" w:space="4" w:color="auto"/>
          <w:bottom w:val="single" w:sz="4" w:space="1" w:color="auto"/>
          <w:right w:val="single" w:sz="4" w:space="0" w:color="auto"/>
        </w:pBdr>
        <w:spacing w:after="0" w:line="240" w:lineRule="auto"/>
        <w:ind w:left="567" w:hanging="567"/>
        <w:rPr>
          <w:rFonts w:ascii="Times New Roman" w:hAnsi="Times New Roman" w:cs="Times New Roman"/>
          <w:sz w:val="20"/>
          <w:szCs w:val="20"/>
        </w:rPr>
      </w:pPr>
      <w:r w:rsidRPr="00CE586E">
        <w:rPr>
          <w:rFonts w:ascii="Times New Roman" w:hAnsi="Times New Roman" w:cs="Times New Roman"/>
          <w:sz w:val="20"/>
          <w:szCs w:val="20"/>
        </w:rPr>
        <w:t>•</w:t>
      </w:r>
      <w:r w:rsidRPr="00CE586E">
        <w:rPr>
          <w:rFonts w:ascii="Times New Roman" w:hAnsi="Times New Roman" w:cs="Times New Roman"/>
          <w:sz w:val="20"/>
          <w:szCs w:val="20"/>
        </w:rPr>
        <w:tab/>
      </w:r>
      <w:r w:rsidR="006D5EF2" w:rsidRPr="00CE586E">
        <w:rPr>
          <w:rFonts w:ascii="Times New Roman" w:hAnsi="Times New Roman" w:cs="Times New Roman"/>
          <w:sz w:val="20"/>
          <w:szCs w:val="20"/>
        </w:rPr>
        <w:t xml:space="preserve">utilizatorii clădirilor publice </w:t>
      </w:r>
      <w:r w:rsidR="00CE586E" w:rsidRPr="00CE586E">
        <w:rPr>
          <w:rFonts w:ascii="Times New Roman" w:hAnsi="Times New Roman" w:cs="Times New Roman"/>
          <w:sz w:val="20"/>
          <w:szCs w:val="20"/>
        </w:rPr>
        <w:t>din mediul urban și rural; entități și instituții publice locale și centrale, autorități publice locale și centrale care au în propietate clădiri publice cu diferite funcțiuni: administrative, educaționale, de sănătate, cuturale, sociale, sportive, din sistemul de apărare, siguranță națională și ordine publică, etc.; universități de stat</w:t>
      </w:r>
    </w:p>
    <w:p w:rsidR="00B105D0" w:rsidRPr="00E92B9D" w:rsidRDefault="00D02D32" w:rsidP="00B105D0">
      <w:pPr>
        <w:pBdr>
          <w:top w:val="single" w:sz="4" w:space="1" w:color="auto"/>
          <w:left w:val="single" w:sz="4" w:space="4" w:color="auto"/>
          <w:bottom w:val="single" w:sz="4" w:space="1" w:color="auto"/>
          <w:right w:val="single" w:sz="4" w:space="0" w:color="auto"/>
        </w:pBdr>
        <w:spacing w:after="0" w:line="240" w:lineRule="auto"/>
        <w:ind w:left="567" w:hanging="567"/>
        <w:rPr>
          <w:rFonts w:ascii="Times New Roman" w:hAnsi="Times New Roman" w:cs="Times New Roman"/>
          <w:sz w:val="20"/>
          <w:szCs w:val="20"/>
        </w:rPr>
      </w:pPr>
      <w:r>
        <w:rPr>
          <w:rFonts w:ascii="Times New Roman" w:hAnsi="Times New Roman" w:cs="Times New Roman"/>
          <w:sz w:val="20"/>
          <w:szCs w:val="20"/>
        </w:rPr>
        <w:t>c</w:t>
      </w:r>
      <w:r w:rsidR="00B105D0" w:rsidRPr="00E92B9D">
        <w:rPr>
          <w:rFonts w:ascii="Times New Roman" w:hAnsi="Times New Roman" w:cs="Times New Roman"/>
          <w:sz w:val="20"/>
          <w:szCs w:val="20"/>
        </w:rPr>
        <w:t>)  iluminat public performant si eficient energetic:</w:t>
      </w:r>
    </w:p>
    <w:p w:rsidR="00B105D0" w:rsidRDefault="00B105D0" w:rsidP="00B105D0">
      <w:pPr>
        <w:pBdr>
          <w:top w:val="single" w:sz="4" w:space="1" w:color="auto"/>
          <w:left w:val="single" w:sz="4" w:space="4" w:color="auto"/>
          <w:bottom w:val="single" w:sz="4" w:space="1" w:color="auto"/>
          <w:right w:val="single" w:sz="4" w:space="0" w:color="auto"/>
        </w:pBdr>
        <w:spacing w:after="0" w:line="240" w:lineRule="auto"/>
        <w:ind w:left="567" w:hanging="567"/>
        <w:rPr>
          <w:rFonts w:ascii="Times New Roman" w:hAnsi="Times New Roman" w:cs="Times New Roman"/>
          <w:sz w:val="20"/>
          <w:szCs w:val="20"/>
        </w:rPr>
      </w:pPr>
      <w:r w:rsidRPr="00E92B9D">
        <w:rPr>
          <w:rFonts w:ascii="Times New Roman" w:hAnsi="Times New Roman" w:cs="Times New Roman"/>
          <w:sz w:val="20"/>
          <w:szCs w:val="20"/>
        </w:rPr>
        <w:t>•</w:t>
      </w:r>
      <w:r w:rsidRPr="00E92B9D">
        <w:rPr>
          <w:rFonts w:ascii="Times New Roman" w:hAnsi="Times New Roman" w:cs="Times New Roman"/>
          <w:sz w:val="20"/>
          <w:szCs w:val="20"/>
        </w:rPr>
        <w:tab/>
        <w:t>comunități din mediul urban și rural de la nivelul Regiunii Centru</w:t>
      </w:r>
    </w:p>
    <w:p w:rsidR="0040005B" w:rsidRDefault="0040005B" w:rsidP="00B105D0">
      <w:pPr>
        <w:pBdr>
          <w:top w:val="single" w:sz="4" w:space="1" w:color="auto"/>
          <w:left w:val="single" w:sz="4" w:space="4" w:color="auto"/>
          <w:bottom w:val="single" w:sz="4" w:space="1" w:color="auto"/>
          <w:right w:val="single" w:sz="4" w:space="4" w:color="auto"/>
        </w:pBdr>
        <w:spacing w:after="0" w:line="240" w:lineRule="auto"/>
        <w:ind w:left="567" w:hanging="567"/>
        <w:jc w:val="both"/>
        <w:rPr>
          <w:rFonts w:ascii="Times New Roman" w:eastAsia="Times New Roman" w:hAnsi="Times New Roman" w:cs="Times New Roman"/>
          <w:i/>
          <w:noProof/>
          <w:sz w:val="24"/>
          <w:szCs w:val="24"/>
          <w:lang w:val="en-GB"/>
        </w:rPr>
      </w:pPr>
    </w:p>
    <w:p w:rsidR="006169A6" w:rsidRPr="006B6325" w:rsidRDefault="006169A6" w:rsidP="00662466">
      <w:pPr>
        <w:spacing w:before="120" w:after="120" w:line="360" w:lineRule="auto"/>
        <w:jc w:val="both"/>
        <w:rPr>
          <w:rFonts w:ascii="Times New Roman" w:eastAsia="Times New Roman" w:hAnsi="Times New Roman" w:cs="Times New Roman"/>
          <w:i/>
          <w:noProof/>
          <w:sz w:val="24"/>
          <w:szCs w:val="24"/>
          <w:lang w:val="en-GB"/>
        </w:rPr>
      </w:pPr>
      <w:r w:rsidRPr="006B6325">
        <w:rPr>
          <w:rFonts w:ascii="Times New Roman" w:eastAsia="Times New Roman" w:hAnsi="Times New Roman" w:cs="Times New Roman"/>
          <w:i/>
          <w:noProof/>
          <w:sz w:val="24"/>
          <w:szCs w:val="24"/>
          <w:lang w:val="en-GB"/>
        </w:rPr>
        <w:t>Specific territories tageted, including the planned use of territorial tools – Article 17(3)(d)(iv)</w:t>
      </w:r>
    </w:p>
    <w:p w:rsidR="006169A6" w:rsidRDefault="006169A6" w:rsidP="00662466">
      <w:pPr>
        <w:pBdr>
          <w:top w:val="single" w:sz="4" w:space="1" w:color="auto"/>
          <w:left w:val="single" w:sz="4" w:space="4" w:color="auto"/>
          <w:bottom w:val="single" w:sz="4" w:space="1" w:color="auto"/>
          <w:right w:val="single" w:sz="4" w:space="4" w:color="auto"/>
        </w:pBdr>
        <w:spacing w:before="120" w:after="120" w:line="360" w:lineRule="auto"/>
        <w:jc w:val="both"/>
        <w:rPr>
          <w:rFonts w:ascii="Times New Roman" w:eastAsia="Times New Roman" w:hAnsi="Times New Roman" w:cs="Times New Roman"/>
          <w:i/>
          <w:iCs/>
          <w:noProof/>
          <w:sz w:val="24"/>
          <w:szCs w:val="24"/>
          <w:lang w:val="en-GB"/>
        </w:rPr>
      </w:pPr>
      <w:r w:rsidRPr="006B6325">
        <w:rPr>
          <w:rFonts w:ascii="Times New Roman" w:eastAsia="Times New Roman" w:hAnsi="Times New Roman" w:cs="Times New Roman"/>
          <w:i/>
          <w:iCs/>
          <w:noProof/>
          <w:sz w:val="24"/>
          <w:szCs w:val="24"/>
          <w:lang w:val="en-GB"/>
        </w:rPr>
        <w:t>Text field [2 000]</w:t>
      </w:r>
    </w:p>
    <w:p w:rsidR="00B105D0" w:rsidRDefault="00B105D0" w:rsidP="00B105D0">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sz w:val="20"/>
          <w:szCs w:val="20"/>
        </w:rPr>
      </w:pPr>
      <w:r>
        <w:rPr>
          <w:rFonts w:ascii="Times New Roman" w:hAnsi="Times New Roman" w:cs="Times New Roman"/>
          <w:b/>
          <w:sz w:val="20"/>
          <w:szCs w:val="20"/>
        </w:rPr>
        <w:t xml:space="preserve">a) </w:t>
      </w:r>
      <w:r w:rsidRPr="000D63ED">
        <w:rPr>
          <w:rFonts w:ascii="Times New Roman" w:hAnsi="Times New Roman" w:cs="Times New Roman"/>
          <w:b/>
          <w:sz w:val="20"/>
          <w:szCs w:val="20"/>
        </w:rPr>
        <w:t>clădiri rezidențiale</w:t>
      </w:r>
    </w:p>
    <w:p w:rsidR="00B105D0" w:rsidRPr="0000318B" w:rsidRDefault="00B105D0" w:rsidP="00B105D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0"/>
          <w:szCs w:val="20"/>
        </w:rPr>
      </w:pPr>
      <w:r>
        <w:rPr>
          <w:rFonts w:ascii="Times New Roman" w:hAnsi="Times New Roman" w:cs="Times New Roman"/>
          <w:sz w:val="20"/>
          <w:szCs w:val="20"/>
        </w:rPr>
        <w:t>Investițiile vor fi</w:t>
      </w:r>
      <w:r w:rsidRPr="000360D2">
        <w:rPr>
          <w:rFonts w:ascii="Times New Roman" w:hAnsi="Times New Roman" w:cs="Times New Roman"/>
          <w:sz w:val="20"/>
          <w:szCs w:val="20"/>
        </w:rPr>
        <w:t xml:space="preserve"> realizate</w:t>
      </w:r>
      <w:r>
        <w:rPr>
          <w:rFonts w:ascii="Times New Roman" w:hAnsi="Times New Roman" w:cs="Times New Roman"/>
          <w:sz w:val="20"/>
          <w:szCs w:val="20"/>
        </w:rPr>
        <w:t xml:space="preserve"> în Regiunea Centru, în </w:t>
      </w:r>
      <w:r w:rsidRPr="000D63ED">
        <w:rPr>
          <w:rFonts w:ascii="Times New Roman" w:hAnsi="Times New Roman" w:cs="Times New Roman"/>
          <w:b/>
          <w:sz w:val="20"/>
          <w:szCs w:val="20"/>
        </w:rPr>
        <w:t>mediul urban</w:t>
      </w:r>
      <w:r>
        <w:rPr>
          <w:rFonts w:ascii="Times New Roman" w:hAnsi="Times New Roman" w:cs="Times New Roman"/>
          <w:sz w:val="20"/>
          <w:szCs w:val="20"/>
        </w:rPr>
        <w:t>, de către aut</w:t>
      </w:r>
      <w:r w:rsidRPr="000360D2">
        <w:rPr>
          <w:rFonts w:ascii="Times New Roman" w:hAnsi="Times New Roman" w:cs="Times New Roman"/>
          <w:sz w:val="20"/>
          <w:szCs w:val="20"/>
        </w:rPr>
        <w:t>oritățile publice locale în parteneriat/ ca reprezentanți ai asociațiilor de proprietari.</w:t>
      </w:r>
    </w:p>
    <w:p w:rsidR="00B105D0" w:rsidRPr="0000318B" w:rsidRDefault="00B105D0" w:rsidP="00B105D0">
      <w:pPr>
        <w:pBdr>
          <w:top w:val="single" w:sz="4" w:space="1" w:color="auto"/>
          <w:left w:val="single" w:sz="4" w:space="4" w:color="auto"/>
          <w:bottom w:val="single" w:sz="4" w:space="1" w:color="auto"/>
          <w:right w:val="single" w:sz="4" w:space="4" w:color="auto"/>
        </w:pBdr>
        <w:spacing w:after="0" w:line="240" w:lineRule="auto"/>
        <w:ind w:left="567" w:hanging="567"/>
        <w:jc w:val="both"/>
        <w:rPr>
          <w:rFonts w:ascii="Times New Roman" w:hAnsi="Times New Roman" w:cs="Times New Roman"/>
          <w:sz w:val="20"/>
          <w:szCs w:val="20"/>
        </w:rPr>
      </w:pPr>
    </w:p>
    <w:p w:rsidR="00B105D0" w:rsidRPr="0000318B" w:rsidRDefault="00B105D0" w:rsidP="00B105D0">
      <w:pPr>
        <w:pBdr>
          <w:top w:val="single" w:sz="4" w:space="1" w:color="auto"/>
          <w:left w:val="single" w:sz="4" w:space="4" w:color="auto"/>
          <w:bottom w:val="single" w:sz="4" w:space="1" w:color="auto"/>
          <w:right w:val="single" w:sz="4" w:space="4" w:color="auto"/>
        </w:pBdr>
        <w:spacing w:after="0" w:line="240" w:lineRule="auto"/>
        <w:ind w:left="567" w:hanging="567"/>
        <w:jc w:val="both"/>
        <w:rPr>
          <w:rFonts w:ascii="Times New Roman" w:hAnsi="Times New Roman" w:cs="Times New Roman"/>
          <w:sz w:val="20"/>
          <w:szCs w:val="20"/>
        </w:rPr>
      </w:pPr>
      <w:r w:rsidRPr="0000318B">
        <w:rPr>
          <w:rFonts w:ascii="Times New Roman" w:hAnsi="Times New Roman" w:cs="Times New Roman"/>
          <w:sz w:val="20"/>
          <w:szCs w:val="20"/>
        </w:rPr>
        <w:t xml:space="preserve">b) </w:t>
      </w:r>
      <w:r w:rsidRPr="000D63ED">
        <w:rPr>
          <w:rFonts w:ascii="Times New Roman" w:hAnsi="Times New Roman" w:cs="Times New Roman"/>
          <w:b/>
          <w:sz w:val="20"/>
          <w:szCs w:val="20"/>
        </w:rPr>
        <w:t>clădiri publice</w:t>
      </w:r>
    </w:p>
    <w:p w:rsidR="00435E0C" w:rsidRDefault="00435E0C" w:rsidP="00435E0C">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0"/>
          <w:szCs w:val="20"/>
        </w:rPr>
      </w:pPr>
      <w:r>
        <w:rPr>
          <w:rFonts w:ascii="Times New Roman" w:hAnsi="Times New Roman" w:cs="Times New Roman"/>
          <w:sz w:val="20"/>
          <w:szCs w:val="20"/>
        </w:rPr>
        <w:t>Investițiile vor fi</w:t>
      </w:r>
      <w:r w:rsidRPr="000360D2">
        <w:rPr>
          <w:rFonts w:ascii="Times New Roman" w:hAnsi="Times New Roman" w:cs="Times New Roman"/>
          <w:sz w:val="20"/>
          <w:szCs w:val="20"/>
        </w:rPr>
        <w:t xml:space="preserve"> realizate</w:t>
      </w:r>
      <w:r>
        <w:rPr>
          <w:rFonts w:ascii="Times New Roman" w:hAnsi="Times New Roman" w:cs="Times New Roman"/>
          <w:sz w:val="20"/>
          <w:szCs w:val="20"/>
        </w:rPr>
        <w:t xml:space="preserve"> în Regiunea Centru, atât în </w:t>
      </w:r>
      <w:r w:rsidRPr="000D63ED">
        <w:rPr>
          <w:rFonts w:ascii="Times New Roman" w:hAnsi="Times New Roman" w:cs="Times New Roman"/>
          <w:b/>
          <w:sz w:val="20"/>
          <w:szCs w:val="20"/>
        </w:rPr>
        <w:t xml:space="preserve">mediul urban </w:t>
      </w:r>
      <w:r w:rsidRPr="000D63ED">
        <w:rPr>
          <w:rFonts w:ascii="Times New Roman" w:hAnsi="Times New Roman" w:cs="Times New Roman"/>
          <w:sz w:val="20"/>
          <w:szCs w:val="20"/>
        </w:rPr>
        <w:t>cât</w:t>
      </w:r>
      <w:r w:rsidRPr="000D63ED">
        <w:rPr>
          <w:rFonts w:ascii="Times New Roman" w:hAnsi="Times New Roman" w:cs="Times New Roman"/>
          <w:b/>
          <w:sz w:val="20"/>
          <w:szCs w:val="20"/>
        </w:rPr>
        <w:t xml:space="preserve"> și rural</w:t>
      </w:r>
      <w:r>
        <w:rPr>
          <w:rFonts w:ascii="Times New Roman" w:hAnsi="Times New Roman" w:cs="Times New Roman"/>
          <w:sz w:val="20"/>
          <w:szCs w:val="20"/>
        </w:rPr>
        <w:t xml:space="preserve">, de către </w:t>
      </w:r>
      <w:r w:rsidRPr="000D63ED">
        <w:rPr>
          <w:rFonts w:ascii="Times New Roman" w:hAnsi="Times New Roman" w:cs="Times New Roman"/>
          <w:sz w:val="20"/>
          <w:szCs w:val="20"/>
        </w:rPr>
        <w:t>autoritățile și instituțiile publice centrale</w:t>
      </w:r>
      <w:r>
        <w:rPr>
          <w:rFonts w:ascii="Times New Roman" w:hAnsi="Times New Roman" w:cs="Times New Roman"/>
          <w:sz w:val="20"/>
          <w:szCs w:val="20"/>
        </w:rPr>
        <w:t xml:space="preserve"> și structurile teritoriale ale acestora</w:t>
      </w:r>
      <w:r w:rsidRPr="000D63ED">
        <w:rPr>
          <w:rFonts w:ascii="Times New Roman" w:hAnsi="Times New Roman" w:cs="Times New Roman"/>
          <w:sz w:val="20"/>
          <w:szCs w:val="20"/>
        </w:rPr>
        <w:t xml:space="preserve">, autoritățile și instituțiile publice </w:t>
      </w:r>
      <w:r>
        <w:rPr>
          <w:rFonts w:ascii="Times New Roman" w:hAnsi="Times New Roman" w:cs="Times New Roman"/>
          <w:sz w:val="20"/>
          <w:szCs w:val="20"/>
        </w:rPr>
        <w:t>județene,</w:t>
      </w:r>
      <w:r w:rsidRPr="000D63ED">
        <w:t xml:space="preserve"> </w:t>
      </w:r>
      <w:r w:rsidRPr="000D63ED">
        <w:rPr>
          <w:rFonts w:ascii="Times New Roman" w:hAnsi="Times New Roman" w:cs="Times New Roman"/>
          <w:sz w:val="20"/>
          <w:szCs w:val="20"/>
        </w:rPr>
        <w:t>autoritățile și instituțiile publice locale, precum și parteneriate între acestea.</w:t>
      </w:r>
    </w:p>
    <w:p w:rsidR="00B105D0" w:rsidRPr="0000318B" w:rsidRDefault="00B105D0" w:rsidP="0055364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0"/>
          <w:szCs w:val="20"/>
        </w:rPr>
      </w:pPr>
    </w:p>
    <w:p w:rsidR="00B105D0" w:rsidRPr="0000318B" w:rsidRDefault="00D02D32" w:rsidP="00B105D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0"/>
          <w:szCs w:val="20"/>
        </w:rPr>
      </w:pPr>
      <w:r>
        <w:rPr>
          <w:rFonts w:ascii="Times New Roman" w:hAnsi="Times New Roman" w:cs="Times New Roman"/>
          <w:sz w:val="20"/>
          <w:szCs w:val="20"/>
        </w:rPr>
        <w:t>c</w:t>
      </w:r>
      <w:r w:rsidR="00B105D0" w:rsidRPr="0000318B">
        <w:rPr>
          <w:rFonts w:ascii="Times New Roman" w:hAnsi="Times New Roman" w:cs="Times New Roman"/>
          <w:sz w:val="20"/>
          <w:szCs w:val="20"/>
        </w:rPr>
        <w:t xml:space="preserve">)  </w:t>
      </w:r>
      <w:r w:rsidR="00B105D0" w:rsidRPr="000D63ED">
        <w:rPr>
          <w:rFonts w:ascii="Times New Roman" w:hAnsi="Times New Roman" w:cs="Times New Roman"/>
          <w:b/>
          <w:sz w:val="20"/>
          <w:szCs w:val="20"/>
        </w:rPr>
        <w:t>iluminat public performant si eficient energetic:</w:t>
      </w:r>
    </w:p>
    <w:p w:rsidR="00B105D0" w:rsidRDefault="00B105D0" w:rsidP="00B105D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0"/>
          <w:szCs w:val="20"/>
        </w:rPr>
      </w:pPr>
      <w:r>
        <w:rPr>
          <w:rFonts w:ascii="Times New Roman" w:hAnsi="Times New Roman" w:cs="Times New Roman"/>
          <w:sz w:val="20"/>
          <w:szCs w:val="20"/>
        </w:rPr>
        <w:t>Investițiile vor fi</w:t>
      </w:r>
      <w:r w:rsidRPr="000360D2">
        <w:rPr>
          <w:rFonts w:ascii="Times New Roman" w:hAnsi="Times New Roman" w:cs="Times New Roman"/>
          <w:sz w:val="20"/>
          <w:szCs w:val="20"/>
        </w:rPr>
        <w:t xml:space="preserve"> realizate</w:t>
      </w:r>
      <w:r>
        <w:rPr>
          <w:rFonts w:ascii="Times New Roman" w:hAnsi="Times New Roman" w:cs="Times New Roman"/>
          <w:sz w:val="20"/>
          <w:szCs w:val="20"/>
        </w:rPr>
        <w:t xml:space="preserve"> în Regiunea Centru, atât în </w:t>
      </w:r>
      <w:r w:rsidRPr="000D63ED">
        <w:rPr>
          <w:rFonts w:ascii="Times New Roman" w:hAnsi="Times New Roman" w:cs="Times New Roman"/>
          <w:b/>
          <w:sz w:val="20"/>
          <w:szCs w:val="20"/>
        </w:rPr>
        <w:t>mediul urban</w:t>
      </w:r>
      <w:r>
        <w:rPr>
          <w:rFonts w:ascii="Times New Roman" w:hAnsi="Times New Roman" w:cs="Times New Roman"/>
          <w:sz w:val="20"/>
          <w:szCs w:val="20"/>
        </w:rPr>
        <w:t xml:space="preserve"> cât și </w:t>
      </w:r>
      <w:r w:rsidRPr="000D63ED">
        <w:rPr>
          <w:rFonts w:ascii="Times New Roman" w:hAnsi="Times New Roman" w:cs="Times New Roman"/>
          <w:b/>
          <w:sz w:val="20"/>
          <w:szCs w:val="20"/>
        </w:rPr>
        <w:t>rural</w:t>
      </w:r>
      <w:r>
        <w:rPr>
          <w:rFonts w:ascii="Times New Roman" w:hAnsi="Times New Roman" w:cs="Times New Roman"/>
          <w:sz w:val="20"/>
          <w:szCs w:val="20"/>
        </w:rPr>
        <w:t>, de către aut</w:t>
      </w:r>
      <w:r w:rsidRPr="000360D2">
        <w:rPr>
          <w:rFonts w:ascii="Times New Roman" w:hAnsi="Times New Roman" w:cs="Times New Roman"/>
          <w:sz w:val="20"/>
          <w:szCs w:val="20"/>
        </w:rPr>
        <w:t>oritățile publice locale</w:t>
      </w:r>
      <w:r>
        <w:rPr>
          <w:rFonts w:ascii="Times New Roman" w:hAnsi="Times New Roman" w:cs="Times New Roman"/>
          <w:sz w:val="20"/>
          <w:szCs w:val="20"/>
        </w:rPr>
        <w:t>/autoritățile publice județene sau de parteneriate între acestea.</w:t>
      </w:r>
    </w:p>
    <w:p w:rsidR="006169A6" w:rsidRPr="006B6325" w:rsidRDefault="006169A6" w:rsidP="00662466">
      <w:pPr>
        <w:spacing w:before="120" w:after="120" w:line="360" w:lineRule="auto"/>
        <w:jc w:val="both"/>
        <w:rPr>
          <w:rFonts w:ascii="Times New Roman" w:eastAsia="Times New Roman" w:hAnsi="Times New Roman" w:cs="Times New Roman"/>
          <w:i/>
          <w:noProof/>
          <w:sz w:val="24"/>
          <w:szCs w:val="24"/>
          <w:lang w:val="en-GB"/>
        </w:rPr>
      </w:pPr>
      <w:r w:rsidRPr="006B6325">
        <w:rPr>
          <w:rFonts w:ascii="Times New Roman" w:eastAsia="Times New Roman" w:hAnsi="Times New Roman" w:cs="Times New Roman"/>
          <w:i/>
          <w:noProof/>
          <w:sz w:val="24"/>
          <w:szCs w:val="24"/>
          <w:lang w:val="en-GB"/>
        </w:rPr>
        <w:lastRenderedPageBreak/>
        <w:t>The interregional and transnational actions  –Article – 17(3)(d)(v)</w:t>
      </w:r>
    </w:p>
    <w:p w:rsidR="006169A6" w:rsidRPr="006B6325" w:rsidRDefault="006169A6" w:rsidP="00BE0E09">
      <w:pPr>
        <w:pStyle w:val="Default"/>
        <w:jc w:val="both"/>
        <w:rPr>
          <w:rFonts w:ascii="Times New Roman" w:hAnsi="Times New Roman" w:cs="Times New Roman"/>
          <w:i/>
          <w:color w:val="1F497D" w:themeColor="text2"/>
          <w:sz w:val="22"/>
          <w:szCs w:val="20"/>
          <w:lang w:val="ro-RO"/>
        </w:rPr>
      </w:pPr>
      <w:r w:rsidRPr="006B6325">
        <w:rPr>
          <w:rFonts w:ascii="Times New Roman" w:hAnsi="Times New Roman" w:cs="Times New Roman"/>
          <w:i/>
          <w:color w:val="1F497D" w:themeColor="text2"/>
          <w:sz w:val="22"/>
          <w:szCs w:val="20"/>
          <w:lang w:val="ro-RO"/>
        </w:rPr>
        <w:t xml:space="preserve">Articolul 17(3)(d ) Fiecare program stabilește pentru fiecare obiectiv specific: </w:t>
      </w:r>
    </w:p>
    <w:p w:rsidR="006169A6" w:rsidRPr="006B6325" w:rsidRDefault="006169A6" w:rsidP="006169A6">
      <w:pPr>
        <w:pStyle w:val="Default"/>
        <w:ind w:left="720"/>
        <w:jc w:val="both"/>
        <w:rPr>
          <w:rFonts w:ascii="Times New Roman" w:hAnsi="Times New Roman" w:cs="Times New Roman"/>
          <w:i/>
          <w:color w:val="1F497D" w:themeColor="text2"/>
          <w:sz w:val="22"/>
          <w:szCs w:val="20"/>
          <w:lang w:val="ro-RO"/>
        </w:rPr>
      </w:pPr>
      <w:r w:rsidRPr="006B6325">
        <w:rPr>
          <w:rFonts w:ascii="Times New Roman" w:hAnsi="Times New Roman" w:cs="Times New Roman"/>
          <w:i/>
          <w:color w:val="1F497D" w:themeColor="text2"/>
          <w:sz w:val="22"/>
          <w:szCs w:val="20"/>
          <w:lang w:val="ro-RO"/>
        </w:rPr>
        <w:t xml:space="preserve"> (v) acțiunile interregionale și transnaționale ai căror beneficiari se află în cel puțin un alt stat membru; </w:t>
      </w:r>
    </w:p>
    <w:p w:rsidR="006169A6" w:rsidRPr="006B6325" w:rsidRDefault="006169A6" w:rsidP="006169A6">
      <w:pPr>
        <w:pBdr>
          <w:top w:val="single" w:sz="4" w:space="0"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iCs/>
          <w:noProof/>
          <w:sz w:val="24"/>
          <w:szCs w:val="24"/>
          <w:lang w:val="en-GB"/>
        </w:rPr>
      </w:pPr>
      <w:r w:rsidRPr="006B6325">
        <w:rPr>
          <w:rFonts w:ascii="Times New Roman" w:eastAsia="Times New Roman" w:hAnsi="Times New Roman" w:cs="Times New Roman"/>
          <w:i/>
          <w:iCs/>
          <w:noProof/>
          <w:sz w:val="24"/>
          <w:szCs w:val="24"/>
          <w:lang w:val="en-GB"/>
        </w:rPr>
        <w:t>Text field [2 000]</w:t>
      </w:r>
    </w:p>
    <w:p w:rsidR="006169A6" w:rsidRPr="00AF6AF5" w:rsidRDefault="006169A6" w:rsidP="006169A6">
      <w:pPr>
        <w:pBdr>
          <w:top w:val="single" w:sz="4" w:space="0"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noProof/>
          <w:sz w:val="20"/>
          <w:szCs w:val="20"/>
          <w:lang w:val="en-GB"/>
        </w:rPr>
      </w:pPr>
      <w:r w:rsidRPr="00AF6AF5">
        <w:rPr>
          <w:rFonts w:ascii="Times New Roman" w:eastAsia="Times New Roman" w:hAnsi="Times New Roman" w:cs="Times New Roman"/>
          <w:i/>
          <w:noProof/>
          <w:sz w:val="20"/>
          <w:szCs w:val="20"/>
          <w:lang w:val="en-GB"/>
        </w:rPr>
        <w:t xml:space="preserve">Cooperarea este un element esențial în dezvoltarea regională şi un obiectiv al politicii de coeziune. De-a lungul timpului, Regiunea Centru a dezvoltat o rețea de parteneriate cu regiuni şi organizații din </w:t>
      </w:r>
      <w:r w:rsidR="003419ED">
        <w:rPr>
          <w:rFonts w:ascii="Times New Roman" w:eastAsia="Times New Roman" w:hAnsi="Times New Roman" w:cs="Times New Roman"/>
          <w:i/>
          <w:noProof/>
          <w:sz w:val="20"/>
          <w:szCs w:val="20"/>
          <w:lang w:val="en-GB"/>
        </w:rPr>
        <w:t>UE</w:t>
      </w:r>
      <w:r w:rsidRPr="00AF6AF5">
        <w:rPr>
          <w:rFonts w:ascii="Times New Roman" w:eastAsia="Times New Roman" w:hAnsi="Times New Roman" w:cs="Times New Roman"/>
          <w:i/>
          <w:noProof/>
          <w:sz w:val="20"/>
          <w:szCs w:val="20"/>
          <w:lang w:val="en-GB"/>
        </w:rPr>
        <w:t xml:space="preserve"> care i-au facilitat participarea în 34 de proiecte de cooperare transnațională și interregională. Implicarea în aceste programe a oferit şi oferă regiuniioportunitatea de a participa la procese de învățare, schimb de experiență și împărtășire de bune practici cu alți actori europeni implicați în valorificarea sustenabilă a energiei și creșterea eficienței energetice</w:t>
      </w:r>
      <w:r w:rsidR="003419ED">
        <w:rPr>
          <w:rFonts w:ascii="Times New Roman" w:eastAsia="Times New Roman" w:hAnsi="Times New Roman" w:cs="Times New Roman"/>
          <w:i/>
          <w:noProof/>
          <w:sz w:val="20"/>
          <w:szCs w:val="20"/>
          <w:lang w:val="en-GB"/>
        </w:rPr>
        <w:t>,</w:t>
      </w:r>
      <w:r w:rsidRPr="00AF6AF5">
        <w:rPr>
          <w:rFonts w:ascii="Times New Roman" w:eastAsia="Times New Roman" w:hAnsi="Times New Roman" w:cs="Times New Roman"/>
          <w:i/>
          <w:noProof/>
          <w:sz w:val="20"/>
          <w:szCs w:val="20"/>
          <w:lang w:val="en-GB"/>
        </w:rPr>
        <w:t xml:space="preserve"> dar și în alte domenii relevante pentru dezvoltarea </w:t>
      </w:r>
      <w:r w:rsidR="00B71C21">
        <w:rPr>
          <w:rFonts w:ascii="Times New Roman" w:eastAsia="Times New Roman" w:hAnsi="Times New Roman" w:cs="Times New Roman"/>
          <w:i/>
          <w:noProof/>
          <w:sz w:val="20"/>
          <w:szCs w:val="20"/>
          <w:lang w:val="en-GB"/>
        </w:rPr>
        <w:t>sustenabila</w:t>
      </w:r>
      <w:r w:rsidR="00B71C21" w:rsidRPr="00AF6AF5">
        <w:rPr>
          <w:rFonts w:ascii="Times New Roman" w:eastAsia="Times New Roman" w:hAnsi="Times New Roman" w:cs="Times New Roman"/>
          <w:i/>
          <w:noProof/>
          <w:sz w:val="20"/>
          <w:szCs w:val="20"/>
          <w:lang w:val="en-GB"/>
        </w:rPr>
        <w:t xml:space="preserve"> </w:t>
      </w:r>
      <w:r w:rsidRPr="00AF6AF5">
        <w:rPr>
          <w:rFonts w:ascii="Times New Roman" w:eastAsia="Times New Roman" w:hAnsi="Times New Roman" w:cs="Times New Roman"/>
          <w:i/>
          <w:noProof/>
          <w:sz w:val="20"/>
          <w:szCs w:val="20"/>
          <w:lang w:val="en-GB"/>
        </w:rPr>
        <w:t xml:space="preserve">a regiunii, precum: specializare inteligentă, adaptarea la schimbările climatice, mobilitate urbană durabilă, abordarea conceptului de economie circulară etc. Participarea la aceste programe a permis de-a lungul timpului realizarea de studii, organizarea de cursuri de formare pentru reprezentanții autorităților publice </w:t>
      </w:r>
      <w:r w:rsidR="003419ED">
        <w:rPr>
          <w:rFonts w:ascii="Times New Roman" w:eastAsia="Times New Roman" w:hAnsi="Times New Roman" w:cs="Times New Roman"/>
          <w:i/>
          <w:noProof/>
          <w:sz w:val="20"/>
          <w:szCs w:val="20"/>
          <w:lang w:val="en-GB"/>
        </w:rPr>
        <w:t>ș</w:t>
      </w:r>
      <w:r w:rsidRPr="00AF6AF5">
        <w:rPr>
          <w:rFonts w:ascii="Times New Roman" w:eastAsia="Times New Roman" w:hAnsi="Times New Roman" w:cs="Times New Roman"/>
          <w:i/>
          <w:noProof/>
          <w:sz w:val="20"/>
          <w:szCs w:val="20"/>
          <w:lang w:val="en-GB"/>
        </w:rPr>
        <w:t>i/</w:t>
      </w:r>
      <w:r w:rsidR="003419ED">
        <w:rPr>
          <w:rFonts w:ascii="Times New Roman" w:eastAsia="Times New Roman" w:hAnsi="Times New Roman" w:cs="Times New Roman"/>
          <w:i/>
          <w:noProof/>
          <w:sz w:val="20"/>
          <w:szCs w:val="20"/>
          <w:lang w:val="en-GB"/>
        </w:rPr>
        <w:t xml:space="preserve"> </w:t>
      </w:r>
      <w:r w:rsidRPr="00AF6AF5">
        <w:rPr>
          <w:rFonts w:ascii="Times New Roman" w:eastAsia="Times New Roman" w:hAnsi="Times New Roman" w:cs="Times New Roman"/>
          <w:i/>
          <w:noProof/>
          <w:sz w:val="20"/>
          <w:szCs w:val="20"/>
          <w:lang w:val="en-GB"/>
        </w:rPr>
        <w:t>sau potențiali solicitanți (de ex</w:t>
      </w:r>
      <w:r w:rsidR="003419ED">
        <w:rPr>
          <w:rFonts w:ascii="Times New Roman" w:eastAsia="Times New Roman" w:hAnsi="Times New Roman" w:cs="Times New Roman"/>
          <w:i/>
          <w:noProof/>
          <w:sz w:val="20"/>
          <w:szCs w:val="20"/>
          <w:lang w:val="en-GB"/>
        </w:rPr>
        <w:t>.:</w:t>
      </w:r>
      <w:r w:rsidRPr="00AF6AF5">
        <w:rPr>
          <w:rFonts w:ascii="Times New Roman" w:eastAsia="Times New Roman" w:hAnsi="Times New Roman" w:cs="Times New Roman"/>
          <w:i/>
          <w:noProof/>
          <w:sz w:val="20"/>
          <w:szCs w:val="20"/>
          <w:lang w:val="en-GB"/>
        </w:rPr>
        <w:t xml:space="preserve"> curs nZeB organizat la Sfântu Gheorghe, atelier de scriere proiecte organizat cu sprijinul Centrului Comun de Cercetare al Comisiei Europene)</w:t>
      </w:r>
      <w:r w:rsidR="003419ED">
        <w:rPr>
          <w:rFonts w:ascii="Times New Roman" w:eastAsia="Times New Roman" w:hAnsi="Times New Roman" w:cs="Times New Roman"/>
          <w:i/>
          <w:noProof/>
          <w:sz w:val="20"/>
          <w:szCs w:val="20"/>
          <w:lang w:val="en-GB"/>
        </w:rPr>
        <w:t>,</w:t>
      </w:r>
      <w:r w:rsidRPr="00AF6AF5">
        <w:rPr>
          <w:rFonts w:ascii="Times New Roman" w:eastAsia="Times New Roman" w:hAnsi="Times New Roman" w:cs="Times New Roman"/>
          <w:i/>
          <w:noProof/>
          <w:sz w:val="20"/>
          <w:szCs w:val="20"/>
          <w:lang w:val="en-GB"/>
        </w:rPr>
        <w:t xml:space="preserve"> dar și întâlniri cu factorii cheie de la nivel regional (autorități publice locale și județene, universități, mediul de afaceri, clustere, organizații neguvernamentale etc.), includerea pe agenda publică a unor teme de interes, calibrarea documentelor de programare la tendințele și direcțiile de dezvoltare ale Europei și</w:t>
      </w:r>
      <w:r w:rsidR="003419ED">
        <w:rPr>
          <w:rFonts w:ascii="Times New Roman" w:eastAsia="Times New Roman" w:hAnsi="Times New Roman" w:cs="Times New Roman"/>
          <w:i/>
          <w:noProof/>
          <w:sz w:val="20"/>
          <w:szCs w:val="20"/>
          <w:lang w:val="en-GB"/>
        </w:rPr>
        <w:t>,</w:t>
      </w:r>
      <w:r w:rsidRPr="00AF6AF5">
        <w:rPr>
          <w:rFonts w:ascii="Times New Roman" w:eastAsia="Times New Roman" w:hAnsi="Times New Roman" w:cs="Times New Roman"/>
          <w:i/>
          <w:noProof/>
          <w:sz w:val="20"/>
          <w:szCs w:val="20"/>
          <w:lang w:val="en-GB"/>
        </w:rPr>
        <w:t xml:space="preserve"> nu în ultimul rând, a contribuit la promovarea Regiunii Centru la nivel european. </w:t>
      </w:r>
    </w:p>
    <w:p w:rsidR="006169A6" w:rsidRPr="00AF6AF5" w:rsidRDefault="006169A6" w:rsidP="006169A6">
      <w:pPr>
        <w:pBdr>
          <w:top w:val="single" w:sz="4" w:space="0"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noProof/>
          <w:sz w:val="20"/>
          <w:szCs w:val="20"/>
          <w:lang w:val="en-GB"/>
        </w:rPr>
      </w:pPr>
      <w:r w:rsidRPr="00AF6AF5">
        <w:rPr>
          <w:rFonts w:ascii="Times New Roman" w:eastAsia="Times New Roman" w:hAnsi="Times New Roman" w:cs="Times New Roman"/>
          <w:i/>
          <w:noProof/>
          <w:sz w:val="20"/>
          <w:szCs w:val="20"/>
          <w:lang w:val="en-GB"/>
        </w:rPr>
        <w:t>Aceast demers va continua și în perioda de programare 2021-2027 prin participarea la Programele de Cooperare Teritorială</w:t>
      </w:r>
      <w:r w:rsidR="003419ED">
        <w:rPr>
          <w:rFonts w:ascii="Times New Roman" w:eastAsia="Times New Roman" w:hAnsi="Times New Roman" w:cs="Times New Roman"/>
          <w:i/>
          <w:noProof/>
          <w:sz w:val="20"/>
          <w:szCs w:val="20"/>
          <w:lang w:val="en-GB"/>
        </w:rPr>
        <w:t>,</w:t>
      </w:r>
      <w:r w:rsidRPr="00AF6AF5">
        <w:rPr>
          <w:rFonts w:ascii="Times New Roman" w:eastAsia="Times New Roman" w:hAnsi="Times New Roman" w:cs="Times New Roman"/>
          <w:i/>
          <w:noProof/>
          <w:sz w:val="20"/>
          <w:szCs w:val="20"/>
          <w:lang w:val="en-GB"/>
        </w:rPr>
        <w:t xml:space="preserve"> precum Interreg Europe 2021-2027, ce va permite imple</w:t>
      </w:r>
      <w:r w:rsidR="00AF6AF5">
        <w:rPr>
          <w:rFonts w:ascii="Times New Roman" w:eastAsia="Times New Roman" w:hAnsi="Times New Roman" w:cs="Times New Roman"/>
          <w:i/>
          <w:noProof/>
          <w:sz w:val="20"/>
          <w:szCs w:val="20"/>
          <w:lang w:val="en-GB"/>
        </w:rPr>
        <w:t>me</w:t>
      </w:r>
      <w:r w:rsidRPr="00AF6AF5">
        <w:rPr>
          <w:rFonts w:ascii="Times New Roman" w:eastAsia="Times New Roman" w:hAnsi="Times New Roman" w:cs="Times New Roman"/>
          <w:i/>
          <w:noProof/>
          <w:sz w:val="20"/>
          <w:szCs w:val="20"/>
          <w:lang w:val="en-GB"/>
        </w:rPr>
        <w:t>ntarea unor acțiuni comune, schimb de practici și strategii de intervenție care să contribuie la dezvoltarea sustenabilă a regiunii.</w:t>
      </w:r>
    </w:p>
    <w:p w:rsidR="006169A6" w:rsidRPr="006B6325" w:rsidRDefault="006169A6" w:rsidP="006169A6">
      <w:pPr>
        <w:spacing w:before="120" w:after="120" w:line="360" w:lineRule="auto"/>
        <w:rPr>
          <w:rFonts w:ascii="Times New Roman" w:eastAsia="Times New Roman" w:hAnsi="Times New Roman" w:cs="Times New Roman"/>
          <w:b/>
          <w:i/>
          <w:iCs/>
          <w:noProof/>
          <w:sz w:val="24"/>
          <w:szCs w:val="24"/>
          <w:lang w:val="en-GB"/>
        </w:rPr>
      </w:pPr>
      <w:r w:rsidRPr="006B6325">
        <w:rPr>
          <w:rFonts w:ascii="Times New Roman" w:eastAsia="Times New Roman" w:hAnsi="Times New Roman" w:cs="Times New Roman"/>
          <w:i/>
          <w:noProof/>
          <w:sz w:val="24"/>
          <w:szCs w:val="24"/>
          <w:lang w:val="en-GB"/>
        </w:rPr>
        <w:t>The planned use of financial instruments – Article – 17(3)(d)(vi)</w:t>
      </w:r>
    </w:p>
    <w:p w:rsidR="006169A6" w:rsidRPr="006B6325" w:rsidRDefault="006169A6" w:rsidP="006169A6">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iCs/>
          <w:noProof/>
          <w:sz w:val="24"/>
          <w:szCs w:val="24"/>
          <w:lang w:val="en-GB"/>
        </w:rPr>
      </w:pPr>
      <w:r w:rsidRPr="006B6325">
        <w:rPr>
          <w:rFonts w:ascii="Times New Roman" w:eastAsia="Times New Roman" w:hAnsi="Times New Roman" w:cs="Times New Roman"/>
          <w:i/>
          <w:iCs/>
          <w:noProof/>
          <w:sz w:val="24"/>
          <w:szCs w:val="24"/>
          <w:lang w:val="en-GB"/>
        </w:rPr>
        <w:t>Text field [1 000]</w:t>
      </w:r>
    </w:p>
    <w:p w:rsidR="006169A6" w:rsidRPr="006B6325" w:rsidRDefault="006169A6" w:rsidP="006169A6">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iCs/>
          <w:noProof/>
          <w:sz w:val="24"/>
          <w:szCs w:val="24"/>
          <w:lang w:val="en-GB"/>
        </w:rPr>
      </w:pPr>
    </w:p>
    <w:p w:rsidR="006169A6" w:rsidRDefault="006169A6" w:rsidP="006169A6">
      <w:pPr>
        <w:spacing w:after="0" w:line="240" w:lineRule="auto"/>
        <w:rPr>
          <w:rFonts w:ascii="Times New Roman" w:hAnsi="Times New Roman" w:cs="Times New Roman"/>
          <w:b/>
          <w:iCs/>
          <w:sz w:val="24"/>
          <w:szCs w:val="24"/>
          <w:lang w:val="en-GB"/>
        </w:rPr>
        <w:sectPr w:rsidR="006169A6" w:rsidSect="00F000AD">
          <w:footerReference w:type="default" r:id="rId10"/>
          <w:pgSz w:w="11906" w:h="16838"/>
          <w:pgMar w:top="1134" w:right="1134" w:bottom="1134" w:left="1134" w:header="567" w:footer="567" w:gutter="0"/>
          <w:cols w:space="720"/>
          <w:docGrid w:linePitch="326"/>
        </w:sectPr>
      </w:pPr>
    </w:p>
    <w:tbl>
      <w:tblPr>
        <w:tblW w:w="53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2"/>
        <w:gridCol w:w="2601"/>
        <w:gridCol w:w="1089"/>
        <w:gridCol w:w="1544"/>
        <w:gridCol w:w="1503"/>
        <w:gridCol w:w="3485"/>
        <w:gridCol w:w="1309"/>
        <w:gridCol w:w="1306"/>
        <w:gridCol w:w="1954"/>
      </w:tblGrid>
      <w:tr w:rsidR="009A6765" w:rsidRPr="0000318B" w:rsidTr="009A6765">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rsidR="009A6765" w:rsidRPr="0000318B" w:rsidRDefault="009A6765" w:rsidP="009A6765">
            <w:pPr>
              <w:spacing w:after="0" w:line="240" w:lineRule="auto"/>
              <w:rPr>
                <w:rFonts w:ascii="Times New Roman" w:hAnsi="Times New Roman" w:cs="Times New Roman"/>
                <w:b/>
                <w:sz w:val="20"/>
                <w:szCs w:val="20"/>
                <w:lang w:val="en-US"/>
              </w:rPr>
            </w:pPr>
            <w:r w:rsidRPr="0000318B">
              <w:rPr>
                <w:rFonts w:ascii="Times New Roman" w:hAnsi="Times New Roman" w:cs="Times New Roman"/>
                <w:b/>
                <w:iCs/>
                <w:sz w:val="20"/>
                <w:szCs w:val="20"/>
                <w:lang w:val="en-US"/>
              </w:rPr>
              <w:lastRenderedPageBreak/>
              <w:t>Table 2: Output indicators</w:t>
            </w:r>
          </w:p>
        </w:tc>
      </w:tr>
      <w:tr w:rsidR="009A6765" w:rsidRPr="0000318B" w:rsidTr="00E95FAC">
        <w:trPr>
          <w:trHeight w:val="937"/>
        </w:trPr>
        <w:tc>
          <w:tcPr>
            <w:tcW w:w="344" w:type="pct"/>
            <w:tcBorders>
              <w:top w:val="single" w:sz="4" w:space="0" w:color="auto"/>
              <w:left w:val="single" w:sz="4" w:space="0" w:color="auto"/>
              <w:bottom w:val="single" w:sz="4" w:space="0" w:color="auto"/>
              <w:right w:val="single" w:sz="4" w:space="0" w:color="auto"/>
            </w:tcBorders>
            <w:hideMark/>
          </w:tcPr>
          <w:p w:rsidR="009A6765" w:rsidRPr="0000318B" w:rsidRDefault="009A6765" w:rsidP="009A6765">
            <w:pPr>
              <w:spacing w:after="0" w:line="240" w:lineRule="auto"/>
              <w:rPr>
                <w:rFonts w:ascii="Times New Roman" w:hAnsi="Times New Roman" w:cs="Times New Roman"/>
                <w:b/>
                <w:sz w:val="20"/>
                <w:szCs w:val="20"/>
                <w:lang w:val="en-US"/>
              </w:rPr>
            </w:pPr>
            <w:r w:rsidRPr="0000318B">
              <w:rPr>
                <w:rFonts w:ascii="Times New Roman" w:hAnsi="Times New Roman" w:cs="Times New Roman"/>
                <w:b/>
                <w:sz w:val="20"/>
                <w:szCs w:val="20"/>
                <w:lang w:val="en-US"/>
              </w:rPr>
              <w:t xml:space="preserve">Priority </w:t>
            </w:r>
          </w:p>
        </w:tc>
        <w:tc>
          <w:tcPr>
            <w:tcW w:w="819" w:type="pct"/>
            <w:tcBorders>
              <w:top w:val="single" w:sz="4" w:space="0" w:color="auto"/>
              <w:left w:val="single" w:sz="4" w:space="0" w:color="auto"/>
              <w:bottom w:val="single" w:sz="4" w:space="0" w:color="auto"/>
              <w:right w:val="single" w:sz="4" w:space="0" w:color="auto"/>
            </w:tcBorders>
            <w:hideMark/>
          </w:tcPr>
          <w:p w:rsidR="009A6765" w:rsidRPr="0000318B" w:rsidRDefault="009A6765" w:rsidP="009A6765">
            <w:pPr>
              <w:spacing w:after="0" w:line="240" w:lineRule="auto"/>
              <w:rPr>
                <w:rFonts w:ascii="Times New Roman" w:hAnsi="Times New Roman" w:cs="Times New Roman"/>
                <w:b/>
                <w:sz w:val="20"/>
                <w:szCs w:val="20"/>
                <w:lang w:val="en-US"/>
              </w:rPr>
            </w:pPr>
            <w:r w:rsidRPr="0000318B">
              <w:rPr>
                <w:rFonts w:ascii="Times New Roman" w:hAnsi="Times New Roman" w:cs="Times New Roman"/>
                <w:b/>
                <w:sz w:val="20"/>
                <w:szCs w:val="20"/>
                <w:lang w:val="en-US"/>
              </w:rPr>
              <w:t>Specific objective (Investment for Jobs and Growth goal or EMFF)</w:t>
            </w:r>
          </w:p>
        </w:tc>
        <w:tc>
          <w:tcPr>
            <w:tcW w:w="343" w:type="pct"/>
            <w:tcBorders>
              <w:top w:val="single" w:sz="4" w:space="0" w:color="auto"/>
              <w:left w:val="single" w:sz="4" w:space="0" w:color="auto"/>
              <w:bottom w:val="single" w:sz="4" w:space="0" w:color="auto"/>
              <w:right w:val="single" w:sz="4" w:space="0" w:color="auto"/>
            </w:tcBorders>
            <w:hideMark/>
          </w:tcPr>
          <w:p w:rsidR="009A6765" w:rsidRPr="0000318B" w:rsidRDefault="009A6765" w:rsidP="009A6765">
            <w:pPr>
              <w:spacing w:after="0" w:line="240" w:lineRule="auto"/>
              <w:rPr>
                <w:rFonts w:ascii="Times New Roman" w:hAnsi="Times New Roman" w:cs="Times New Roman"/>
                <w:b/>
                <w:sz w:val="20"/>
                <w:szCs w:val="20"/>
                <w:lang w:val="en-US"/>
              </w:rPr>
            </w:pPr>
            <w:r w:rsidRPr="0000318B">
              <w:rPr>
                <w:rFonts w:ascii="Times New Roman" w:hAnsi="Times New Roman" w:cs="Times New Roman"/>
                <w:b/>
                <w:sz w:val="20"/>
                <w:szCs w:val="20"/>
                <w:lang w:val="en-US"/>
              </w:rPr>
              <w:t>Fund</w:t>
            </w:r>
          </w:p>
        </w:tc>
        <w:tc>
          <w:tcPr>
            <w:tcW w:w="486" w:type="pct"/>
            <w:tcBorders>
              <w:top w:val="single" w:sz="4" w:space="0" w:color="auto"/>
              <w:left w:val="single" w:sz="4" w:space="0" w:color="auto"/>
              <w:bottom w:val="single" w:sz="4" w:space="0" w:color="auto"/>
              <w:right w:val="single" w:sz="4" w:space="0" w:color="auto"/>
            </w:tcBorders>
            <w:hideMark/>
          </w:tcPr>
          <w:p w:rsidR="009A6765" w:rsidRPr="0000318B" w:rsidRDefault="009A6765" w:rsidP="009A6765">
            <w:pPr>
              <w:spacing w:after="0" w:line="240" w:lineRule="auto"/>
              <w:rPr>
                <w:rFonts w:ascii="Times New Roman" w:hAnsi="Times New Roman" w:cs="Times New Roman"/>
                <w:b/>
                <w:sz w:val="20"/>
                <w:szCs w:val="20"/>
                <w:lang w:val="en-US"/>
              </w:rPr>
            </w:pPr>
            <w:r w:rsidRPr="0000318B">
              <w:rPr>
                <w:rFonts w:ascii="Times New Roman" w:hAnsi="Times New Roman" w:cs="Times New Roman"/>
                <w:b/>
                <w:sz w:val="20"/>
                <w:szCs w:val="20"/>
                <w:lang w:val="en-US"/>
              </w:rPr>
              <w:t>Category of region</w:t>
            </w:r>
          </w:p>
        </w:tc>
        <w:tc>
          <w:tcPr>
            <w:tcW w:w="473" w:type="pct"/>
            <w:tcBorders>
              <w:top w:val="single" w:sz="4" w:space="0" w:color="auto"/>
              <w:left w:val="single" w:sz="4" w:space="0" w:color="auto"/>
              <w:bottom w:val="single" w:sz="4" w:space="0" w:color="auto"/>
              <w:right w:val="single" w:sz="4" w:space="0" w:color="auto"/>
            </w:tcBorders>
            <w:hideMark/>
          </w:tcPr>
          <w:p w:rsidR="009A6765" w:rsidRPr="0000318B" w:rsidRDefault="009A6765" w:rsidP="009A6765">
            <w:pPr>
              <w:spacing w:after="0" w:line="240" w:lineRule="auto"/>
              <w:jc w:val="center"/>
              <w:rPr>
                <w:rFonts w:ascii="Times New Roman" w:hAnsi="Times New Roman" w:cs="Times New Roman"/>
                <w:b/>
                <w:sz w:val="20"/>
                <w:szCs w:val="20"/>
                <w:lang w:val="en-US"/>
              </w:rPr>
            </w:pPr>
            <w:r w:rsidRPr="0000318B">
              <w:rPr>
                <w:rFonts w:ascii="Times New Roman" w:hAnsi="Times New Roman" w:cs="Times New Roman"/>
                <w:b/>
                <w:sz w:val="20"/>
                <w:szCs w:val="20"/>
                <w:lang w:val="en-US"/>
              </w:rPr>
              <w:t>ID [5]</w:t>
            </w:r>
          </w:p>
        </w:tc>
        <w:tc>
          <w:tcPr>
            <w:tcW w:w="1097" w:type="pct"/>
            <w:tcBorders>
              <w:top w:val="single" w:sz="4" w:space="0" w:color="auto"/>
              <w:left w:val="single" w:sz="4" w:space="0" w:color="auto"/>
              <w:bottom w:val="single" w:sz="4" w:space="0" w:color="auto"/>
              <w:right w:val="single" w:sz="4" w:space="0" w:color="auto"/>
            </w:tcBorders>
            <w:hideMark/>
          </w:tcPr>
          <w:p w:rsidR="009A6765" w:rsidRPr="0000318B" w:rsidRDefault="009A6765" w:rsidP="009A6765">
            <w:pPr>
              <w:spacing w:after="0" w:line="240" w:lineRule="auto"/>
              <w:rPr>
                <w:rFonts w:ascii="Times New Roman" w:hAnsi="Times New Roman" w:cs="Times New Roman"/>
                <w:b/>
                <w:sz w:val="20"/>
                <w:szCs w:val="20"/>
                <w:lang w:val="en-US"/>
              </w:rPr>
            </w:pPr>
            <w:r w:rsidRPr="0000318B">
              <w:rPr>
                <w:rFonts w:ascii="Times New Roman" w:hAnsi="Times New Roman" w:cs="Times New Roman"/>
                <w:b/>
                <w:sz w:val="20"/>
                <w:szCs w:val="20"/>
                <w:lang w:val="en-US"/>
              </w:rPr>
              <w:t xml:space="preserve">Indicator [255] </w:t>
            </w:r>
          </w:p>
        </w:tc>
        <w:tc>
          <w:tcPr>
            <w:tcW w:w="412" w:type="pct"/>
            <w:tcBorders>
              <w:top w:val="single" w:sz="4" w:space="0" w:color="auto"/>
              <w:left w:val="single" w:sz="4" w:space="0" w:color="auto"/>
              <w:bottom w:val="single" w:sz="4" w:space="0" w:color="auto"/>
              <w:right w:val="single" w:sz="4" w:space="0" w:color="auto"/>
            </w:tcBorders>
            <w:hideMark/>
          </w:tcPr>
          <w:p w:rsidR="009A6765" w:rsidRPr="0000318B" w:rsidRDefault="009A6765" w:rsidP="009A6765">
            <w:pPr>
              <w:spacing w:after="0" w:line="240" w:lineRule="auto"/>
              <w:rPr>
                <w:rFonts w:ascii="Times New Roman" w:hAnsi="Times New Roman" w:cs="Times New Roman"/>
                <w:b/>
                <w:sz w:val="20"/>
                <w:szCs w:val="20"/>
                <w:lang w:val="en-US"/>
              </w:rPr>
            </w:pPr>
            <w:r w:rsidRPr="0000318B">
              <w:rPr>
                <w:rFonts w:ascii="Times New Roman" w:hAnsi="Times New Roman" w:cs="Times New Roman"/>
                <w:b/>
                <w:sz w:val="20"/>
                <w:szCs w:val="20"/>
                <w:lang w:val="en-US"/>
              </w:rPr>
              <w:t>Measurement unit</w:t>
            </w:r>
          </w:p>
        </w:tc>
        <w:tc>
          <w:tcPr>
            <w:tcW w:w="411" w:type="pct"/>
            <w:tcBorders>
              <w:top w:val="single" w:sz="4" w:space="0" w:color="auto"/>
              <w:left w:val="single" w:sz="4" w:space="0" w:color="auto"/>
              <w:bottom w:val="single" w:sz="4" w:space="0" w:color="auto"/>
              <w:right w:val="single" w:sz="4" w:space="0" w:color="auto"/>
            </w:tcBorders>
          </w:tcPr>
          <w:p w:rsidR="009A6765" w:rsidRPr="0000318B" w:rsidRDefault="009A6765" w:rsidP="009A6765">
            <w:pPr>
              <w:spacing w:after="0" w:line="240" w:lineRule="auto"/>
              <w:rPr>
                <w:rFonts w:ascii="Times New Roman" w:hAnsi="Times New Roman" w:cs="Times New Roman"/>
                <w:b/>
                <w:sz w:val="20"/>
                <w:szCs w:val="20"/>
                <w:lang w:val="en-US"/>
              </w:rPr>
            </w:pPr>
            <w:r w:rsidRPr="0000318B">
              <w:rPr>
                <w:rFonts w:ascii="Times New Roman" w:hAnsi="Times New Roman" w:cs="Times New Roman"/>
                <w:b/>
                <w:sz w:val="20"/>
                <w:szCs w:val="20"/>
                <w:lang w:val="en-US"/>
              </w:rPr>
              <w:t>Milestone (2024)</w:t>
            </w:r>
          </w:p>
          <w:p w:rsidR="009A6765" w:rsidRPr="0000318B" w:rsidRDefault="009A6765" w:rsidP="009A6765">
            <w:pPr>
              <w:spacing w:after="0" w:line="240" w:lineRule="auto"/>
              <w:rPr>
                <w:rFonts w:ascii="Times New Roman" w:hAnsi="Times New Roman" w:cs="Times New Roman"/>
                <w:b/>
                <w:sz w:val="20"/>
                <w:szCs w:val="20"/>
                <w:lang w:val="en-US"/>
              </w:rPr>
            </w:pPr>
          </w:p>
        </w:tc>
        <w:tc>
          <w:tcPr>
            <w:tcW w:w="615" w:type="pct"/>
            <w:tcBorders>
              <w:top w:val="single" w:sz="4" w:space="0" w:color="auto"/>
              <w:left w:val="single" w:sz="4" w:space="0" w:color="auto"/>
              <w:bottom w:val="single" w:sz="4" w:space="0" w:color="auto"/>
              <w:right w:val="single" w:sz="4" w:space="0" w:color="auto"/>
            </w:tcBorders>
          </w:tcPr>
          <w:p w:rsidR="009A6765" w:rsidRPr="0000318B" w:rsidRDefault="009A6765" w:rsidP="009A6765">
            <w:pPr>
              <w:spacing w:after="0" w:line="240" w:lineRule="auto"/>
              <w:rPr>
                <w:rFonts w:ascii="Times New Roman" w:hAnsi="Times New Roman" w:cs="Times New Roman"/>
                <w:b/>
                <w:sz w:val="20"/>
                <w:szCs w:val="20"/>
                <w:lang w:val="en-US"/>
              </w:rPr>
            </w:pPr>
            <w:r w:rsidRPr="0000318B">
              <w:rPr>
                <w:rFonts w:ascii="Times New Roman" w:hAnsi="Times New Roman" w:cs="Times New Roman"/>
                <w:b/>
                <w:sz w:val="20"/>
                <w:szCs w:val="20"/>
                <w:lang w:val="en-US"/>
              </w:rPr>
              <w:t>Target (2029)</w:t>
            </w:r>
          </w:p>
          <w:p w:rsidR="009A6765" w:rsidRPr="0000318B" w:rsidRDefault="009A6765" w:rsidP="009A6765">
            <w:pPr>
              <w:spacing w:after="0" w:line="240" w:lineRule="auto"/>
              <w:rPr>
                <w:rFonts w:ascii="Times New Roman" w:hAnsi="Times New Roman" w:cs="Times New Roman"/>
                <w:b/>
                <w:sz w:val="20"/>
                <w:szCs w:val="20"/>
                <w:lang w:val="en-US"/>
              </w:rPr>
            </w:pPr>
          </w:p>
        </w:tc>
      </w:tr>
      <w:tr w:rsidR="00250950" w:rsidRPr="0000318B" w:rsidTr="00E95FAC">
        <w:trPr>
          <w:trHeight w:val="937"/>
        </w:trPr>
        <w:tc>
          <w:tcPr>
            <w:tcW w:w="344" w:type="pct"/>
            <w:tcBorders>
              <w:top w:val="single" w:sz="4" w:space="0" w:color="auto"/>
              <w:left w:val="single" w:sz="4" w:space="0" w:color="auto"/>
              <w:bottom w:val="single" w:sz="4" w:space="0" w:color="auto"/>
              <w:right w:val="single" w:sz="4" w:space="0" w:color="auto"/>
            </w:tcBorders>
          </w:tcPr>
          <w:p w:rsidR="00250950" w:rsidRPr="005518DD" w:rsidRDefault="00250950" w:rsidP="00250950">
            <w:pPr>
              <w:spacing w:after="0" w:line="240" w:lineRule="auto"/>
              <w:rPr>
                <w:rFonts w:ascii="Times New Roman" w:hAnsi="Times New Roman" w:cs="Times New Roman"/>
                <w:sz w:val="20"/>
                <w:szCs w:val="20"/>
                <w:lang w:val="en-US"/>
              </w:rPr>
            </w:pPr>
            <w:r w:rsidRPr="005518DD">
              <w:rPr>
                <w:rFonts w:ascii="Times New Roman" w:hAnsi="Times New Roman" w:cs="Times New Roman"/>
                <w:sz w:val="20"/>
                <w:szCs w:val="20"/>
                <w:lang w:val="en-US"/>
              </w:rPr>
              <w:t>3.1.</w:t>
            </w:r>
          </w:p>
        </w:tc>
        <w:tc>
          <w:tcPr>
            <w:tcW w:w="819" w:type="pct"/>
            <w:tcBorders>
              <w:top w:val="single" w:sz="4" w:space="0" w:color="auto"/>
              <w:left w:val="single" w:sz="4" w:space="0" w:color="auto"/>
              <w:bottom w:val="single" w:sz="4" w:space="0" w:color="auto"/>
              <w:right w:val="single" w:sz="4" w:space="0" w:color="auto"/>
            </w:tcBorders>
          </w:tcPr>
          <w:p w:rsidR="00250950" w:rsidRPr="004C4281" w:rsidRDefault="00250950" w:rsidP="00250950">
            <w:pPr>
              <w:spacing w:after="0" w:line="240" w:lineRule="auto"/>
              <w:rPr>
                <w:rFonts w:ascii="Times New Roman" w:hAnsi="Times New Roman" w:cs="Times New Roman"/>
                <w:sz w:val="20"/>
                <w:szCs w:val="20"/>
                <w:lang w:val="en-US"/>
              </w:rPr>
            </w:pPr>
            <w:r w:rsidRPr="004C4281">
              <w:rPr>
                <w:rFonts w:ascii="Times New Roman" w:hAnsi="Times New Roman" w:cs="Times New Roman"/>
                <w:sz w:val="20"/>
                <w:szCs w:val="20"/>
                <w:lang w:val="en-US"/>
              </w:rPr>
              <w:t>SO 1b (i) Promovarea eficienței energetice și reducerea emisiilor de gaze cu efect de seră</w:t>
            </w:r>
          </w:p>
        </w:tc>
        <w:tc>
          <w:tcPr>
            <w:tcW w:w="343" w:type="pct"/>
            <w:tcBorders>
              <w:top w:val="single" w:sz="4" w:space="0" w:color="auto"/>
              <w:left w:val="single" w:sz="4" w:space="0" w:color="auto"/>
              <w:bottom w:val="single" w:sz="4" w:space="0" w:color="auto"/>
              <w:right w:val="single" w:sz="4" w:space="0" w:color="auto"/>
            </w:tcBorders>
          </w:tcPr>
          <w:p w:rsidR="00250950" w:rsidRPr="004C4281" w:rsidRDefault="00250950" w:rsidP="00250950">
            <w:pPr>
              <w:spacing w:after="0" w:line="240" w:lineRule="auto"/>
              <w:rPr>
                <w:rFonts w:ascii="Times New Roman" w:hAnsi="Times New Roman" w:cs="Times New Roman"/>
                <w:sz w:val="20"/>
                <w:szCs w:val="20"/>
                <w:lang w:val="en-US"/>
              </w:rPr>
            </w:pPr>
            <w:r w:rsidRPr="004C4281">
              <w:rPr>
                <w:rFonts w:ascii="Times New Roman" w:hAnsi="Times New Roman" w:cs="Times New Roman"/>
                <w:sz w:val="20"/>
                <w:szCs w:val="20"/>
                <w:lang w:val="en-US"/>
              </w:rPr>
              <w:t>FEDR</w:t>
            </w:r>
          </w:p>
        </w:tc>
        <w:tc>
          <w:tcPr>
            <w:tcW w:w="486" w:type="pct"/>
            <w:tcBorders>
              <w:top w:val="single" w:sz="4" w:space="0" w:color="auto"/>
              <w:left w:val="single" w:sz="4" w:space="0" w:color="auto"/>
              <w:bottom w:val="single" w:sz="4" w:space="0" w:color="auto"/>
              <w:right w:val="single" w:sz="4" w:space="0" w:color="auto"/>
            </w:tcBorders>
          </w:tcPr>
          <w:p w:rsidR="00250950" w:rsidRPr="004C4281" w:rsidRDefault="00250950" w:rsidP="00250950">
            <w:pPr>
              <w:spacing w:after="0" w:line="240" w:lineRule="auto"/>
              <w:rPr>
                <w:rFonts w:ascii="Times New Roman" w:hAnsi="Times New Roman" w:cs="Times New Roman"/>
                <w:sz w:val="20"/>
                <w:szCs w:val="20"/>
                <w:lang w:val="en-US"/>
              </w:rPr>
            </w:pPr>
            <w:r w:rsidRPr="004C4281">
              <w:rPr>
                <w:rFonts w:ascii="Times New Roman" w:hAnsi="Times New Roman" w:cs="Times New Roman"/>
                <w:sz w:val="20"/>
                <w:szCs w:val="20"/>
                <w:lang w:val="en-US"/>
              </w:rPr>
              <w:t>Mai puțin dezvoltată</w:t>
            </w:r>
          </w:p>
        </w:tc>
        <w:tc>
          <w:tcPr>
            <w:tcW w:w="473" w:type="pct"/>
            <w:tcBorders>
              <w:top w:val="single" w:sz="4" w:space="0" w:color="auto"/>
              <w:left w:val="single" w:sz="4" w:space="0" w:color="auto"/>
              <w:bottom w:val="single" w:sz="4" w:space="0" w:color="auto"/>
              <w:right w:val="single" w:sz="4" w:space="0" w:color="auto"/>
            </w:tcBorders>
          </w:tcPr>
          <w:p w:rsidR="00250950" w:rsidRPr="004C4281" w:rsidRDefault="00250950" w:rsidP="00250950">
            <w:pPr>
              <w:spacing w:after="0" w:line="240" w:lineRule="auto"/>
              <w:jc w:val="center"/>
              <w:rPr>
                <w:rFonts w:ascii="Times New Roman" w:hAnsi="Times New Roman" w:cs="Times New Roman"/>
                <w:sz w:val="20"/>
                <w:szCs w:val="20"/>
                <w:lang w:val="en-US"/>
              </w:rPr>
            </w:pPr>
            <w:r w:rsidRPr="004C4281">
              <w:rPr>
                <w:rFonts w:ascii="Times New Roman" w:hAnsi="Times New Roman" w:cs="Times New Roman"/>
                <w:sz w:val="20"/>
                <w:szCs w:val="20"/>
                <w:lang w:val="en-US"/>
              </w:rPr>
              <w:t>RCO 18</w:t>
            </w:r>
          </w:p>
        </w:tc>
        <w:tc>
          <w:tcPr>
            <w:tcW w:w="1097" w:type="pct"/>
            <w:tcBorders>
              <w:top w:val="single" w:sz="4" w:space="0" w:color="auto"/>
              <w:left w:val="single" w:sz="4" w:space="0" w:color="auto"/>
              <w:bottom w:val="single" w:sz="4" w:space="0" w:color="auto"/>
              <w:right w:val="single" w:sz="4" w:space="0" w:color="auto"/>
            </w:tcBorders>
          </w:tcPr>
          <w:p w:rsidR="00250950" w:rsidRPr="004C4281" w:rsidRDefault="00250950" w:rsidP="00250950">
            <w:pPr>
              <w:spacing w:after="0" w:line="240" w:lineRule="auto"/>
              <w:rPr>
                <w:rFonts w:ascii="Times New Roman" w:hAnsi="Times New Roman" w:cs="Times New Roman"/>
                <w:sz w:val="20"/>
                <w:szCs w:val="20"/>
                <w:lang w:val="en-US"/>
              </w:rPr>
            </w:pPr>
            <w:r w:rsidRPr="004C4281">
              <w:rPr>
                <w:rFonts w:ascii="Times New Roman" w:hAnsi="Times New Roman" w:cs="Times New Roman"/>
                <w:sz w:val="20"/>
                <w:szCs w:val="20"/>
                <w:lang w:val="en-US"/>
              </w:rPr>
              <w:t>Gospodării care beneficiază de sprijin pentru îmbunătățirea performanței energetice a locuinței</w:t>
            </w:r>
          </w:p>
        </w:tc>
        <w:tc>
          <w:tcPr>
            <w:tcW w:w="412" w:type="pct"/>
            <w:tcBorders>
              <w:top w:val="single" w:sz="4" w:space="0" w:color="auto"/>
              <w:left w:val="single" w:sz="4" w:space="0" w:color="auto"/>
              <w:bottom w:val="single" w:sz="4" w:space="0" w:color="auto"/>
              <w:right w:val="single" w:sz="4" w:space="0" w:color="auto"/>
            </w:tcBorders>
          </w:tcPr>
          <w:p w:rsidR="00250950" w:rsidRPr="004C4281" w:rsidRDefault="00250950" w:rsidP="00250950">
            <w:pPr>
              <w:spacing w:after="0" w:line="240" w:lineRule="auto"/>
              <w:rPr>
                <w:rFonts w:ascii="Times New Roman" w:hAnsi="Times New Roman" w:cs="Times New Roman"/>
                <w:sz w:val="20"/>
                <w:szCs w:val="20"/>
                <w:lang w:val="en-US"/>
              </w:rPr>
            </w:pPr>
            <w:r w:rsidRPr="004C4281">
              <w:rPr>
                <w:rFonts w:ascii="Times New Roman" w:hAnsi="Times New Roman" w:cs="Times New Roman"/>
                <w:sz w:val="20"/>
                <w:szCs w:val="20"/>
                <w:lang w:val="en-US"/>
              </w:rPr>
              <w:t>Nr.</w:t>
            </w:r>
          </w:p>
        </w:tc>
        <w:tc>
          <w:tcPr>
            <w:tcW w:w="411" w:type="pct"/>
            <w:tcBorders>
              <w:top w:val="single" w:sz="4" w:space="0" w:color="auto"/>
              <w:left w:val="single" w:sz="4" w:space="0" w:color="auto"/>
              <w:bottom w:val="single" w:sz="4" w:space="0" w:color="auto"/>
              <w:right w:val="single" w:sz="4" w:space="0" w:color="auto"/>
            </w:tcBorders>
          </w:tcPr>
          <w:p w:rsidR="00250950" w:rsidRPr="0000318B" w:rsidRDefault="00250950" w:rsidP="002B433A">
            <w:pPr>
              <w:spacing w:after="0" w:line="240" w:lineRule="auto"/>
              <w:rPr>
                <w:rFonts w:ascii="Times New Roman" w:hAnsi="Times New Roman" w:cs="Times New Roman"/>
                <w:b/>
                <w:sz w:val="20"/>
                <w:szCs w:val="20"/>
                <w:lang w:val="en-US"/>
              </w:rPr>
            </w:pPr>
            <w:r>
              <w:rPr>
                <w:rFonts w:ascii="Times New Roman" w:hAnsi="Times New Roman" w:cs="Times New Roman"/>
                <w:b/>
                <w:sz w:val="20"/>
                <w:szCs w:val="20"/>
                <w:lang w:val="en-US"/>
              </w:rPr>
              <w:t>1</w:t>
            </w:r>
            <w:r w:rsidR="002B433A">
              <w:rPr>
                <w:rFonts w:ascii="Times New Roman" w:hAnsi="Times New Roman" w:cs="Times New Roman"/>
                <w:b/>
                <w:sz w:val="20"/>
                <w:szCs w:val="20"/>
                <w:lang w:val="en-US"/>
              </w:rPr>
              <w:t>565</w:t>
            </w:r>
          </w:p>
        </w:tc>
        <w:tc>
          <w:tcPr>
            <w:tcW w:w="615" w:type="pct"/>
            <w:tcBorders>
              <w:top w:val="single" w:sz="4" w:space="0" w:color="auto"/>
              <w:left w:val="single" w:sz="4" w:space="0" w:color="auto"/>
              <w:bottom w:val="single" w:sz="4" w:space="0" w:color="auto"/>
              <w:right w:val="single" w:sz="4" w:space="0" w:color="auto"/>
            </w:tcBorders>
          </w:tcPr>
          <w:p w:rsidR="00250950" w:rsidRPr="0000318B" w:rsidRDefault="002B433A" w:rsidP="00250950">
            <w:pPr>
              <w:spacing w:after="0" w:line="240" w:lineRule="auto"/>
              <w:rPr>
                <w:rFonts w:ascii="Times New Roman" w:hAnsi="Times New Roman" w:cs="Times New Roman"/>
                <w:b/>
                <w:sz w:val="20"/>
                <w:szCs w:val="20"/>
                <w:lang w:val="en-US"/>
              </w:rPr>
            </w:pPr>
            <w:r>
              <w:rPr>
                <w:rFonts w:ascii="Times New Roman" w:hAnsi="Times New Roman" w:cs="Times New Roman"/>
                <w:b/>
                <w:sz w:val="20"/>
                <w:szCs w:val="20"/>
                <w:lang w:val="en-US"/>
              </w:rPr>
              <w:t>5216</w:t>
            </w:r>
          </w:p>
        </w:tc>
      </w:tr>
      <w:tr w:rsidR="00250950" w:rsidRPr="0000318B" w:rsidTr="00E95FAC">
        <w:trPr>
          <w:trHeight w:val="937"/>
        </w:trPr>
        <w:tc>
          <w:tcPr>
            <w:tcW w:w="344" w:type="pct"/>
            <w:tcBorders>
              <w:top w:val="single" w:sz="4" w:space="0" w:color="auto"/>
              <w:left w:val="single" w:sz="4" w:space="0" w:color="auto"/>
              <w:bottom w:val="single" w:sz="4" w:space="0" w:color="auto"/>
              <w:right w:val="single" w:sz="4" w:space="0" w:color="auto"/>
            </w:tcBorders>
          </w:tcPr>
          <w:p w:rsidR="00250950" w:rsidRPr="005518DD" w:rsidRDefault="00250950" w:rsidP="00250950">
            <w:pPr>
              <w:spacing w:after="0" w:line="240" w:lineRule="auto"/>
              <w:rPr>
                <w:rFonts w:ascii="Times New Roman" w:hAnsi="Times New Roman" w:cs="Times New Roman"/>
                <w:sz w:val="20"/>
                <w:szCs w:val="20"/>
                <w:lang w:val="en-US"/>
              </w:rPr>
            </w:pPr>
            <w:r w:rsidRPr="005518DD">
              <w:rPr>
                <w:rFonts w:ascii="Times New Roman" w:hAnsi="Times New Roman" w:cs="Times New Roman"/>
                <w:sz w:val="20"/>
                <w:szCs w:val="20"/>
                <w:lang w:val="en-US"/>
              </w:rPr>
              <w:t>3.1.</w:t>
            </w:r>
          </w:p>
        </w:tc>
        <w:tc>
          <w:tcPr>
            <w:tcW w:w="819" w:type="pct"/>
            <w:tcBorders>
              <w:top w:val="single" w:sz="4" w:space="0" w:color="auto"/>
              <w:left w:val="single" w:sz="4" w:space="0" w:color="auto"/>
              <w:bottom w:val="single" w:sz="4" w:space="0" w:color="auto"/>
              <w:right w:val="single" w:sz="4" w:space="0" w:color="auto"/>
            </w:tcBorders>
          </w:tcPr>
          <w:p w:rsidR="00250950" w:rsidRPr="004C4281" w:rsidRDefault="00250950" w:rsidP="00250950">
            <w:pPr>
              <w:spacing w:after="0" w:line="240" w:lineRule="auto"/>
              <w:rPr>
                <w:rFonts w:ascii="Times New Roman" w:hAnsi="Times New Roman" w:cs="Times New Roman"/>
                <w:sz w:val="20"/>
                <w:szCs w:val="20"/>
                <w:lang w:val="en-US"/>
              </w:rPr>
            </w:pPr>
            <w:r w:rsidRPr="004C4281">
              <w:rPr>
                <w:rFonts w:ascii="Times New Roman" w:hAnsi="Times New Roman" w:cs="Times New Roman"/>
                <w:sz w:val="20"/>
                <w:szCs w:val="20"/>
                <w:lang w:val="en-US"/>
              </w:rPr>
              <w:t>SO 1b (i) Promovarea eficienței energetice și reducerea emisiilor de gaze cu efect de seră</w:t>
            </w:r>
          </w:p>
        </w:tc>
        <w:tc>
          <w:tcPr>
            <w:tcW w:w="343" w:type="pct"/>
            <w:tcBorders>
              <w:top w:val="single" w:sz="4" w:space="0" w:color="auto"/>
              <w:left w:val="single" w:sz="4" w:space="0" w:color="auto"/>
              <w:bottom w:val="single" w:sz="4" w:space="0" w:color="auto"/>
              <w:right w:val="single" w:sz="4" w:space="0" w:color="auto"/>
            </w:tcBorders>
          </w:tcPr>
          <w:p w:rsidR="00250950" w:rsidRPr="004C4281" w:rsidRDefault="00250950" w:rsidP="00250950">
            <w:pPr>
              <w:spacing w:after="0" w:line="240" w:lineRule="auto"/>
              <w:rPr>
                <w:rFonts w:ascii="Times New Roman" w:hAnsi="Times New Roman" w:cs="Times New Roman"/>
                <w:sz w:val="20"/>
                <w:szCs w:val="20"/>
                <w:lang w:val="en-US"/>
              </w:rPr>
            </w:pPr>
            <w:r w:rsidRPr="004C4281">
              <w:rPr>
                <w:rFonts w:ascii="Times New Roman" w:hAnsi="Times New Roman" w:cs="Times New Roman"/>
                <w:sz w:val="20"/>
                <w:szCs w:val="20"/>
                <w:lang w:val="en-US"/>
              </w:rPr>
              <w:t>FEDR</w:t>
            </w:r>
          </w:p>
        </w:tc>
        <w:tc>
          <w:tcPr>
            <w:tcW w:w="486" w:type="pct"/>
            <w:tcBorders>
              <w:top w:val="single" w:sz="4" w:space="0" w:color="auto"/>
              <w:left w:val="single" w:sz="4" w:space="0" w:color="auto"/>
              <w:bottom w:val="single" w:sz="4" w:space="0" w:color="auto"/>
              <w:right w:val="single" w:sz="4" w:space="0" w:color="auto"/>
            </w:tcBorders>
          </w:tcPr>
          <w:p w:rsidR="00250950" w:rsidRPr="004C4281" w:rsidRDefault="00250950" w:rsidP="00250950">
            <w:pPr>
              <w:spacing w:after="0" w:line="240" w:lineRule="auto"/>
              <w:rPr>
                <w:rFonts w:ascii="Times New Roman" w:hAnsi="Times New Roman" w:cs="Times New Roman"/>
                <w:sz w:val="20"/>
                <w:szCs w:val="20"/>
                <w:lang w:val="en-US"/>
              </w:rPr>
            </w:pPr>
            <w:r w:rsidRPr="004C4281">
              <w:rPr>
                <w:rFonts w:ascii="Times New Roman" w:hAnsi="Times New Roman" w:cs="Times New Roman"/>
                <w:sz w:val="20"/>
                <w:szCs w:val="20"/>
                <w:lang w:val="en-US"/>
              </w:rPr>
              <w:t>Mai puțin dezvoltată</w:t>
            </w:r>
          </w:p>
        </w:tc>
        <w:tc>
          <w:tcPr>
            <w:tcW w:w="473" w:type="pct"/>
            <w:tcBorders>
              <w:top w:val="single" w:sz="4" w:space="0" w:color="auto"/>
              <w:left w:val="single" w:sz="4" w:space="0" w:color="auto"/>
              <w:bottom w:val="single" w:sz="4" w:space="0" w:color="auto"/>
              <w:right w:val="single" w:sz="4" w:space="0" w:color="auto"/>
            </w:tcBorders>
          </w:tcPr>
          <w:p w:rsidR="00250950" w:rsidRPr="004C4281" w:rsidRDefault="00250950" w:rsidP="00250950">
            <w:pPr>
              <w:spacing w:after="0" w:line="240" w:lineRule="auto"/>
              <w:jc w:val="center"/>
              <w:rPr>
                <w:rFonts w:ascii="Times New Roman" w:hAnsi="Times New Roman" w:cs="Times New Roman"/>
                <w:sz w:val="20"/>
                <w:szCs w:val="20"/>
                <w:lang w:val="en-US"/>
              </w:rPr>
            </w:pPr>
            <w:r w:rsidRPr="004C4281">
              <w:rPr>
                <w:rFonts w:ascii="Times New Roman" w:hAnsi="Times New Roman" w:cs="Times New Roman"/>
                <w:sz w:val="20"/>
                <w:szCs w:val="20"/>
                <w:lang w:val="en-US"/>
              </w:rPr>
              <w:t>RCO 19</w:t>
            </w:r>
          </w:p>
        </w:tc>
        <w:tc>
          <w:tcPr>
            <w:tcW w:w="1097" w:type="pct"/>
            <w:tcBorders>
              <w:top w:val="single" w:sz="4" w:space="0" w:color="auto"/>
              <w:left w:val="single" w:sz="4" w:space="0" w:color="auto"/>
              <w:bottom w:val="single" w:sz="4" w:space="0" w:color="auto"/>
              <w:right w:val="single" w:sz="4" w:space="0" w:color="auto"/>
            </w:tcBorders>
          </w:tcPr>
          <w:p w:rsidR="00250950" w:rsidRPr="004C4281" w:rsidRDefault="00250950" w:rsidP="00250950">
            <w:pPr>
              <w:spacing w:after="0" w:line="240" w:lineRule="auto"/>
              <w:rPr>
                <w:rFonts w:ascii="Times New Roman" w:hAnsi="Times New Roman" w:cs="Times New Roman"/>
                <w:sz w:val="20"/>
                <w:szCs w:val="20"/>
                <w:lang w:val="en-US"/>
              </w:rPr>
            </w:pPr>
            <w:r w:rsidRPr="004C4281">
              <w:rPr>
                <w:rFonts w:ascii="Times New Roman" w:hAnsi="Times New Roman" w:cs="Times New Roman"/>
                <w:sz w:val="20"/>
                <w:szCs w:val="20"/>
                <w:lang w:val="en-US"/>
              </w:rPr>
              <w:t>Clădiri publice care beneficiază de sprijin pentru îmbunătățirea performanței energetic</w:t>
            </w:r>
          </w:p>
        </w:tc>
        <w:tc>
          <w:tcPr>
            <w:tcW w:w="412" w:type="pct"/>
            <w:tcBorders>
              <w:top w:val="single" w:sz="4" w:space="0" w:color="auto"/>
              <w:left w:val="single" w:sz="4" w:space="0" w:color="auto"/>
              <w:bottom w:val="single" w:sz="4" w:space="0" w:color="auto"/>
              <w:right w:val="single" w:sz="4" w:space="0" w:color="auto"/>
            </w:tcBorders>
          </w:tcPr>
          <w:p w:rsidR="00250950" w:rsidRPr="004C4281" w:rsidRDefault="00250950" w:rsidP="00250950">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mp</w:t>
            </w:r>
          </w:p>
          <w:p w:rsidR="00250950" w:rsidRPr="004C4281" w:rsidRDefault="00250950" w:rsidP="00250950">
            <w:pPr>
              <w:spacing w:after="0" w:line="240" w:lineRule="auto"/>
              <w:jc w:val="both"/>
              <w:rPr>
                <w:rFonts w:ascii="Times New Roman" w:hAnsi="Times New Roman" w:cs="Times New Roman"/>
                <w:sz w:val="20"/>
                <w:szCs w:val="20"/>
                <w:lang w:val="en-US"/>
              </w:rPr>
            </w:pPr>
          </w:p>
          <w:p w:rsidR="00250950" w:rsidRPr="004C4281" w:rsidRDefault="00250950" w:rsidP="00250950">
            <w:pPr>
              <w:spacing w:after="0" w:line="240" w:lineRule="auto"/>
              <w:rPr>
                <w:rFonts w:ascii="Times New Roman" w:hAnsi="Times New Roman" w:cs="Times New Roman"/>
                <w:sz w:val="20"/>
                <w:szCs w:val="20"/>
                <w:lang w:val="en-US"/>
              </w:rPr>
            </w:pPr>
          </w:p>
        </w:tc>
        <w:tc>
          <w:tcPr>
            <w:tcW w:w="411" w:type="pct"/>
            <w:tcBorders>
              <w:top w:val="single" w:sz="4" w:space="0" w:color="auto"/>
              <w:left w:val="single" w:sz="4" w:space="0" w:color="auto"/>
              <w:bottom w:val="single" w:sz="4" w:space="0" w:color="auto"/>
              <w:right w:val="single" w:sz="4" w:space="0" w:color="auto"/>
            </w:tcBorders>
          </w:tcPr>
          <w:p w:rsidR="00250950" w:rsidRPr="0000318B" w:rsidRDefault="00553642" w:rsidP="00250950">
            <w:pPr>
              <w:spacing w:after="0" w:line="240" w:lineRule="auto"/>
              <w:rPr>
                <w:rFonts w:ascii="Times New Roman" w:hAnsi="Times New Roman" w:cs="Times New Roman"/>
                <w:b/>
                <w:sz w:val="20"/>
                <w:szCs w:val="20"/>
                <w:lang w:val="en-US"/>
              </w:rPr>
            </w:pPr>
            <w:r>
              <w:rPr>
                <w:rFonts w:ascii="Times New Roman" w:hAnsi="Times New Roman" w:cs="Times New Roman"/>
                <w:b/>
                <w:sz w:val="20"/>
                <w:szCs w:val="20"/>
                <w:lang w:val="en-US"/>
              </w:rPr>
              <w:t>21800</w:t>
            </w:r>
          </w:p>
        </w:tc>
        <w:tc>
          <w:tcPr>
            <w:tcW w:w="615" w:type="pct"/>
            <w:tcBorders>
              <w:top w:val="single" w:sz="4" w:space="0" w:color="auto"/>
              <w:left w:val="single" w:sz="4" w:space="0" w:color="auto"/>
              <w:bottom w:val="single" w:sz="4" w:space="0" w:color="auto"/>
              <w:right w:val="single" w:sz="4" w:space="0" w:color="auto"/>
            </w:tcBorders>
          </w:tcPr>
          <w:p w:rsidR="00250950" w:rsidRPr="0000318B" w:rsidRDefault="00553642" w:rsidP="00553642">
            <w:pPr>
              <w:spacing w:after="0" w:line="240" w:lineRule="auto"/>
              <w:rPr>
                <w:rFonts w:ascii="Times New Roman" w:hAnsi="Times New Roman" w:cs="Times New Roman"/>
                <w:b/>
                <w:sz w:val="20"/>
                <w:szCs w:val="20"/>
                <w:lang w:val="en-US"/>
              </w:rPr>
            </w:pPr>
            <w:r>
              <w:rPr>
                <w:rFonts w:ascii="Times New Roman" w:hAnsi="Times New Roman" w:cs="Times New Roman"/>
                <w:b/>
                <w:sz w:val="20"/>
                <w:szCs w:val="20"/>
                <w:lang w:val="en-US"/>
              </w:rPr>
              <w:t>72600</w:t>
            </w:r>
          </w:p>
        </w:tc>
      </w:tr>
      <w:tr w:rsidR="00250950" w:rsidRPr="0000318B" w:rsidTr="00E95FAC">
        <w:trPr>
          <w:trHeight w:val="937"/>
        </w:trPr>
        <w:tc>
          <w:tcPr>
            <w:tcW w:w="344" w:type="pct"/>
            <w:tcBorders>
              <w:top w:val="single" w:sz="4" w:space="0" w:color="auto"/>
              <w:left w:val="single" w:sz="4" w:space="0" w:color="auto"/>
              <w:bottom w:val="single" w:sz="4" w:space="0" w:color="auto"/>
              <w:right w:val="single" w:sz="4" w:space="0" w:color="auto"/>
            </w:tcBorders>
          </w:tcPr>
          <w:p w:rsidR="00250950" w:rsidRPr="005518DD" w:rsidRDefault="00250950" w:rsidP="00250950">
            <w:pPr>
              <w:spacing w:after="0" w:line="240" w:lineRule="auto"/>
              <w:rPr>
                <w:rFonts w:ascii="Times New Roman" w:hAnsi="Times New Roman" w:cs="Times New Roman"/>
                <w:sz w:val="20"/>
                <w:szCs w:val="20"/>
                <w:lang w:val="en-US"/>
              </w:rPr>
            </w:pPr>
            <w:r w:rsidRPr="005518DD">
              <w:rPr>
                <w:rFonts w:ascii="Times New Roman" w:hAnsi="Times New Roman" w:cs="Times New Roman"/>
                <w:sz w:val="20"/>
                <w:szCs w:val="20"/>
              </w:rPr>
              <w:t>3.1.</w:t>
            </w:r>
          </w:p>
        </w:tc>
        <w:tc>
          <w:tcPr>
            <w:tcW w:w="819" w:type="pct"/>
            <w:tcBorders>
              <w:top w:val="single" w:sz="4" w:space="0" w:color="auto"/>
              <w:left w:val="single" w:sz="4" w:space="0" w:color="auto"/>
              <w:bottom w:val="single" w:sz="4" w:space="0" w:color="auto"/>
              <w:right w:val="single" w:sz="4" w:space="0" w:color="auto"/>
            </w:tcBorders>
          </w:tcPr>
          <w:p w:rsidR="00250950" w:rsidRPr="004C4281" w:rsidRDefault="00250950" w:rsidP="00250950">
            <w:pPr>
              <w:spacing w:after="0" w:line="240" w:lineRule="auto"/>
              <w:rPr>
                <w:rFonts w:ascii="Times New Roman" w:hAnsi="Times New Roman" w:cs="Times New Roman"/>
                <w:sz w:val="20"/>
                <w:szCs w:val="20"/>
                <w:lang w:val="en-US"/>
              </w:rPr>
            </w:pPr>
            <w:r w:rsidRPr="004C4281">
              <w:rPr>
                <w:rFonts w:ascii="Times New Roman" w:hAnsi="Times New Roman" w:cs="Times New Roman"/>
                <w:sz w:val="20"/>
                <w:szCs w:val="20"/>
              </w:rPr>
              <w:t>SO 1b (i) Promovarea eficienței energetice și reducerea emisiilor de gaze cu efect de seră</w:t>
            </w:r>
          </w:p>
        </w:tc>
        <w:tc>
          <w:tcPr>
            <w:tcW w:w="343" w:type="pct"/>
            <w:tcBorders>
              <w:top w:val="single" w:sz="4" w:space="0" w:color="auto"/>
              <w:left w:val="single" w:sz="4" w:space="0" w:color="auto"/>
              <w:bottom w:val="single" w:sz="4" w:space="0" w:color="auto"/>
              <w:right w:val="single" w:sz="4" w:space="0" w:color="auto"/>
            </w:tcBorders>
          </w:tcPr>
          <w:p w:rsidR="00250950" w:rsidRPr="004C4281" w:rsidRDefault="00250950" w:rsidP="00250950">
            <w:pPr>
              <w:spacing w:after="0" w:line="240" w:lineRule="auto"/>
              <w:rPr>
                <w:rFonts w:ascii="Times New Roman" w:hAnsi="Times New Roman" w:cs="Times New Roman"/>
                <w:sz w:val="20"/>
                <w:szCs w:val="20"/>
                <w:lang w:val="en-US"/>
              </w:rPr>
            </w:pPr>
            <w:r w:rsidRPr="004C4281">
              <w:rPr>
                <w:rFonts w:ascii="Times New Roman" w:hAnsi="Times New Roman" w:cs="Times New Roman"/>
                <w:sz w:val="20"/>
                <w:szCs w:val="20"/>
              </w:rPr>
              <w:t>FEDR</w:t>
            </w:r>
          </w:p>
        </w:tc>
        <w:tc>
          <w:tcPr>
            <w:tcW w:w="486" w:type="pct"/>
            <w:tcBorders>
              <w:top w:val="single" w:sz="4" w:space="0" w:color="auto"/>
              <w:left w:val="single" w:sz="4" w:space="0" w:color="auto"/>
              <w:bottom w:val="single" w:sz="4" w:space="0" w:color="auto"/>
              <w:right w:val="single" w:sz="4" w:space="0" w:color="auto"/>
            </w:tcBorders>
          </w:tcPr>
          <w:p w:rsidR="00250950" w:rsidRPr="004C4281" w:rsidRDefault="00250950" w:rsidP="00250950">
            <w:pPr>
              <w:spacing w:after="0" w:line="240" w:lineRule="auto"/>
              <w:rPr>
                <w:rFonts w:ascii="Times New Roman" w:hAnsi="Times New Roman" w:cs="Times New Roman"/>
                <w:sz w:val="20"/>
                <w:szCs w:val="20"/>
                <w:lang w:val="en-US"/>
              </w:rPr>
            </w:pPr>
            <w:r w:rsidRPr="004C4281">
              <w:rPr>
                <w:rFonts w:ascii="Times New Roman" w:hAnsi="Times New Roman" w:cs="Times New Roman"/>
                <w:sz w:val="20"/>
                <w:szCs w:val="20"/>
              </w:rPr>
              <w:t>Mai puțin dezvoltată</w:t>
            </w:r>
          </w:p>
        </w:tc>
        <w:tc>
          <w:tcPr>
            <w:tcW w:w="473" w:type="pct"/>
            <w:tcBorders>
              <w:top w:val="single" w:sz="4" w:space="0" w:color="auto"/>
              <w:left w:val="single" w:sz="4" w:space="0" w:color="auto"/>
              <w:bottom w:val="single" w:sz="4" w:space="0" w:color="auto"/>
              <w:right w:val="single" w:sz="4" w:space="0" w:color="auto"/>
            </w:tcBorders>
          </w:tcPr>
          <w:p w:rsidR="00250950" w:rsidRPr="007B330B" w:rsidRDefault="00250950" w:rsidP="00250950">
            <w:pPr>
              <w:spacing w:after="0" w:line="240" w:lineRule="auto"/>
              <w:jc w:val="center"/>
              <w:rPr>
                <w:rFonts w:ascii="Times New Roman" w:hAnsi="Times New Roman" w:cs="Times New Roman"/>
                <w:sz w:val="20"/>
                <w:szCs w:val="20"/>
                <w:lang w:val="en-US"/>
              </w:rPr>
            </w:pPr>
            <w:r w:rsidRPr="007B330B">
              <w:rPr>
                <w:rFonts w:ascii="Times New Roman" w:hAnsi="Times New Roman" w:cs="Times New Roman"/>
                <w:sz w:val="20"/>
                <w:szCs w:val="20"/>
                <w:lang w:val="en-US"/>
              </w:rPr>
              <w:t>RCO nou</w:t>
            </w:r>
          </w:p>
        </w:tc>
        <w:tc>
          <w:tcPr>
            <w:tcW w:w="1097" w:type="pct"/>
            <w:tcBorders>
              <w:top w:val="single" w:sz="4" w:space="0" w:color="auto"/>
              <w:left w:val="single" w:sz="4" w:space="0" w:color="auto"/>
              <w:bottom w:val="single" w:sz="4" w:space="0" w:color="auto"/>
              <w:right w:val="single" w:sz="4" w:space="0" w:color="auto"/>
            </w:tcBorders>
          </w:tcPr>
          <w:p w:rsidR="00250950" w:rsidRPr="007B330B" w:rsidRDefault="00250950" w:rsidP="00250950">
            <w:pPr>
              <w:spacing w:after="0" w:line="240" w:lineRule="auto"/>
              <w:rPr>
                <w:rFonts w:ascii="Times New Roman" w:hAnsi="Times New Roman" w:cs="Times New Roman"/>
                <w:color w:val="FF0000"/>
                <w:sz w:val="20"/>
                <w:szCs w:val="20"/>
                <w:lang w:val="en-US"/>
              </w:rPr>
            </w:pPr>
            <w:r w:rsidRPr="007B330B">
              <w:rPr>
                <w:rFonts w:ascii="Times New Roman" w:hAnsi="Times New Roman" w:cs="Times New Roman"/>
                <w:sz w:val="20"/>
                <w:szCs w:val="20"/>
                <w:lang w:val="en-US"/>
              </w:rPr>
              <w:t xml:space="preserve">Consum anual de energie primară  în </w:t>
            </w:r>
            <w:r w:rsidRPr="007B330B">
              <w:rPr>
                <w:rFonts w:ascii="Times New Roman" w:hAnsi="Times New Roman" w:cs="Times New Roman"/>
                <w:b/>
                <w:sz w:val="20"/>
                <w:szCs w:val="20"/>
                <w:lang w:val="en-US"/>
              </w:rPr>
              <w:t>iluminat public</w:t>
            </w:r>
          </w:p>
          <w:p w:rsidR="00250950" w:rsidRPr="007B330B" w:rsidRDefault="00250950" w:rsidP="00250950">
            <w:pPr>
              <w:spacing w:after="0" w:line="240" w:lineRule="auto"/>
              <w:rPr>
                <w:rFonts w:ascii="Times New Roman" w:hAnsi="Times New Roman" w:cs="Times New Roman"/>
                <w:i/>
                <w:sz w:val="20"/>
                <w:szCs w:val="20"/>
                <w:lang w:val="en-US"/>
              </w:rPr>
            </w:pPr>
            <w:r w:rsidRPr="004B2CCD">
              <w:rPr>
                <w:rFonts w:ascii="Times New Roman" w:hAnsi="Times New Roman" w:cs="Times New Roman"/>
                <w:i/>
                <w:sz w:val="20"/>
                <w:szCs w:val="20"/>
                <w:lang w:val="en-US"/>
              </w:rPr>
              <w:t>(datele vor fi preluate de la INS si PAEDuri)</w:t>
            </w:r>
          </w:p>
        </w:tc>
        <w:tc>
          <w:tcPr>
            <w:tcW w:w="412" w:type="pct"/>
            <w:tcBorders>
              <w:top w:val="single" w:sz="4" w:space="0" w:color="auto"/>
              <w:left w:val="single" w:sz="4" w:space="0" w:color="auto"/>
              <w:bottom w:val="single" w:sz="4" w:space="0" w:color="auto"/>
              <w:right w:val="single" w:sz="4" w:space="0" w:color="auto"/>
            </w:tcBorders>
          </w:tcPr>
          <w:p w:rsidR="00250950" w:rsidRPr="007B330B" w:rsidRDefault="00250950" w:rsidP="00250950">
            <w:pPr>
              <w:spacing w:after="0" w:line="240" w:lineRule="auto"/>
              <w:jc w:val="both"/>
              <w:rPr>
                <w:rFonts w:ascii="Times New Roman" w:hAnsi="Times New Roman" w:cs="Times New Roman"/>
                <w:sz w:val="20"/>
                <w:szCs w:val="20"/>
                <w:lang w:val="en-US"/>
              </w:rPr>
            </w:pPr>
            <w:r w:rsidRPr="007B330B">
              <w:rPr>
                <w:rFonts w:ascii="Times New Roman" w:hAnsi="Times New Roman" w:cs="Times New Roman"/>
                <w:sz w:val="20"/>
                <w:szCs w:val="20"/>
                <w:lang w:val="en-US"/>
              </w:rPr>
              <w:t>kwh/an</w:t>
            </w:r>
          </w:p>
          <w:p w:rsidR="00250950" w:rsidRPr="007B330B" w:rsidRDefault="00250950" w:rsidP="00250950">
            <w:pPr>
              <w:spacing w:after="0" w:line="240" w:lineRule="auto"/>
              <w:rPr>
                <w:rFonts w:ascii="Times New Roman" w:hAnsi="Times New Roman" w:cs="Times New Roman"/>
                <w:sz w:val="20"/>
                <w:szCs w:val="20"/>
                <w:lang w:val="en-US"/>
              </w:rPr>
            </w:pPr>
          </w:p>
        </w:tc>
        <w:tc>
          <w:tcPr>
            <w:tcW w:w="411" w:type="pct"/>
            <w:tcBorders>
              <w:top w:val="single" w:sz="4" w:space="0" w:color="auto"/>
              <w:left w:val="single" w:sz="4" w:space="0" w:color="auto"/>
              <w:bottom w:val="single" w:sz="4" w:space="0" w:color="auto"/>
              <w:right w:val="single" w:sz="4" w:space="0" w:color="auto"/>
            </w:tcBorders>
          </w:tcPr>
          <w:p w:rsidR="00250950" w:rsidRPr="007B330B" w:rsidRDefault="00250950" w:rsidP="00250950">
            <w:pPr>
              <w:spacing w:after="0" w:line="240" w:lineRule="auto"/>
              <w:rPr>
                <w:rFonts w:ascii="Times New Roman" w:hAnsi="Times New Roman" w:cs="Times New Roman"/>
                <w:b/>
                <w:sz w:val="20"/>
                <w:szCs w:val="20"/>
                <w:lang w:val="en-US"/>
              </w:rPr>
            </w:pPr>
            <w:r w:rsidRPr="007B330B">
              <w:rPr>
                <w:rFonts w:ascii="Times New Roman" w:hAnsi="Times New Roman" w:cs="Times New Roman"/>
                <w:b/>
                <w:sz w:val="20"/>
                <w:szCs w:val="20"/>
                <w:lang w:val="en-US"/>
              </w:rPr>
              <w:t>133500</w:t>
            </w:r>
          </w:p>
        </w:tc>
        <w:tc>
          <w:tcPr>
            <w:tcW w:w="615" w:type="pct"/>
            <w:tcBorders>
              <w:top w:val="single" w:sz="4" w:space="0" w:color="auto"/>
              <w:left w:val="single" w:sz="4" w:space="0" w:color="auto"/>
              <w:bottom w:val="single" w:sz="4" w:space="0" w:color="auto"/>
              <w:right w:val="single" w:sz="4" w:space="0" w:color="auto"/>
            </w:tcBorders>
          </w:tcPr>
          <w:p w:rsidR="00250950" w:rsidRPr="007B330B" w:rsidRDefault="00250950" w:rsidP="00250950">
            <w:pPr>
              <w:spacing w:after="0" w:line="240" w:lineRule="auto"/>
              <w:rPr>
                <w:rFonts w:ascii="Times New Roman" w:hAnsi="Times New Roman" w:cs="Times New Roman"/>
                <w:b/>
                <w:sz w:val="20"/>
                <w:szCs w:val="20"/>
                <w:lang w:val="en-US"/>
              </w:rPr>
            </w:pPr>
            <w:r w:rsidRPr="007B330B">
              <w:rPr>
                <w:rFonts w:ascii="Times New Roman" w:hAnsi="Times New Roman" w:cs="Times New Roman"/>
                <w:b/>
                <w:sz w:val="20"/>
                <w:szCs w:val="20"/>
                <w:lang w:val="en-US"/>
              </w:rPr>
              <w:t>445000</w:t>
            </w:r>
          </w:p>
        </w:tc>
      </w:tr>
    </w:tbl>
    <w:p w:rsidR="009A6765" w:rsidRDefault="009A6765" w:rsidP="009A6765">
      <w:pPr>
        <w:spacing w:after="0" w:line="240" w:lineRule="auto"/>
        <w:rPr>
          <w:rFonts w:ascii="Times New Roman" w:hAnsi="Times New Roman" w:cs="Times New Roman"/>
          <w:sz w:val="20"/>
          <w:szCs w:val="20"/>
          <w:lang w:val="en-GB"/>
        </w:rPr>
      </w:pPr>
    </w:p>
    <w:p w:rsidR="009A6765" w:rsidRPr="0000318B" w:rsidRDefault="009A6765" w:rsidP="009A6765">
      <w:pPr>
        <w:spacing w:after="0" w:line="240" w:lineRule="auto"/>
        <w:rPr>
          <w:rFonts w:ascii="Times New Roman" w:hAnsi="Times New Roman" w:cs="Times New Roman"/>
          <w:sz w:val="20"/>
          <w:szCs w:val="20"/>
          <w:lang w:val="en-GB"/>
        </w:rPr>
      </w:pPr>
    </w:p>
    <w:tbl>
      <w:tblPr>
        <w:tblW w:w="53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3"/>
        <w:gridCol w:w="2399"/>
        <w:gridCol w:w="1087"/>
        <w:gridCol w:w="1524"/>
        <w:gridCol w:w="1204"/>
        <w:gridCol w:w="2494"/>
        <w:gridCol w:w="1090"/>
        <w:gridCol w:w="1090"/>
        <w:gridCol w:w="653"/>
        <w:gridCol w:w="871"/>
        <w:gridCol w:w="1315"/>
        <w:gridCol w:w="1236"/>
        <w:gridCol w:w="19"/>
      </w:tblGrid>
      <w:tr w:rsidR="009A6765" w:rsidRPr="004C4281" w:rsidTr="009A6765">
        <w:trPr>
          <w:trHeight w:val="221"/>
        </w:trPr>
        <w:tc>
          <w:tcPr>
            <w:tcW w:w="5000" w:type="pct"/>
            <w:gridSpan w:val="13"/>
            <w:tcBorders>
              <w:top w:val="single" w:sz="4" w:space="0" w:color="auto"/>
              <w:left w:val="single" w:sz="4" w:space="0" w:color="auto"/>
              <w:bottom w:val="single" w:sz="4" w:space="0" w:color="auto"/>
              <w:right w:val="single" w:sz="4" w:space="0" w:color="auto"/>
            </w:tcBorders>
            <w:hideMark/>
          </w:tcPr>
          <w:p w:rsidR="009A6765" w:rsidRPr="004C4281" w:rsidRDefault="009A6765" w:rsidP="009A6765">
            <w:pPr>
              <w:spacing w:after="0" w:line="240" w:lineRule="auto"/>
              <w:rPr>
                <w:rFonts w:ascii="Times New Roman" w:hAnsi="Times New Roman" w:cs="Times New Roman"/>
                <w:b/>
                <w:sz w:val="20"/>
                <w:szCs w:val="20"/>
                <w:lang w:val="en-US"/>
              </w:rPr>
            </w:pPr>
            <w:r w:rsidRPr="004C4281">
              <w:rPr>
                <w:rFonts w:ascii="Times New Roman" w:hAnsi="Times New Roman" w:cs="Times New Roman"/>
                <w:b/>
                <w:iCs/>
                <w:sz w:val="20"/>
                <w:szCs w:val="20"/>
                <w:lang w:val="en-US"/>
              </w:rPr>
              <w:t>Table 3: Result indicators</w:t>
            </w:r>
          </w:p>
        </w:tc>
      </w:tr>
      <w:tr w:rsidR="009A6765" w:rsidRPr="004C4281" w:rsidTr="009A6765">
        <w:trPr>
          <w:gridAfter w:val="1"/>
          <w:wAfter w:w="6" w:type="pct"/>
          <w:trHeight w:val="1024"/>
        </w:trPr>
        <w:tc>
          <w:tcPr>
            <w:tcW w:w="272" w:type="pct"/>
            <w:tcBorders>
              <w:top w:val="single" w:sz="4" w:space="0" w:color="auto"/>
              <w:left w:val="single" w:sz="4" w:space="0" w:color="auto"/>
              <w:bottom w:val="single" w:sz="4" w:space="0" w:color="auto"/>
              <w:right w:val="single" w:sz="4" w:space="0" w:color="auto"/>
            </w:tcBorders>
            <w:hideMark/>
          </w:tcPr>
          <w:p w:rsidR="009A6765" w:rsidRPr="004C4281" w:rsidRDefault="009A6765" w:rsidP="009A6765">
            <w:pPr>
              <w:spacing w:after="0" w:line="240" w:lineRule="auto"/>
              <w:rPr>
                <w:rFonts w:ascii="Times New Roman" w:hAnsi="Times New Roman" w:cs="Times New Roman"/>
                <w:b/>
                <w:sz w:val="20"/>
                <w:szCs w:val="20"/>
                <w:lang w:val="en-US"/>
              </w:rPr>
            </w:pPr>
            <w:r w:rsidRPr="004C4281">
              <w:rPr>
                <w:rFonts w:ascii="Times New Roman" w:hAnsi="Times New Roman" w:cs="Times New Roman"/>
                <w:b/>
                <w:sz w:val="20"/>
                <w:szCs w:val="20"/>
                <w:lang w:val="en-US"/>
              </w:rPr>
              <w:t xml:space="preserve">Priority </w:t>
            </w:r>
          </w:p>
        </w:tc>
        <w:tc>
          <w:tcPr>
            <w:tcW w:w="757" w:type="pct"/>
            <w:tcBorders>
              <w:top w:val="single" w:sz="4" w:space="0" w:color="auto"/>
              <w:left w:val="single" w:sz="4" w:space="0" w:color="auto"/>
              <w:bottom w:val="single" w:sz="4" w:space="0" w:color="auto"/>
              <w:right w:val="single" w:sz="4" w:space="0" w:color="auto"/>
            </w:tcBorders>
            <w:hideMark/>
          </w:tcPr>
          <w:p w:rsidR="009A6765" w:rsidRPr="004C4281" w:rsidRDefault="009A6765" w:rsidP="009A6765">
            <w:pPr>
              <w:spacing w:after="0" w:line="240" w:lineRule="auto"/>
              <w:rPr>
                <w:rFonts w:ascii="Times New Roman" w:hAnsi="Times New Roman" w:cs="Times New Roman"/>
                <w:b/>
                <w:sz w:val="20"/>
                <w:szCs w:val="20"/>
                <w:lang w:val="en-US"/>
              </w:rPr>
            </w:pPr>
            <w:r w:rsidRPr="004C4281">
              <w:rPr>
                <w:rFonts w:ascii="Times New Roman" w:hAnsi="Times New Roman" w:cs="Times New Roman"/>
                <w:b/>
                <w:sz w:val="20"/>
                <w:szCs w:val="20"/>
                <w:lang w:val="en-US"/>
              </w:rPr>
              <w:t>Specific objective (Investment for Jobs and Growth goal or EMFF)</w:t>
            </w:r>
          </w:p>
        </w:tc>
        <w:tc>
          <w:tcPr>
            <w:tcW w:w="343" w:type="pct"/>
            <w:tcBorders>
              <w:top w:val="single" w:sz="4" w:space="0" w:color="auto"/>
              <w:left w:val="single" w:sz="4" w:space="0" w:color="auto"/>
              <w:bottom w:val="single" w:sz="4" w:space="0" w:color="auto"/>
              <w:right w:val="single" w:sz="4" w:space="0" w:color="auto"/>
            </w:tcBorders>
            <w:hideMark/>
          </w:tcPr>
          <w:p w:rsidR="009A6765" w:rsidRPr="004C4281" w:rsidRDefault="009A6765" w:rsidP="009A6765">
            <w:pPr>
              <w:spacing w:after="0" w:line="240" w:lineRule="auto"/>
              <w:rPr>
                <w:rFonts w:ascii="Times New Roman" w:hAnsi="Times New Roman" w:cs="Times New Roman"/>
                <w:b/>
                <w:sz w:val="20"/>
                <w:szCs w:val="20"/>
                <w:lang w:val="en-US"/>
              </w:rPr>
            </w:pPr>
            <w:r w:rsidRPr="004C4281">
              <w:rPr>
                <w:rFonts w:ascii="Times New Roman" w:hAnsi="Times New Roman" w:cs="Times New Roman"/>
                <w:b/>
                <w:sz w:val="20"/>
                <w:szCs w:val="20"/>
                <w:lang w:val="en-US"/>
              </w:rPr>
              <w:t>Fund</w:t>
            </w:r>
          </w:p>
        </w:tc>
        <w:tc>
          <w:tcPr>
            <w:tcW w:w="481" w:type="pct"/>
            <w:tcBorders>
              <w:top w:val="single" w:sz="4" w:space="0" w:color="auto"/>
              <w:left w:val="single" w:sz="4" w:space="0" w:color="auto"/>
              <w:bottom w:val="single" w:sz="4" w:space="0" w:color="auto"/>
              <w:right w:val="single" w:sz="4" w:space="0" w:color="auto"/>
            </w:tcBorders>
            <w:hideMark/>
          </w:tcPr>
          <w:p w:rsidR="009A6765" w:rsidRPr="004C4281" w:rsidRDefault="009A6765" w:rsidP="009A6765">
            <w:pPr>
              <w:spacing w:after="0" w:line="240" w:lineRule="auto"/>
              <w:rPr>
                <w:rFonts w:ascii="Times New Roman" w:hAnsi="Times New Roman" w:cs="Times New Roman"/>
                <w:b/>
                <w:sz w:val="20"/>
                <w:szCs w:val="20"/>
                <w:lang w:val="en-US"/>
              </w:rPr>
            </w:pPr>
            <w:r w:rsidRPr="004C4281">
              <w:rPr>
                <w:rFonts w:ascii="Times New Roman" w:hAnsi="Times New Roman" w:cs="Times New Roman"/>
                <w:b/>
                <w:sz w:val="20"/>
                <w:szCs w:val="20"/>
                <w:lang w:val="en-US"/>
              </w:rPr>
              <w:t>Category of region</w:t>
            </w:r>
            <w:r w:rsidRPr="004C4281">
              <w:rPr>
                <w:rFonts w:ascii="Times New Roman" w:hAnsi="Times New Roman" w:cs="Times New Roman"/>
                <w:sz w:val="20"/>
                <w:szCs w:val="20"/>
                <w:lang w:val="en-US"/>
              </w:rPr>
              <w:t xml:space="preserve"> </w:t>
            </w:r>
          </w:p>
        </w:tc>
        <w:tc>
          <w:tcPr>
            <w:tcW w:w="380" w:type="pct"/>
            <w:tcBorders>
              <w:top w:val="single" w:sz="4" w:space="0" w:color="auto"/>
              <w:left w:val="single" w:sz="4" w:space="0" w:color="auto"/>
              <w:bottom w:val="single" w:sz="4" w:space="0" w:color="auto"/>
              <w:right w:val="single" w:sz="4" w:space="0" w:color="auto"/>
            </w:tcBorders>
            <w:hideMark/>
          </w:tcPr>
          <w:p w:rsidR="009A6765" w:rsidRPr="004C4281" w:rsidRDefault="009A6765" w:rsidP="009A6765">
            <w:pPr>
              <w:spacing w:after="0" w:line="240" w:lineRule="auto"/>
              <w:rPr>
                <w:rFonts w:ascii="Times New Roman" w:hAnsi="Times New Roman" w:cs="Times New Roman"/>
                <w:b/>
                <w:sz w:val="20"/>
                <w:szCs w:val="20"/>
                <w:lang w:val="en-US"/>
              </w:rPr>
            </w:pPr>
            <w:r w:rsidRPr="004C4281">
              <w:rPr>
                <w:rFonts w:ascii="Times New Roman" w:hAnsi="Times New Roman" w:cs="Times New Roman"/>
                <w:b/>
                <w:sz w:val="20"/>
                <w:szCs w:val="20"/>
                <w:lang w:val="en-US"/>
              </w:rPr>
              <w:t>ID [5]</w:t>
            </w:r>
          </w:p>
        </w:tc>
        <w:tc>
          <w:tcPr>
            <w:tcW w:w="787" w:type="pct"/>
            <w:tcBorders>
              <w:top w:val="single" w:sz="4" w:space="0" w:color="auto"/>
              <w:left w:val="single" w:sz="4" w:space="0" w:color="auto"/>
              <w:bottom w:val="single" w:sz="4" w:space="0" w:color="auto"/>
              <w:right w:val="single" w:sz="4" w:space="0" w:color="auto"/>
            </w:tcBorders>
            <w:hideMark/>
          </w:tcPr>
          <w:p w:rsidR="009A6765" w:rsidRPr="004C4281" w:rsidRDefault="009A6765" w:rsidP="009A6765">
            <w:pPr>
              <w:spacing w:after="0" w:line="240" w:lineRule="auto"/>
              <w:rPr>
                <w:rFonts w:ascii="Times New Roman" w:hAnsi="Times New Roman" w:cs="Times New Roman"/>
                <w:b/>
                <w:sz w:val="20"/>
                <w:szCs w:val="20"/>
                <w:lang w:val="en-US"/>
              </w:rPr>
            </w:pPr>
            <w:r w:rsidRPr="004C4281">
              <w:rPr>
                <w:rFonts w:ascii="Times New Roman" w:hAnsi="Times New Roman" w:cs="Times New Roman"/>
                <w:b/>
                <w:sz w:val="20"/>
                <w:szCs w:val="20"/>
                <w:lang w:val="en-US"/>
              </w:rPr>
              <w:t>Indicator [255]</w:t>
            </w:r>
          </w:p>
        </w:tc>
        <w:tc>
          <w:tcPr>
            <w:tcW w:w="344" w:type="pct"/>
            <w:tcBorders>
              <w:top w:val="single" w:sz="4" w:space="0" w:color="auto"/>
              <w:left w:val="single" w:sz="4" w:space="0" w:color="auto"/>
              <w:bottom w:val="single" w:sz="4" w:space="0" w:color="auto"/>
              <w:right w:val="single" w:sz="4" w:space="0" w:color="auto"/>
            </w:tcBorders>
            <w:hideMark/>
          </w:tcPr>
          <w:p w:rsidR="009A6765" w:rsidRPr="004C4281" w:rsidRDefault="009A6765" w:rsidP="009A6765">
            <w:pPr>
              <w:spacing w:after="0" w:line="240" w:lineRule="auto"/>
              <w:rPr>
                <w:rFonts w:ascii="Times New Roman" w:hAnsi="Times New Roman" w:cs="Times New Roman"/>
                <w:b/>
                <w:sz w:val="20"/>
                <w:szCs w:val="20"/>
                <w:lang w:val="en-US"/>
              </w:rPr>
            </w:pPr>
            <w:r w:rsidRPr="004C4281">
              <w:rPr>
                <w:rFonts w:ascii="Times New Roman" w:hAnsi="Times New Roman" w:cs="Times New Roman"/>
                <w:b/>
                <w:sz w:val="20"/>
                <w:szCs w:val="20"/>
                <w:lang w:val="en-US"/>
              </w:rPr>
              <w:t>Measurement unit</w:t>
            </w:r>
          </w:p>
        </w:tc>
        <w:tc>
          <w:tcPr>
            <w:tcW w:w="344" w:type="pct"/>
            <w:tcBorders>
              <w:top w:val="single" w:sz="4" w:space="0" w:color="auto"/>
              <w:left w:val="single" w:sz="4" w:space="0" w:color="auto"/>
              <w:bottom w:val="single" w:sz="4" w:space="0" w:color="auto"/>
              <w:right w:val="single" w:sz="4" w:space="0" w:color="auto"/>
            </w:tcBorders>
            <w:hideMark/>
          </w:tcPr>
          <w:p w:rsidR="009A6765" w:rsidRPr="004C4281" w:rsidRDefault="009A6765" w:rsidP="009A6765">
            <w:pPr>
              <w:spacing w:after="0" w:line="240" w:lineRule="auto"/>
              <w:rPr>
                <w:rFonts w:ascii="Times New Roman" w:hAnsi="Times New Roman" w:cs="Times New Roman"/>
                <w:b/>
                <w:sz w:val="20"/>
                <w:szCs w:val="20"/>
                <w:lang w:val="en-US"/>
              </w:rPr>
            </w:pPr>
            <w:r w:rsidRPr="004C4281">
              <w:rPr>
                <w:rFonts w:ascii="Times New Roman" w:hAnsi="Times New Roman" w:cs="Times New Roman"/>
                <w:b/>
                <w:sz w:val="20"/>
                <w:szCs w:val="20"/>
                <w:lang w:val="en-US"/>
              </w:rPr>
              <w:t>Baseline or reference value</w:t>
            </w:r>
          </w:p>
        </w:tc>
        <w:tc>
          <w:tcPr>
            <w:tcW w:w="206" w:type="pct"/>
            <w:tcBorders>
              <w:top w:val="single" w:sz="4" w:space="0" w:color="auto"/>
              <w:left w:val="single" w:sz="4" w:space="0" w:color="auto"/>
              <w:bottom w:val="single" w:sz="4" w:space="0" w:color="auto"/>
              <w:right w:val="single" w:sz="4" w:space="0" w:color="auto"/>
            </w:tcBorders>
            <w:hideMark/>
          </w:tcPr>
          <w:p w:rsidR="009A6765" w:rsidRPr="004C4281" w:rsidRDefault="009A6765" w:rsidP="009A6765">
            <w:pPr>
              <w:spacing w:after="0" w:line="240" w:lineRule="auto"/>
              <w:rPr>
                <w:rFonts w:ascii="Times New Roman" w:hAnsi="Times New Roman" w:cs="Times New Roman"/>
                <w:b/>
                <w:sz w:val="20"/>
                <w:szCs w:val="20"/>
                <w:lang w:val="en-US"/>
              </w:rPr>
            </w:pPr>
            <w:r w:rsidRPr="004C4281">
              <w:rPr>
                <w:rFonts w:ascii="Times New Roman" w:hAnsi="Times New Roman" w:cs="Times New Roman"/>
                <w:b/>
                <w:sz w:val="20"/>
                <w:szCs w:val="20"/>
                <w:lang w:val="en-US"/>
              </w:rPr>
              <w:t>Reference year</w:t>
            </w:r>
          </w:p>
        </w:tc>
        <w:tc>
          <w:tcPr>
            <w:tcW w:w="275" w:type="pct"/>
            <w:tcBorders>
              <w:top w:val="single" w:sz="4" w:space="0" w:color="auto"/>
              <w:left w:val="single" w:sz="4" w:space="0" w:color="auto"/>
              <w:bottom w:val="single" w:sz="4" w:space="0" w:color="auto"/>
              <w:right w:val="single" w:sz="4" w:space="0" w:color="auto"/>
            </w:tcBorders>
          </w:tcPr>
          <w:p w:rsidR="009A6765" w:rsidRPr="004C4281" w:rsidRDefault="009A6765" w:rsidP="009A6765">
            <w:pPr>
              <w:spacing w:after="0" w:line="240" w:lineRule="auto"/>
              <w:rPr>
                <w:rFonts w:ascii="Times New Roman" w:hAnsi="Times New Roman" w:cs="Times New Roman"/>
                <w:b/>
                <w:sz w:val="20"/>
                <w:szCs w:val="20"/>
                <w:lang w:val="en-US"/>
              </w:rPr>
            </w:pPr>
            <w:r w:rsidRPr="004C4281">
              <w:rPr>
                <w:rFonts w:ascii="Times New Roman" w:hAnsi="Times New Roman" w:cs="Times New Roman"/>
                <w:b/>
                <w:sz w:val="20"/>
                <w:szCs w:val="20"/>
                <w:lang w:val="en-US"/>
              </w:rPr>
              <w:t>Target (2029)</w:t>
            </w:r>
          </w:p>
          <w:p w:rsidR="009A6765" w:rsidRPr="004C4281" w:rsidRDefault="009A6765" w:rsidP="009A6765">
            <w:pPr>
              <w:spacing w:after="0" w:line="240" w:lineRule="auto"/>
              <w:rPr>
                <w:rFonts w:ascii="Times New Roman" w:hAnsi="Times New Roman" w:cs="Times New Roman"/>
                <w:b/>
                <w:sz w:val="20"/>
                <w:szCs w:val="20"/>
                <w:lang w:val="en-US"/>
              </w:rPr>
            </w:pPr>
          </w:p>
        </w:tc>
        <w:tc>
          <w:tcPr>
            <w:tcW w:w="415" w:type="pct"/>
            <w:tcBorders>
              <w:top w:val="single" w:sz="4" w:space="0" w:color="auto"/>
              <w:left w:val="single" w:sz="4" w:space="0" w:color="auto"/>
              <w:bottom w:val="single" w:sz="4" w:space="0" w:color="auto"/>
              <w:right w:val="single" w:sz="4" w:space="0" w:color="auto"/>
            </w:tcBorders>
            <w:hideMark/>
          </w:tcPr>
          <w:p w:rsidR="009A6765" w:rsidRPr="004C4281" w:rsidRDefault="009A6765" w:rsidP="009A6765">
            <w:pPr>
              <w:spacing w:after="0" w:line="240" w:lineRule="auto"/>
              <w:rPr>
                <w:rFonts w:ascii="Times New Roman" w:hAnsi="Times New Roman" w:cs="Times New Roman"/>
                <w:b/>
                <w:sz w:val="20"/>
                <w:szCs w:val="20"/>
                <w:lang w:val="en-US"/>
              </w:rPr>
            </w:pPr>
            <w:r w:rsidRPr="004C4281">
              <w:rPr>
                <w:rFonts w:ascii="Times New Roman" w:hAnsi="Times New Roman" w:cs="Times New Roman"/>
                <w:b/>
                <w:sz w:val="20"/>
                <w:szCs w:val="20"/>
                <w:lang w:val="en-US"/>
              </w:rPr>
              <w:t>Source of data [200]</w:t>
            </w:r>
          </w:p>
        </w:tc>
        <w:tc>
          <w:tcPr>
            <w:tcW w:w="390" w:type="pct"/>
            <w:tcBorders>
              <w:top w:val="single" w:sz="4" w:space="0" w:color="auto"/>
              <w:left w:val="single" w:sz="4" w:space="0" w:color="auto"/>
              <w:bottom w:val="single" w:sz="4" w:space="0" w:color="auto"/>
              <w:right w:val="single" w:sz="4" w:space="0" w:color="auto"/>
            </w:tcBorders>
            <w:hideMark/>
          </w:tcPr>
          <w:p w:rsidR="009A6765" w:rsidRPr="004C4281" w:rsidRDefault="009A6765" w:rsidP="009A6765">
            <w:pPr>
              <w:spacing w:after="0" w:line="240" w:lineRule="auto"/>
              <w:rPr>
                <w:rFonts w:ascii="Times New Roman" w:hAnsi="Times New Roman" w:cs="Times New Roman"/>
                <w:b/>
                <w:sz w:val="20"/>
                <w:szCs w:val="20"/>
                <w:lang w:val="en-US"/>
              </w:rPr>
            </w:pPr>
            <w:r w:rsidRPr="004C4281">
              <w:rPr>
                <w:rFonts w:ascii="Times New Roman" w:hAnsi="Times New Roman" w:cs="Times New Roman"/>
                <w:b/>
                <w:sz w:val="20"/>
                <w:szCs w:val="20"/>
                <w:lang w:val="en-US"/>
              </w:rPr>
              <w:t>Comments [200]</w:t>
            </w:r>
          </w:p>
        </w:tc>
      </w:tr>
      <w:tr w:rsidR="00C06F2D" w:rsidRPr="004C4281" w:rsidTr="009A6765">
        <w:trPr>
          <w:gridAfter w:val="1"/>
          <w:wAfter w:w="6" w:type="pct"/>
          <w:trHeight w:val="77"/>
        </w:trPr>
        <w:tc>
          <w:tcPr>
            <w:tcW w:w="272" w:type="pct"/>
            <w:tcBorders>
              <w:top w:val="single" w:sz="4" w:space="0" w:color="auto"/>
              <w:left w:val="single" w:sz="4" w:space="0" w:color="auto"/>
              <w:bottom w:val="single" w:sz="4" w:space="0" w:color="auto"/>
              <w:right w:val="single" w:sz="4" w:space="0" w:color="auto"/>
            </w:tcBorders>
          </w:tcPr>
          <w:p w:rsidR="00C06F2D" w:rsidRPr="004C4281" w:rsidRDefault="00C06F2D" w:rsidP="00C06F2D">
            <w:pPr>
              <w:spacing w:after="0" w:line="240" w:lineRule="auto"/>
              <w:rPr>
                <w:rFonts w:ascii="Times New Roman" w:hAnsi="Times New Roman" w:cs="Times New Roman"/>
                <w:sz w:val="20"/>
                <w:szCs w:val="20"/>
                <w:lang w:val="en-US"/>
              </w:rPr>
            </w:pPr>
            <w:r w:rsidRPr="004C4281">
              <w:rPr>
                <w:rFonts w:ascii="Times New Roman" w:hAnsi="Times New Roman" w:cs="Times New Roman"/>
                <w:sz w:val="20"/>
                <w:szCs w:val="20"/>
                <w:lang w:val="en-US"/>
              </w:rPr>
              <w:t>3.1</w:t>
            </w:r>
          </w:p>
        </w:tc>
        <w:tc>
          <w:tcPr>
            <w:tcW w:w="757" w:type="pct"/>
            <w:tcBorders>
              <w:top w:val="single" w:sz="4" w:space="0" w:color="auto"/>
              <w:left w:val="single" w:sz="4" w:space="0" w:color="auto"/>
              <w:bottom w:val="single" w:sz="4" w:space="0" w:color="auto"/>
              <w:right w:val="single" w:sz="4" w:space="0" w:color="auto"/>
            </w:tcBorders>
          </w:tcPr>
          <w:p w:rsidR="00C06F2D" w:rsidRPr="004C4281" w:rsidRDefault="00C06F2D" w:rsidP="00C06F2D">
            <w:pPr>
              <w:spacing w:after="0" w:line="240" w:lineRule="auto"/>
              <w:jc w:val="center"/>
              <w:rPr>
                <w:rFonts w:ascii="Times New Roman" w:hAnsi="Times New Roman" w:cs="Times New Roman"/>
                <w:sz w:val="20"/>
                <w:szCs w:val="20"/>
                <w:lang w:val="en-US"/>
              </w:rPr>
            </w:pPr>
            <w:r w:rsidRPr="004C4281">
              <w:rPr>
                <w:rFonts w:ascii="Times New Roman" w:hAnsi="Times New Roman" w:cs="Times New Roman"/>
                <w:sz w:val="20"/>
                <w:szCs w:val="20"/>
                <w:lang w:val="en-US"/>
              </w:rPr>
              <w:t xml:space="preserve">SO 1b (i) Promovarea eficienței energetice și reducerea emisiilor de gaze cu </w:t>
            </w:r>
            <w:r w:rsidRPr="004C4281">
              <w:rPr>
                <w:rFonts w:ascii="Times New Roman" w:hAnsi="Times New Roman" w:cs="Times New Roman"/>
                <w:sz w:val="20"/>
                <w:szCs w:val="20"/>
                <w:lang w:val="en-US"/>
              </w:rPr>
              <w:pgNum/>
            </w:r>
            <w:r w:rsidRPr="004C4281">
              <w:rPr>
                <w:rFonts w:ascii="Times New Roman" w:hAnsi="Times New Roman" w:cs="Times New Roman"/>
                <w:sz w:val="20"/>
                <w:szCs w:val="20"/>
                <w:lang w:val="en-US"/>
              </w:rPr>
              <w:t xml:space="preserve"> efect de seră</w:t>
            </w:r>
          </w:p>
        </w:tc>
        <w:tc>
          <w:tcPr>
            <w:tcW w:w="343" w:type="pct"/>
            <w:tcBorders>
              <w:top w:val="single" w:sz="4" w:space="0" w:color="auto"/>
              <w:left w:val="single" w:sz="4" w:space="0" w:color="auto"/>
              <w:bottom w:val="single" w:sz="4" w:space="0" w:color="auto"/>
              <w:right w:val="single" w:sz="4" w:space="0" w:color="auto"/>
            </w:tcBorders>
          </w:tcPr>
          <w:p w:rsidR="00C06F2D" w:rsidRPr="004C4281" w:rsidRDefault="00C06F2D" w:rsidP="00C06F2D">
            <w:pPr>
              <w:spacing w:after="0" w:line="240" w:lineRule="auto"/>
              <w:rPr>
                <w:rFonts w:ascii="Times New Roman" w:hAnsi="Times New Roman" w:cs="Times New Roman"/>
                <w:sz w:val="20"/>
                <w:szCs w:val="20"/>
                <w:lang w:val="en-US"/>
              </w:rPr>
            </w:pPr>
            <w:r w:rsidRPr="004C4281">
              <w:rPr>
                <w:rFonts w:ascii="Times New Roman" w:hAnsi="Times New Roman" w:cs="Times New Roman"/>
                <w:noProof/>
                <w:sz w:val="20"/>
                <w:szCs w:val="20"/>
              </w:rPr>
              <w:t>FEDR</w:t>
            </w:r>
          </w:p>
        </w:tc>
        <w:tc>
          <w:tcPr>
            <w:tcW w:w="481" w:type="pct"/>
            <w:tcBorders>
              <w:top w:val="single" w:sz="4" w:space="0" w:color="auto"/>
              <w:left w:val="single" w:sz="4" w:space="0" w:color="auto"/>
              <w:bottom w:val="single" w:sz="4" w:space="0" w:color="auto"/>
              <w:right w:val="single" w:sz="4" w:space="0" w:color="auto"/>
            </w:tcBorders>
          </w:tcPr>
          <w:p w:rsidR="00C06F2D" w:rsidRPr="004C4281" w:rsidRDefault="00C06F2D" w:rsidP="00C06F2D">
            <w:pPr>
              <w:spacing w:after="0" w:line="240" w:lineRule="auto"/>
              <w:rPr>
                <w:rFonts w:ascii="Times New Roman" w:hAnsi="Times New Roman" w:cs="Times New Roman"/>
                <w:sz w:val="20"/>
                <w:szCs w:val="20"/>
                <w:lang w:val="en-US"/>
              </w:rPr>
            </w:pPr>
            <w:r w:rsidRPr="004C4281">
              <w:rPr>
                <w:rFonts w:ascii="Times New Roman" w:hAnsi="Times New Roman" w:cs="Times New Roman"/>
                <w:noProof/>
                <w:sz w:val="20"/>
                <w:szCs w:val="20"/>
              </w:rPr>
              <w:t>Mai puțin dezvoltată</w:t>
            </w:r>
          </w:p>
        </w:tc>
        <w:tc>
          <w:tcPr>
            <w:tcW w:w="380" w:type="pct"/>
            <w:tcBorders>
              <w:top w:val="single" w:sz="4" w:space="0" w:color="auto"/>
              <w:left w:val="single" w:sz="4" w:space="0" w:color="auto"/>
              <w:bottom w:val="single" w:sz="4" w:space="0" w:color="auto"/>
              <w:right w:val="single" w:sz="4" w:space="0" w:color="auto"/>
            </w:tcBorders>
          </w:tcPr>
          <w:p w:rsidR="00C06F2D" w:rsidRPr="004C4281" w:rsidRDefault="00C06F2D" w:rsidP="00C06F2D">
            <w:pPr>
              <w:spacing w:after="0" w:line="240" w:lineRule="auto"/>
              <w:rPr>
                <w:rFonts w:ascii="Times New Roman" w:hAnsi="Times New Roman" w:cs="Times New Roman"/>
                <w:i/>
                <w:sz w:val="20"/>
                <w:szCs w:val="20"/>
                <w:lang w:val="en-US"/>
              </w:rPr>
            </w:pPr>
            <w:r w:rsidRPr="004C4281">
              <w:rPr>
                <w:rFonts w:ascii="Times New Roman" w:hAnsi="Times New Roman" w:cs="Times New Roman"/>
                <w:i/>
                <w:sz w:val="20"/>
                <w:szCs w:val="20"/>
                <w:lang w:val="en-US"/>
              </w:rPr>
              <w:t>RCR 26</w:t>
            </w:r>
          </w:p>
          <w:p w:rsidR="00C06F2D" w:rsidRPr="004C4281" w:rsidRDefault="00C06F2D" w:rsidP="00C06F2D">
            <w:pPr>
              <w:spacing w:after="0" w:line="240" w:lineRule="auto"/>
              <w:rPr>
                <w:rFonts w:ascii="Times New Roman" w:hAnsi="Times New Roman" w:cs="Times New Roman"/>
                <w:i/>
                <w:sz w:val="20"/>
                <w:szCs w:val="20"/>
                <w:lang w:val="en-US"/>
              </w:rPr>
            </w:pPr>
          </w:p>
          <w:p w:rsidR="00C06F2D" w:rsidRPr="004C4281" w:rsidRDefault="00C06F2D" w:rsidP="00C06F2D">
            <w:pPr>
              <w:spacing w:after="0" w:line="240" w:lineRule="auto"/>
              <w:rPr>
                <w:rFonts w:ascii="Times New Roman" w:hAnsi="Times New Roman" w:cs="Times New Roman"/>
                <w:i/>
                <w:sz w:val="20"/>
                <w:szCs w:val="20"/>
                <w:lang w:val="en-US"/>
              </w:rPr>
            </w:pPr>
          </w:p>
          <w:p w:rsidR="00C06F2D" w:rsidRPr="004C4281" w:rsidRDefault="00C06F2D" w:rsidP="00C06F2D">
            <w:pPr>
              <w:spacing w:after="0" w:line="240" w:lineRule="auto"/>
              <w:rPr>
                <w:rFonts w:ascii="Times New Roman" w:hAnsi="Times New Roman" w:cs="Times New Roman"/>
                <w:i/>
                <w:sz w:val="20"/>
                <w:szCs w:val="20"/>
                <w:lang w:val="en-US"/>
              </w:rPr>
            </w:pPr>
          </w:p>
          <w:p w:rsidR="00C06F2D" w:rsidRPr="004C4281" w:rsidRDefault="00C06F2D" w:rsidP="00C06F2D">
            <w:pPr>
              <w:spacing w:after="0" w:line="240" w:lineRule="auto"/>
              <w:rPr>
                <w:rFonts w:ascii="Times New Roman" w:hAnsi="Times New Roman" w:cs="Times New Roman"/>
                <w:i/>
                <w:sz w:val="20"/>
                <w:szCs w:val="20"/>
                <w:lang w:val="en-US"/>
              </w:rPr>
            </w:pPr>
          </w:p>
          <w:p w:rsidR="00C06F2D" w:rsidRPr="004C4281" w:rsidRDefault="00C06F2D" w:rsidP="00C06F2D">
            <w:pPr>
              <w:spacing w:after="0" w:line="240" w:lineRule="auto"/>
              <w:rPr>
                <w:rFonts w:ascii="Times New Roman" w:hAnsi="Times New Roman" w:cs="Times New Roman"/>
                <w:i/>
                <w:sz w:val="20"/>
                <w:szCs w:val="20"/>
                <w:lang w:val="en-US"/>
              </w:rPr>
            </w:pPr>
          </w:p>
        </w:tc>
        <w:tc>
          <w:tcPr>
            <w:tcW w:w="787" w:type="pct"/>
            <w:tcBorders>
              <w:top w:val="single" w:sz="4" w:space="0" w:color="auto"/>
              <w:left w:val="single" w:sz="4" w:space="0" w:color="auto"/>
              <w:bottom w:val="single" w:sz="4" w:space="0" w:color="auto"/>
              <w:right w:val="single" w:sz="4" w:space="0" w:color="auto"/>
            </w:tcBorders>
          </w:tcPr>
          <w:p w:rsidR="00C06F2D" w:rsidRPr="004C4281" w:rsidRDefault="00C06F2D" w:rsidP="00C06F2D">
            <w:pPr>
              <w:pStyle w:val="Default"/>
              <w:jc w:val="both"/>
              <w:rPr>
                <w:rFonts w:ascii="Times New Roman" w:hAnsi="Times New Roman" w:cs="Times New Roman"/>
                <w:i/>
                <w:sz w:val="20"/>
                <w:szCs w:val="20"/>
                <w:lang w:val="en-US"/>
              </w:rPr>
            </w:pPr>
            <w:r w:rsidRPr="004C4281">
              <w:rPr>
                <w:rFonts w:ascii="Times New Roman" w:hAnsi="Times New Roman" w:cs="Times New Roman"/>
                <w:i/>
                <w:sz w:val="20"/>
                <w:szCs w:val="20"/>
                <w:lang w:val="en-US"/>
              </w:rPr>
              <w:t>Consum final anual de energie (din care: utilizatori rezidențiali, privați nerezidențiali, publici nerezidențiali)</w:t>
            </w:r>
          </w:p>
        </w:tc>
        <w:tc>
          <w:tcPr>
            <w:tcW w:w="344" w:type="pct"/>
            <w:tcBorders>
              <w:top w:val="single" w:sz="4" w:space="0" w:color="auto"/>
              <w:left w:val="single" w:sz="4" w:space="0" w:color="auto"/>
              <w:bottom w:val="single" w:sz="4" w:space="0" w:color="auto"/>
              <w:right w:val="single" w:sz="4" w:space="0" w:color="auto"/>
            </w:tcBorders>
          </w:tcPr>
          <w:p w:rsidR="00C06F2D" w:rsidRPr="004C4281" w:rsidRDefault="00C06F2D" w:rsidP="00C06F2D">
            <w:pPr>
              <w:pStyle w:val="Text1"/>
              <w:spacing w:before="0" w:after="0" w:line="240" w:lineRule="auto"/>
              <w:ind w:left="0"/>
              <w:rPr>
                <w:i/>
                <w:sz w:val="20"/>
                <w:szCs w:val="20"/>
                <w:lang w:val="en-US"/>
              </w:rPr>
            </w:pPr>
          </w:p>
          <w:p w:rsidR="00C06F2D" w:rsidRPr="004C4281" w:rsidRDefault="00C06F2D" w:rsidP="00C06F2D">
            <w:pPr>
              <w:spacing w:after="0" w:line="240" w:lineRule="auto"/>
              <w:rPr>
                <w:rFonts w:ascii="Times New Roman" w:hAnsi="Times New Roman" w:cs="Times New Roman"/>
                <w:i/>
                <w:sz w:val="20"/>
                <w:szCs w:val="20"/>
                <w:lang w:val="en-US"/>
              </w:rPr>
            </w:pPr>
            <w:r w:rsidRPr="006365AA">
              <w:rPr>
                <w:i/>
                <w:sz w:val="20"/>
                <w:szCs w:val="20"/>
                <w:lang w:val="en-US"/>
              </w:rPr>
              <w:t>MWh / an</w:t>
            </w:r>
          </w:p>
        </w:tc>
        <w:tc>
          <w:tcPr>
            <w:tcW w:w="344" w:type="pct"/>
            <w:tcBorders>
              <w:top w:val="single" w:sz="4" w:space="0" w:color="auto"/>
              <w:left w:val="single" w:sz="4" w:space="0" w:color="auto"/>
              <w:bottom w:val="single" w:sz="4" w:space="0" w:color="auto"/>
              <w:right w:val="single" w:sz="4" w:space="0" w:color="auto"/>
            </w:tcBorders>
          </w:tcPr>
          <w:p w:rsidR="00C06F2D" w:rsidRPr="004C4281" w:rsidRDefault="002B433A" w:rsidP="00C06F2D">
            <w:pPr>
              <w:spacing w:after="0" w:line="240" w:lineRule="auto"/>
              <w:rPr>
                <w:rFonts w:ascii="Times New Roman" w:hAnsi="Times New Roman" w:cs="Times New Roman"/>
                <w:i/>
                <w:sz w:val="20"/>
                <w:szCs w:val="20"/>
                <w:lang w:val="en-US"/>
              </w:rPr>
            </w:pPr>
            <w:r>
              <w:rPr>
                <w:rFonts w:ascii="Times New Roman" w:hAnsi="Times New Roman" w:cs="Times New Roman"/>
                <w:b/>
                <w:sz w:val="20"/>
                <w:szCs w:val="20"/>
                <w:lang w:val="en-US"/>
              </w:rPr>
              <w:t>522259,58</w:t>
            </w:r>
          </w:p>
        </w:tc>
        <w:tc>
          <w:tcPr>
            <w:tcW w:w="206" w:type="pct"/>
            <w:tcBorders>
              <w:top w:val="single" w:sz="4" w:space="0" w:color="auto"/>
              <w:left w:val="single" w:sz="4" w:space="0" w:color="auto"/>
              <w:bottom w:val="single" w:sz="4" w:space="0" w:color="auto"/>
              <w:right w:val="single" w:sz="4" w:space="0" w:color="auto"/>
            </w:tcBorders>
          </w:tcPr>
          <w:p w:rsidR="00C06F2D" w:rsidRPr="004C4281" w:rsidRDefault="00C06F2D" w:rsidP="00C06F2D">
            <w:pPr>
              <w:spacing w:after="0" w:line="240" w:lineRule="auto"/>
              <w:rPr>
                <w:rFonts w:ascii="Times New Roman" w:hAnsi="Times New Roman" w:cs="Times New Roman"/>
                <w:b/>
                <w:sz w:val="20"/>
                <w:szCs w:val="20"/>
                <w:lang w:val="en-US"/>
              </w:rPr>
            </w:pPr>
            <w:r>
              <w:rPr>
                <w:rFonts w:ascii="Times New Roman" w:hAnsi="Times New Roman" w:cs="Times New Roman"/>
                <w:b/>
                <w:sz w:val="20"/>
                <w:szCs w:val="20"/>
                <w:lang w:val="en-US"/>
              </w:rPr>
              <w:t>2020</w:t>
            </w:r>
          </w:p>
        </w:tc>
        <w:tc>
          <w:tcPr>
            <w:tcW w:w="275" w:type="pct"/>
            <w:tcBorders>
              <w:top w:val="single" w:sz="4" w:space="0" w:color="auto"/>
              <w:left w:val="single" w:sz="4" w:space="0" w:color="auto"/>
              <w:bottom w:val="single" w:sz="4" w:space="0" w:color="auto"/>
              <w:right w:val="single" w:sz="4" w:space="0" w:color="auto"/>
            </w:tcBorders>
          </w:tcPr>
          <w:p w:rsidR="00C06F2D" w:rsidRPr="004C4281" w:rsidRDefault="00C06F2D" w:rsidP="002B433A">
            <w:pPr>
              <w:spacing w:after="0" w:line="240" w:lineRule="auto"/>
              <w:rPr>
                <w:rFonts w:ascii="Times New Roman" w:hAnsi="Times New Roman" w:cs="Times New Roman"/>
                <w:b/>
                <w:sz w:val="20"/>
                <w:szCs w:val="20"/>
                <w:lang w:val="en-US"/>
              </w:rPr>
            </w:pPr>
            <w:r w:rsidRPr="00A742EC">
              <w:rPr>
                <w:rFonts w:ascii="Times New Roman" w:hAnsi="Times New Roman" w:cs="Times New Roman"/>
                <w:b/>
                <w:sz w:val="20"/>
                <w:szCs w:val="20"/>
                <w:lang w:val="en-US"/>
              </w:rPr>
              <w:t xml:space="preserve">  </w:t>
            </w:r>
            <w:r w:rsidR="002B433A">
              <w:rPr>
                <w:rFonts w:ascii="Times New Roman" w:hAnsi="Times New Roman" w:cs="Times New Roman"/>
                <w:b/>
                <w:sz w:val="20"/>
                <w:szCs w:val="20"/>
                <w:lang w:val="en-US"/>
              </w:rPr>
              <w:t>208903,83</w:t>
            </w:r>
            <w:r w:rsidRPr="00A742EC">
              <w:rPr>
                <w:rFonts w:ascii="Times New Roman" w:hAnsi="Times New Roman" w:cs="Times New Roman"/>
                <w:b/>
                <w:sz w:val="20"/>
                <w:szCs w:val="20"/>
                <w:lang w:val="en-US"/>
              </w:rPr>
              <w:t xml:space="preserve">     </w:t>
            </w:r>
          </w:p>
        </w:tc>
        <w:tc>
          <w:tcPr>
            <w:tcW w:w="415" w:type="pct"/>
            <w:tcBorders>
              <w:top w:val="single" w:sz="4" w:space="0" w:color="auto"/>
              <w:left w:val="single" w:sz="4" w:space="0" w:color="auto"/>
              <w:bottom w:val="single" w:sz="4" w:space="0" w:color="auto"/>
              <w:right w:val="single" w:sz="4" w:space="0" w:color="auto"/>
            </w:tcBorders>
          </w:tcPr>
          <w:p w:rsidR="00C06F2D" w:rsidRPr="004C4281" w:rsidRDefault="00C06F2D" w:rsidP="00C06F2D">
            <w:pPr>
              <w:spacing w:after="0" w:line="240" w:lineRule="auto"/>
              <w:rPr>
                <w:rFonts w:ascii="Times New Roman" w:hAnsi="Times New Roman" w:cs="Times New Roman"/>
                <w:i/>
                <w:sz w:val="20"/>
                <w:szCs w:val="20"/>
                <w:lang w:val="en-US"/>
              </w:rPr>
            </w:pPr>
            <w:r w:rsidRPr="004C4281">
              <w:rPr>
                <w:rFonts w:ascii="Times New Roman" w:hAnsi="Times New Roman" w:cs="Times New Roman"/>
                <w:i/>
                <w:sz w:val="20"/>
                <w:szCs w:val="20"/>
                <w:lang w:val="en-US"/>
              </w:rPr>
              <w:t xml:space="preserve">Rapoarte de monitorizare POR- MYSMIS </w:t>
            </w:r>
          </w:p>
          <w:p w:rsidR="00C06F2D" w:rsidRPr="004C4281" w:rsidRDefault="00C06F2D" w:rsidP="00C06F2D">
            <w:pPr>
              <w:spacing w:after="0" w:line="240" w:lineRule="auto"/>
              <w:rPr>
                <w:rFonts w:ascii="Times New Roman" w:hAnsi="Times New Roman" w:cs="Times New Roman"/>
                <w:i/>
                <w:sz w:val="20"/>
                <w:szCs w:val="20"/>
                <w:lang w:val="en-US"/>
              </w:rPr>
            </w:pPr>
          </w:p>
          <w:p w:rsidR="00C06F2D" w:rsidRPr="004C4281" w:rsidRDefault="00C06F2D" w:rsidP="00C06F2D">
            <w:pPr>
              <w:pStyle w:val="Default"/>
              <w:rPr>
                <w:rFonts w:ascii="Times New Roman" w:hAnsi="Times New Roman" w:cs="Times New Roman"/>
                <w:i/>
                <w:sz w:val="20"/>
                <w:szCs w:val="20"/>
                <w:lang w:val="en-US"/>
              </w:rPr>
            </w:pPr>
          </w:p>
        </w:tc>
        <w:tc>
          <w:tcPr>
            <w:tcW w:w="390" w:type="pct"/>
            <w:tcBorders>
              <w:top w:val="single" w:sz="4" w:space="0" w:color="auto"/>
              <w:left w:val="single" w:sz="4" w:space="0" w:color="auto"/>
              <w:bottom w:val="single" w:sz="4" w:space="0" w:color="auto"/>
              <w:right w:val="single" w:sz="4" w:space="0" w:color="auto"/>
            </w:tcBorders>
          </w:tcPr>
          <w:p w:rsidR="00C06F2D" w:rsidRPr="004C4281" w:rsidRDefault="00C06F2D" w:rsidP="00C06F2D">
            <w:pPr>
              <w:spacing w:after="0" w:line="240" w:lineRule="auto"/>
              <w:rPr>
                <w:rFonts w:ascii="Times New Roman" w:hAnsi="Times New Roman" w:cs="Times New Roman"/>
                <w:i/>
                <w:sz w:val="20"/>
                <w:szCs w:val="20"/>
                <w:lang w:val="en-US"/>
              </w:rPr>
            </w:pPr>
            <w:r>
              <w:rPr>
                <w:rFonts w:ascii="Times New Roman" w:hAnsi="Times New Roman" w:cs="Times New Roman"/>
                <w:i/>
                <w:sz w:val="20"/>
                <w:szCs w:val="20"/>
                <w:lang w:val="en-US"/>
              </w:rPr>
              <w:t xml:space="preserve">Calculul indicatorului se va face </w:t>
            </w:r>
            <w:r w:rsidRPr="004C4281">
              <w:rPr>
                <w:rFonts w:ascii="Times New Roman" w:hAnsi="Times New Roman" w:cs="Times New Roman"/>
                <w:i/>
                <w:sz w:val="20"/>
                <w:szCs w:val="20"/>
                <w:lang w:val="en-US"/>
              </w:rPr>
              <w:t xml:space="preserve">pe baza certificatelor de performanță energetică (EPC). </w:t>
            </w:r>
          </w:p>
          <w:p w:rsidR="00C06F2D" w:rsidRPr="004C4281" w:rsidRDefault="00C06F2D" w:rsidP="00C06F2D">
            <w:pPr>
              <w:spacing w:after="0" w:line="240" w:lineRule="auto"/>
              <w:rPr>
                <w:rFonts w:ascii="Times New Roman" w:hAnsi="Times New Roman" w:cs="Times New Roman"/>
                <w:i/>
                <w:sz w:val="20"/>
                <w:szCs w:val="20"/>
                <w:lang w:val="en-US"/>
              </w:rPr>
            </w:pPr>
          </w:p>
        </w:tc>
      </w:tr>
      <w:tr w:rsidR="00C06F2D" w:rsidRPr="004C4281" w:rsidTr="009A6765">
        <w:trPr>
          <w:gridAfter w:val="1"/>
          <w:wAfter w:w="6" w:type="pct"/>
          <w:trHeight w:val="353"/>
        </w:trPr>
        <w:tc>
          <w:tcPr>
            <w:tcW w:w="272" w:type="pct"/>
            <w:tcBorders>
              <w:top w:val="single" w:sz="4" w:space="0" w:color="auto"/>
              <w:left w:val="single" w:sz="4" w:space="0" w:color="auto"/>
              <w:bottom w:val="single" w:sz="4" w:space="0" w:color="auto"/>
              <w:right w:val="single" w:sz="4" w:space="0" w:color="auto"/>
            </w:tcBorders>
          </w:tcPr>
          <w:p w:rsidR="00C06F2D" w:rsidRPr="004C4281" w:rsidRDefault="00C06F2D" w:rsidP="00C06F2D">
            <w:pPr>
              <w:spacing w:after="0" w:line="240" w:lineRule="auto"/>
              <w:rPr>
                <w:rFonts w:ascii="Times New Roman" w:hAnsi="Times New Roman" w:cs="Times New Roman"/>
                <w:sz w:val="20"/>
                <w:szCs w:val="20"/>
                <w:lang w:val="en-US"/>
              </w:rPr>
            </w:pPr>
            <w:r w:rsidRPr="004C4281">
              <w:rPr>
                <w:rFonts w:ascii="Times New Roman" w:hAnsi="Times New Roman" w:cs="Times New Roman"/>
                <w:sz w:val="20"/>
                <w:szCs w:val="20"/>
                <w:lang w:val="en-US"/>
              </w:rPr>
              <w:t>3.1</w:t>
            </w:r>
          </w:p>
        </w:tc>
        <w:tc>
          <w:tcPr>
            <w:tcW w:w="757" w:type="pct"/>
            <w:tcBorders>
              <w:top w:val="single" w:sz="4" w:space="0" w:color="auto"/>
              <w:left w:val="single" w:sz="4" w:space="0" w:color="auto"/>
              <w:bottom w:val="single" w:sz="4" w:space="0" w:color="auto"/>
              <w:right w:val="single" w:sz="4" w:space="0" w:color="auto"/>
            </w:tcBorders>
          </w:tcPr>
          <w:p w:rsidR="00C06F2D" w:rsidRPr="004C4281" w:rsidRDefault="00C06F2D" w:rsidP="00C06F2D">
            <w:pPr>
              <w:spacing w:after="0" w:line="240" w:lineRule="auto"/>
              <w:jc w:val="center"/>
              <w:rPr>
                <w:rFonts w:ascii="Times New Roman" w:hAnsi="Times New Roman" w:cs="Times New Roman"/>
                <w:sz w:val="20"/>
                <w:szCs w:val="20"/>
                <w:lang w:val="en-US"/>
              </w:rPr>
            </w:pPr>
            <w:r w:rsidRPr="004C4281">
              <w:rPr>
                <w:rFonts w:ascii="Times New Roman" w:hAnsi="Times New Roman" w:cs="Times New Roman"/>
                <w:sz w:val="20"/>
                <w:szCs w:val="20"/>
                <w:lang w:val="en-US"/>
              </w:rPr>
              <w:t xml:space="preserve">SO 1b (i) Promovarea eficienței energetice și reducerea emisiilor de gaze cu </w:t>
            </w:r>
            <w:r w:rsidRPr="004C4281">
              <w:rPr>
                <w:rFonts w:ascii="Times New Roman" w:hAnsi="Times New Roman" w:cs="Times New Roman"/>
                <w:sz w:val="20"/>
                <w:szCs w:val="20"/>
                <w:lang w:val="en-US"/>
              </w:rPr>
              <w:pgNum/>
            </w:r>
            <w:r w:rsidRPr="004C4281">
              <w:rPr>
                <w:rFonts w:ascii="Times New Roman" w:hAnsi="Times New Roman" w:cs="Times New Roman"/>
                <w:sz w:val="20"/>
                <w:szCs w:val="20"/>
                <w:lang w:val="en-US"/>
              </w:rPr>
              <w:t xml:space="preserve"> efect de seră</w:t>
            </w:r>
          </w:p>
          <w:p w:rsidR="00C06F2D" w:rsidRPr="004C4281" w:rsidRDefault="00C06F2D" w:rsidP="00C06F2D">
            <w:pPr>
              <w:spacing w:after="0" w:line="240" w:lineRule="auto"/>
              <w:jc w:val="center"/>
              <w:rPr>
                <w:rFonts w:ascii="Times New Roman" w:hAnsi="Times New Roman" w:cs="Times New Roman"/>
                <w:sz w:val="20"/>
                <w:szCs w:val="20"/>
                <w:lang w:val="en-US"/>
              </w:rPr>
            </w:pPr>
          </w:p>
          <w:p w:rsidR="00C06F2D" w:rsidRPr="004C4281" w:rsidRDefault="00C06F2D" w:rsidP="00C06F2D">
            <w:pPr>
              <w:spacing w:after="0" w:line="240" w:lineRule="auto"/>
              <w:jc w:val="center"/>
              <w:rPr>
                <w:rFonts w:ascii="Times New Roman" w:hAnsi="Times New Roman" w:cs="Times New Roman"/>
                <w:sz w:val="20"/>
                <w:szCs w:val="20"/>
                <w:lang w:val="en-US"/>
              </w:rPr>
            </w:pPr>
          </w:p>
        </w:tc>
        <w:tc>
          <w:tcPr>
            <w:tcW w:w="343" w:type="pct"/>
            <w:tcBorders>
              <w:top w:val="single" w:sz="4" w:space="0" w:color="auto"/>
              <w:left w:val="single" w:sz="4" w:space="0" w:color="auto"/>
              <w:bottom w:val="single" w:sz="4" w:space="0" w:color="auto"/>
              <w:right w:val="single" w:sz="4" w:space="0" w:color="auto"/>
            </w:tcBorders>
          </w:tcPr>
          <w:p w:rsidR="00C06F2D" w:rsidRPr="004C4281" w:rsidRDefault="00C06F2D" w:rsidP="00C06F2D">
            <w:pPr>
              <w:spacing w:after="0" w:line="240" w:lineRule="auto"/>
              <w:rPr>
                <w:rFonts w:ascii="Times New Roman" w:hAnsi="Times New Roman" w:cs="Times New Roman"/>
                <w:noProof/>
                <w:sz w:val="20"/>
                <w:szCs w:val="20"/>
              </w:rPr>
            </w:pPr>
            <w:r w:rsidRPr="004C4281">
              <w:rPr>
                <w:rFonts w:ascii="Times New Roman" w:hAnsi="Times New Roman" w:cs="Times New Roman"/>
                <w:noProof/>
                <w:sz w:val="20"/>
                <w:szCs w:val="20"/>
              </w:rPr>
              <w:t>FEDR</w:t>
            </w:r>
          </w:p>
        </w:tc>
        <w:tc>
          <w:tcPr>
            <w:tcW w:w="481" w:type="pct"/>
            <w:tcBorders>
              <w:top w:val="single" w:sz="4" w:space="0" w:color="auto"/>
              <w:left w:val="single" w:sz="4" w:space="0" w:color="auto"/>
              <w:bottom w:val="single" w:sz="4" w:space="0" w:color="auto"/>
              <w:right w:val="single" w:sz="4" w:space="0" w:color="auto"/>
            </w:tcBorders>
          </w:tcPr>
          <w:p w:rsidR="00C06F2D" w:rsidRPr="004C4281" w:rsidRDefault="00C06F2D" w:rsidP="00C06F2D">
            <w:pPr>
              <w:spacing w:after="0" w:line="240" w:lineRule="auto"/>
              <w:rPr>
                <w:rFonts w:ascii="Times New Roman" w:hAnsi="Times New Roman" w:cs="Times New Roman"/>
                <w:noProof/>
                <w:sz w:val="20"/>
                <w:szCs w:val="20"/>
              </w:rPr>
            </w:pPr>
            <w:r w:rsidRPr="004C4281">
              <w:rPr>
                <w:rFonts w:ascii="Times New Roman" w:hAnsi="Times New Roman" w:cs="Times New Roman"/>
                <w:noProof/>
                <w:sz w:val="20"/>
                <w:szCs w:val="20"/>
              </w:rPr>
              <w:t>Mai puțin dezvoltată</w:t>
            </w:r>
          </w:p>
        </w:tc>
        <w:tc>
          <w:tcPr>
            <w:tcW w:w="380" w:type="pct"/>
            <w:tcBorders>
              <w:top w:val="single" w:sz="4" w:space="0" w:color="auto"/>
              <w:left w:val="single" w:sz="4" w:space="0" w:color="auto"/>
              <w:bottom w:val="single" w:sz="4" w:space="0" w:color="auto"/>
              <w:right w:val="single" w:sz="4" w:space="0" w:color="auto"/>
            </w:tcBorders>
          </w:tcPr>
          <w:p w:rsidR="00C06F2D" w:rsidRPr="004C4281" w:rsidRDefault="00C06F2D" w:rsidP="00C06F2D">
            <w:pPr>
              <w:spacing w:after="0" w:line="240" w:lineRule="auto"/>
              <w:rPr>
                <w:rFonts w:ascii="Times New Roman" w:hAnsi="Times New Roman" w:cs="Times New Roman"/>
                <w:i/>
                <w:sz w:val="20"/>
                <w:szCs w:val="20"/>
                <w:lang w:val="en-US"/>
              </w:rPr>
            </w:pPr>
            <w:r w:rsidRPr="004C4281">
              <w:rPr>
                <w:rFonts w:ascii="Times New Roman" w:hAnsi="Times New Roman" w:cs="Times New Roman"/>
                <w:i/>
                <w:sz w:val="20"/>
                <w:szCs w:val="20"/>
                <w:lang w:val="en-US"/>
              </w:rPr>
              <w:t>RCR 29</w:t>
            </w:r>
          </w:p>
          <w:p w:rsidR="00C06F2D" w:rsidRPr="004C4281" w:rsidRDefault="00C06F2D" w:rsidP="00C06F2D">
            <w:pPr>
              <w:spacing w:after="0" w:line="240" w:lineRule="auto"/>
              <w:rPr>
                <w:rFonts w:ascii="Times New Roman" w:hAnsi="Times New Roman" w:cs="Times New Roman"/>
                <w:i/>
                <w:sz w:val="20"/>
                <w:szCs w:val="20"/>
                <w:lang w:val="en-US"/>
              </w:rPr>
            </w:pPr>
          </w:p>
        </w:tc>
        <w:tc>
          <w:tcPr>
            <w:tcW w:w="787" w:type="pct"/>
            <w:tcBorders>
              <w:top w:val="single" w:sz="4" w:space="0" w:color="auto"/>
              <w:left w:val="single" w:sz="4" w:space="0" w:color="auto"/>
              <w:bottom w:val="single" w:sz="4" w:space="0" w:color="auto"/>
              <w:right w:val="single" w:sz="4" w:space="0" w:color="auto"/>
            </w:tcBorders>
          </w:tcPr>
          <w:p w:rsidR="00C06F2D" w:rsidRPr="004C4281" w:rsidRDefault="00C06F2D" w:rsidP="00C06F2D">
            <w:pPr>
              <w:pStyle w:val="Default"/>
              <w:jc w:val="both"/>
              <w:rPr>
                <w:rFonts w:ascii="Times New Roman" w:hAnsi="Times New Roman" w:cs="Times New Roman"/>
                <w:i/>
                <w:sz w:val="20"/>
                <w:szCs w:val="20"/>
                <w:lang w:val="en-US"/>
              </w:rPr>
            </w:pPr>
            <w:r w:rsidRPr="004C4281">
              <w:rPr>
                <w:rFonts w:ascii="Times New Roman" w:hAnsi="Times New Roman" w:cs="Times New Roman"/>
                <w:i/>
                <w:sz w:val="20"/>
                <w:szCs w:val="20"/>
                <w:lang w:val="en-US"/>
              </w:rPr>
              <w:t xml:space="preserve">Emisii de gaze cu efect de seră estimate </w:t>
            </w:r>
          </w:p>
          <w:p w:rsidR="00C06F2D" w:rsidRPr="004C4281" w:rsidRDefault="00C06F2D" w:rsidP="00C06F2D">
            <w:pPr>
              <w:pStyle w:val="Default"/>
              <w:jc w:val="both"/>
              <w:rPr>
                <w:rFonts w:ascii="Times New Roman" w:hAnsi="Times New Roman" w:cs="Times New Roman"/>
                <w:i/>
                <w:sz w:val="20"/>
                <w:szCs w:val="20"/>
                <w:lang w:val="en-US"/>
              </w:rPr>
            </w:pPr>
          </w:p>
        </w:tc>
        <w:tc>
          <w:tcPr>
            <w:tcW w:w="344" w:type="pct"/>
            <w:tcBorders>
              <w:top w:val="single" w:sz="4" w:space="0" w:color="auto"/>
              <w:left w:val="single" w:sz="4" w:space="0" w:color="auto"/>
              <w:bottom w:val="single" w:sz="4" w:space="0" w:color="auto"/>
              <w:right w:val="single" w:sz="4" w:space="0" w:color="auto"/>
            </w:tcBorders>
          </w:tcPr>
          <w:p w:rsidR="00C06F2D" w:rsidRPr="004C4281" w:rsidRDefault="00C06F2D" w:rsidP="00C06F2D">
            <w:pPr>
              <w:pStyle w:val="Text1"/>
              <w:spacing w:before="0" w:after="0" w:line="240" w:lineRule="auto"/>
              <w:ind w:left="0"/>
              <w:rPr>
                <w:i/>
                <w:sz w:val="20"/>
                <w:szCs w:val="20"/>
                <w:lang w:val="en-US"/>
              </w:rPr>
            </w:pPr>
            <w:r>
              <w:rPr>
                <w:rFonts w:cstheme="minorHAnsi"/>
                <w:iCs/>
                <w:lang w:val="ro-RO"/>
              </w:rPr>
              <w:t>toneCO</w:t>
            </w:r>
            <w:r w:rsidRPr="00076D7F">
              <w:rPr>
                <w:rFonts w:cstheme="minorHAnsi"/>
                <w:iCs/>
                <w:vertAlign w:val="subscript"/>
                <w:lang w:val="ro-RO"/>
              </w:rPr>
              <w:t xml:space="preserve">2 </w:t>
            </w:r>
            <w:r>
              <w:rPr>
                <w:rFonts w:cstheme="minorHAnsi"/>
                <w:iCs/>
                <w:lang w:val="ro-RO"/>
              </w:rPr>
              <w:t>echivalent/an</w:t>
            </w:r>
            <w:r w:rsidRPr="009E0BB9">
              <w:rPr>
                <w:rFonts w:cstheme="minorHAnsi"/>
                <w:iCs/>
                <w:lang w:val="ro-RO"/>
              </w:rPr>
              <w:t xml:space="preserve"> of </w:t>
            </w:r>
          </w:p>
        </w:tc>
        <w:tc>
          <w:tcPr>
            <w:tcW w:w="344" w:type="pct"/>
            <w:tcBorders>
              <w:top w:val="single" w:sz="4" w:space="0" w:color="auto"/>
              <w:left w:val="single" w:sz="4" w:space="0" w:color="auto"/>
              <w:bottom w:val="single" w:sz="4" w:space="0" w:color="auto"/>
              <w:right w:val="single" w:sz="4" w:space="0" w:color="auto"/>
            </w:tcBorders>
          </w:tcPr>
          <w:p w:rsidR="00C06F2D" w:rsidRPr="004C4281" w:rsidRDefault="00C06F2D" w:rsidP="00C06F2D">
            <w:pPr>
              <w:spacing w:after="0" w:line="240" w:lineRule="auto"/>
              <w:rPr>
                <w:rFonts w:ascii="Times New Roman" w:hAnsi="Times New Roman" w:cs="Times New Roman"/>
                <w:i/>
                <w:sz w:val="20"/>
                <w:szCs w:val="20"/>
                <w:lang w:val="en-US"/>
              </w:rPr>
            </w:pPr>
            <w:r w:rsidRPr="00444FC2">
              <w:rPr>
                <w:rFonts w:ascii="Times New Roman" w:hAnsi="Times New Roman" w:cs="Times New Roman"/>
                <w:i/>
                <w:sz w:val="20"/>
                <w:szCs w:val="20"/>
                <w:lang w:val="en-US"/>
              </w:rPr>
              <w:t>215.899</w:t>
            </w:r>
          </w:p>
        </w:tc>
        <w:tc>
          <w:tcPr>
            <w:tcW w:w="206" w:type="pct"/>
            <w:tcBorders>
              <w:top w:val="single" w:sz="4" w:space="0" w:color="auto"/>
              <w:left w:val="single" w:sz="4" w:space="0" w:color="auto"/>
              <w:bottom w:val="single" w:sz="4" w:space="0" w:color="auto"/>
              <w:right w:val="single" w:sz="4" w:space="0" w:color="auto"/>
            </w:tcBorders>
          </w:tcPr>
          <w:p w:rsidR="00C06F2D" w:rsidRPr="004C4281" w:rsidRDefault="00C06F2D" w:rsidP="00C06F2D">
            <w:pPr>
              <w:spacing w:after="0" w:line="240" w:lineRule="auto"/>
              <w:rPr>
                <w:rFonts w:ascii="Times New Roman" w:hAnsi="Times New Roman" w:cs="Times New Roman"/>
                <w:b/>
                <w:sz w:val="20"/>
                <w:szCs w:val="20"/>
                <w:lang w:val="en-US"/>
              </w:rPr>
            </w:pPr>
            <w:r>
              <w:rPr>
                <w:rFonts w:ascii="Times New Roman" w:hAnsi="Times New Roman" w:cs="Times New Roman"/>
                <w:b/>
                <w:sz w:val="20"/>
                <w:szCs w:val="20"/>
                <w:lang w:val="en-US"/>
              </w:rPr>
              <w:t>2020</w:t>
            </w:r>
          </w:p>
        </w:tc>
        <w:tc>
          <w:tcPr>
            <w:tcW w:w="275" w:type="pct"/>
            <w:tcBorders>
              <w:top w:val="single" w:sz="4" w:space="0" w:color="auto"/>
              <w:left w:val="single" w:sz="4" w:space="0" w:color="auto"/>
              <w:bottom w:val="single" w:sz="4" w:space="0" w:color="auto"/>
              <w:right w:val="single" w:sz="4" w:space="0" w:color="auto"/>
            </w:tcBorders>
          </w:tcPr>
          <w:p w:rsidR="00C06F2D" w:rsidRPr="004C4281" w:rsidRDefault="00C06F2D" w:rsidP="00C06F2D">
            <w:pPr>
              <w:spacing w:after="0" w:line="240" w:lineRule="auto"/>
              <w:rPr>
                <w:rFonts w:ascii="Times New Roman" w:hAnsi="Times New Roman" w:cs="Times New Roman"/>
                <w:b/>
                <w:sz w:val="20"/>
                <w:szCs w:val="20"/>
                <w:lang w:val="en-US"/>
              </w:rPr>
            </w:pPr>
            <w:r>
              <w:rPr>
                <w:rFonts w:ascii="Times New Roman" w:hAnsi="Times New Roman" w:cs="Times New Roman"/>
                <w:b/>
                <w:sz w:val="20"/>
                <w:szCs w:val="20"/>
                <w:lang w:val="en-US"/>
              </w:rPr>
              <w:t>15129</w:t>
            </w:r>
          </w:p>
        </w:tc>
        <w:tc>
          <w:tcPr>
            <w:tcW w:w="415" w:type="pct"/>
            <w:tcBorders>
              <w:top w:val="single" w:sz="4" w:space="0" w:color="auto"/>
              <w:left w:val="single" w:sz="4" w:space="0" w:color="auto"/>
              <w:bottom w:val="single" w:sz="4" w:space="0" w:color="auto"/>
              <w:right w:val="single" w:sz="4" w:space="0" w:color="auto"/>
            </w:tcBorders>
          </w:tcPr>
          <w:p w:rsidR="00C06F2D" w:rsidRPr="004C4281" w:rsidRDefault="00C06F2D" w:rsidP="00C06F2D">
            <w:pPr>
              <w:spacing w:after="0" w:line="240" w:lineRule="auto"/>
              <w:rPr>
                <w:rFonts w:ascii="Times New Roman" w:hAnsi="Times New Roman" w:cs="Times New Roman"/>
                <w:i/>
                <w:sz w:val="20"/>
                <w:szCs w:val="20"/>
                <w:lang w:val="en-US"/>
              </w:rPr>
            </w:pPr>
            <w:r w:rsidRPr="004C4281">
              <w:rPr>
                <w:rFonts w:ascii="Times New Roman" w:hAnsi="Times New Roman" w:cs="Times New Roman"/>
                <w:i/>
                <w:sz w:val="20"/>
                <w:szCs w:val="20"/>
                <w:lang w:val="en-US"/>
              </w:rPr>
              <w:t>Rapoarte de monitorizare POR- MYSMIS</w:t>
            </w:r>
          </w:p>
        </w:tc>
        <w:tc>
          <w:tcPr>
            <w:tcW w:w="390" w:type="pct"/>
            <w:tcBorders>
              <w:top w:val="single" w:sz="4" w:space="0" w:color="auto"/>
              <w:left w:val="single" w:sz="4" w:space="0" w:color="auto"/>
              <w:bottom w:val="single" w:sz="4" w:space="0" w:color="auto"/>
              <w:right w:val="single" w:sz="4" w:space="0" w:color="auto"/>
            </w:tcBorders>
          </w:tcPr>
          <w:p w:rsidR="00C06F2D" w:rsidRPr="004C4281" w:rsidRDefault="00C06F2D" w:rsidP="00C06F2D">
            <w:pPr>
              <w:spacing w:after="0" w:line="240" w:lineRule="auto"/>
              <w:rPr>
                <w:rFonts w:ascii="Times New Roman" w:hAnsi="Times New Roman" w:cs="Times New Roman"/>
                <w:i/>
                <w:sz w:val="20"/>
                <w:szCs w:val="20"/>
                <w:lang w:val="en-US"/>
              </w:rPr>
            </w:pPr>
          </w:p>
        </w:tc>
      </w:tr>
    </w:tbl>
    <w:p w:rsidR="009A6765" w:rsidRPr="0000318B" w:rsidRDefault="009A6765" w:rsidP="009A6765">
      <w:pPr>
        <w:spacing w:after="0" w:line="240" w:lineRule="auto"/>
        <w:rPr>
          <w:rFonts w:ascii="Times New Roman" w:hAnsi="Times New Roman" w:cs="Times New Roman"/>
          <w:i/>
          <w:sz w:val="20"/>
          <w:szCs w:val="20"/>
          <w:lang w:val="en-GB"/>
        </w:rPr>
      </w:pPr>
      <w:r w:rsidRPr="0000318B">
        <w:rPr>
          <w:rFonts w:ascii="Times New Roman" w:hAnsi="Times New Roman" w:cs="Times New Roman"/>
          <w:i/>
          <w:sz w:val="20"/>
          <w:szCs w:val="20"/>
          <w:lang w:val="en-GB"/>
        </w:rPr>
        <w:t>[Point 2.1.1.3 in the Commission proposal has been moved up following changes in Article 17(3)(c) CPR and it is now point 2.1.1.bis]</w:t>
      </w:r>
    </w:p>
    <w:p w:rsidR="009A6765" w:rsidRDefault="009A6765" w:rsidP="009A6765">
      <w:pPr>
        <w:rPr>
          <w:rFonts w:ascii="Times New Roman" w:hAnsi="Times New Roman" w:cs="Times New Roman"/>
          <w:b/>
          <w:sz w:val="20"/>
          <w:szCs w:val="20"/>
          <w:lang w:val="en-GB"/>
        </w:rPr>
        <w:sectPr w:rsidR="009A6765" w:rsidSect="00E95FAC">
          <w:footerReference w:type="default" r:id="rId11"/>
          <w:pgSz w:w="16838" w:h="11906" w:orient="landscape"/>
          <w:pgMar w:top="630" w:right="1134" w:bottom="1134" w:left="1134" w:header="567" w:footer="567" w:gutter="0"/>
          <w:cols w:space="720"/>
          <w:docGrid w:linePitch="326"/>
        </w:sectPr>
      </w:pPr>
    </w:p>
    <w:p w:rsidR="009A6765" w:rsidRPr="0000318B" w:rsidRDefault="009A6765" w:rsidP="009A6765">
      <w:pPr>
        <w:rPr>
          <w:rFonts w:ascii="Times New Roman" w:hAnsi="Times New Roman" w:cs="Times New Roman"/>
          <w:b/>
          <w:sz w:val="20"/>
          <w:szCs w:val="20"/>
          <w:lang w:val="en-GB"/>
        </w:rPr>
      </w:pPr>
    </w:p>
    <w:p w:rsidR="009A6765" w:rsidRPr="0000318B" w:rsidRDefault="009A6765" w:rsidP="009A6765">
      <w:pPr>
        <w:spacing w:after="0" w:line="240" w:lineRule="auto"/>
        <w:contextualSpacing/>
        <w:rPr>
          <w:rFonts w:ascii="Times New Roman" w:hAnsi="Times New Roman" w:cs="Times New Roman"/>
          <w:b/>
          <w:color w:val="002060"/>
          <w:sz w:val="20"/>
          <w:szCs w:val="20"/>
          <w:lang w:val="en-US"/>
        </w:rPr>
      </w:pPr>
      <w:r w:rsidRPr="0000318B">
        <w:rPr>
          <w:rFonts w:ascii="Times New Roman" w:hAnsi="Times New Roman" w:cs="Times New Roman"/>
          <w:b/>
          <w:color w:val="002060"/>
          <w:sz w:val="20"/>
          <w:szCs w:val="20"/>
          <w:lang w:val="en-US"/>
        </w:rPr>
        <w:t>SO 3.b (vii) Îmbunătățirea protecției naturii și a biodiversității, a infrastructurii verzi în special în mediul urban și reducerea poluării</w:t>
      </w:r>
    </w:p>
    <w:p w:rsidR="009A6765" w:rsidRPr="0000318B" w:rsidRDefault="009A6765" w:rsidP="009A6765">
      <w:pPr>
        <w:spacing w:after="0" w:line="240" w:lineRule="auto"/>
        <w:contextualSpacing/>
        <w:rPr>
          <w:rFonts w:ascii="Times New Roman" w:eastAsia="Times New Roman" w:hAnsi="Times New Roman" w:cs="Times New Roman"/>
          <w:b/>
          <w:iCs/>
          <w:noProof/>
          <w:color w:val="002060"/>
          <w:sz w:val="20"/>
          <w:szCs w:val="20"/>
          <w:lang w:val="en-GB"/>
        </w:rPr>
      </w:pPr>
    </w:p>
    <w:p w:rsidR="009A6765" w:rsidRPr="0000318B" w:rsidRDefault="009A6765" w:rsidP="009A6765">
      <w:pPr>
        <w:spacing w:after="0" w:line="240" w:lineRule="auto"/>
        <w:contextualSpacing/>
        <w:rPr>
          <w:rFonts w:ascii="Times New Roman" w:eastAsia="Times New Roman" w:hAnsi="Times New Roman" w:cs="Times New Roman"/>
          <w:b/>
          <w:iCs/>
          <w:noProof/>
          <w:sz w:val="20"/>
          <w:szCs w:val="20"/>
          <w:lang w:val="en-GB"/>
        </w:rPr>
      </w:pPr>
      <w:r w:rsidRPr="0000318B">
        <w:rPr>
          <w:rFonts w:ascii="Times New Roman" w:eastAsia="Times New Roman" w:hAnsi="Times New Roman" w:cs="Times New Roman"/>
          <w:b/>
          <w:iCs/>
          <w:noProof/>
          <w:sz w:val="20"/>
          <w:szCs w:val="20"/>
          <w:lang w:val="en-GB"/>
        </w:rPr>
        <w:t>2.A.3.1 Interventions of the Funds</w:t>
      </w:r>
    </w:p>
    <w:p w:rsidR="009A6765" w:rsidRPr="0000318B" w:rsidRDefault="009A6765" w:rsidP="009A6765">
      <w:pPr>
        <w:spacing w:after="0" w:line="240" w:lineRule="auto"/>
        <w:contextualSpacing/>
        <w:rPr>
          <w:rFonts w:ascii="Times New Roman" w:eastAsia="Times New Roman" w:hAnsi="Times New Roman" w:cs="Times New Roman"/>
          <w:i/>
          <w:noProof/>
          <w:sz w:val="20"/>
          <w:szCs w:val="20"/>
          <w:lang w:val="en-GB"/>
        </w:rPr>
      </w:pPr>
      <w:r w:rsidRPr="0000318B">
        <w:rPr>
          <w:rFonts w:ascii="Times New Roman" w:eastAsia="Times New Roman" w:hAnsi="Times New Roman" w:cs="Times New Roman"/>
          <w:i/>
          <w:noProof/>
          <w:sz w:val="20"/>
          <w:szCs w:val="20"/>
          <w:lang w:val="en-GB"/>
        </w:rPr>
        <w:t>Reference: Article 17(3)(d)(i),(iii),(iv),(v),(vi);</w:t>
      </w:r>
    </w:p>
    <w:p w:rsidR="009A6765" w:rsidRPr="0000318B" w:rsidRDefault="009A6765" w:rsidP="009A6765">
      <w:pPr>
        <w:bidi/>
        <w:spacing w:after="0" w:line="240" w:lineRule="auto"/>
        <w:contextualSpacing/>
        <w:jc w:val="right"/>
        <w:rPr>
          <w:rFonts w:ascii="Times New Roman" w:eastAsia="Times New Roman" w:hAnsi="Times New Roman" w:cs="Times New Roman"/>
          <w:i/>
          <w:noProof/>
          <w:sz w:val="20"/>
          <w:szCs w:val="20"/>
          <w:lang w:val="en-GB"/>
        </w:rPr>
      </w:pPr>
      <w:r w:rsidRPr="0000318B">
        <w:rPr>
          <w:rFonts w:ascii="Times New Roman" w:eastAsia="Times New Roman" w:hAnsi="Times New Roman" w:cs="Times New Roman"/>
          <w:i/>
          <w:noProof/>
          <w:sz w:val="20"/>
          <w:szCs w:val="20"/>
          <w:lang w:val="en-GB"/>
        </w:rPr>
        <w:t>The related types of actions – Article 17(3)(d)(i) CPR; Article 6(2) ESF+</w:t>
      </w:r>
    </w:p>
    <w:p w:rsidR="009A6765" w:rsidRPr="0000318B" w:rsidRDefault="009A6765" w:rsidP="009A6765">
      <w:pPr>
        <w:bidi/>
        <w:spacing w:after="0" w:line="240" w:lineRule="auto"/>
        <w:contextualSpacing/>
        <w:jc w:val="center"/>
        <w:rPr>
          <w:rFonts w:ascii="Times New Roman" w:hAnsi="Times New Roman" w:cs="Times New Roman"/>
          <w:sz w:val="20"/>
          <w:szCs w:val="20"/>
          <w:rtl/>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tblGrid>
      <w:tr w:rsidR="009A6765" w:rsidRPr="0000318B" w:rsidTr="009A6765">
        <w:tc>
          <w:tcPr>
            <w:tcW w:w="9776" w:type="dxa"/>
            <w:tcBorders>
              <w:top w:val="single" w:sz="4" w:space="0" w:color="auto"/>
              <w:left w:val="single" w:sz="4" w:space="0" w:color="auto"/>
              <w:bottom w:val="single" w:sz="4" w:space="0" w:color="auto"/>
              <w:right w:val="single" w:sz="4" w:space="0" w:color="auto"/>
            </w:tcBorders>
            <w:hideMark/>
          </w:tcPr>
          <w:p w:rsidR="009A6765" w:rsidRDefault="009A6765">
            <w:pPr>
              <w:spacing w:after="0" w:line="240" w:lineRule="auto"/>
              <w:ind w:right="33"/>
              <w:jc w:val="both"/>
              <w:rPr>
                <w:rFonts w:ascii="Times New Roman" w:hAnsi="Times New Roman" w:cs="Times New Roman"/>
                <w:sz w:val="20"/>
                <w:szCs w:val="20"/>
                <w:lang w:val="en-GB"/>
              </w:rPr>
            </w:pPr>
          </w:p>
          <w:p w:rsidR="007F642C" w:rsidRPr="005C75DF" w:rsidRDefault="00574E86">
            <w:pPr>
              <w:tabs>
                <w:tab w:val="left" w:pos="284"/>
              </w:tabs>
              <w:autoSpaceDE w:val="0"/>
              <w:autoSpaceDN w:val="0"/>
              <w:adjustRightInd w:val="0"/>
              <w:spacing w:after="0" w:line="240" w:lineRule="auto"/>
              <w:jc w:val="both"/>
              <w:rPr>
                <w:rFonts w:ascii="Times New Roman" w:eastAsia="TimesNewRomanPSMT" w:hAnsi="Times New Roman" w:cs="Times New Roman"/>
                <w:sz w:val="20"/>
                <w:szCs w:val="20"/>
              </w:rPr>
            </w:pPr>
            <w:r w:rsidRPr="00D02D32">
              <w:rPr>
                <w:rFonts w:ascii="Times New Roman" w:hAnsi="Times New Roman" w:cs="Times New Roman"/>
                <w:bCs/>
                <w:sz w:val="20"/>
                <w:szCs w:val="20"/>
              </w:rPr>
              <w:t xml:space="preserve">Zonele urbane din Regiunea Centru adăpostesc peste jumătate din populația regiunii, ceea ce determină un consum crescut de energie și resurse și poluare care deseori depășesc limitele de siguranță umană recomandate. </w:t>
            </w:r>
            <w:r w:rsidR="00B308F7" w:rsidRPr="005C75DF">
              <w:rPr>
                <w:rFonts w:ascii="Times New Roman" w:hAnsi="Times New Roman" w:cs="Times New Roman"/>
                <w:bCs/>
                <w:sz w:val="20"/>
                <w:szCs w:val="20"/>
              </w:rPr>
              <w:t>Reconfigurarea orașelor din regiune ca urmare a încetării unor activități industriale, depopulării au adus în atenți</w:t>
            </w:r>
            <w:r w:rsidR="007375AE" w:rsidRPr="005C75DF">
              <w:rPr>
                <w:rFonts w:ascii="Times New Roman" w:hAnsi="Times New Roman" w:cs="Times New Roman"/>
                <w:bCs/>
                <w:sz w:val="20"/>
                <w:szCs w:val="20"/>
              </w:rPr>
              <w:t>e</w:t>
            </w:r>
            <w:r w:rsidR="00B308F7" w:rsidRPr="005C75DF">
              <w:rPr>
                <w:rFonts w:ascii="Times New Roman" w:hAnsi="Times New Roman" w:cs="Times New Roman"/>
                <w:bCs/>
                <w:sz w:val="20"/>
                <w:szCs w:val="20"/>
              </w:rPr>
              <w:t xml:space="preserve"> nevoia gestionării unor  </w:t>
            </w:r>
            <w:r w:rsidR="00B308F7" w:rsidRPr="005C75DF">
              <w:rPr>
                <w:rFonts w:ascii="Times New Roman" w:eastAsia="TimesNewRomanPSMT" w:hAnsi="Times New Roman" w:cs="Times New Roman"/>
                <w:sz w:val="20"/>
                <w:szCs w:val="20"/>
              </w:rPr>
              <w:t xml:space="preserve">zone/terenuri aflate în stare de degradare și care își pun amprenta asupra calității mediului și, implicit, asupra calității vieții în orașe. </w:t>
            </w:r>
          </w:p>
          <w:p w:rsidR="00D02D32" w:rsidRPr="005C75DF" w:rsidRDefault="00D02D32">
            <w:pPr>
              <w:tabs>
                <w:tab w:val="left" w:pos="284"/>
              </w:tabs>
              <w:autoSpaceDE w:val="0"/>
              <w:autoSpaceDN w:val="0"/>
              <w:adjustRightInd w:val="0"/>
              <w:spacing w:after="0" w:line="240" w:lineRule="auto"/>
              <w:jc w:val="both"/>
              <w:rPr>
                <w:rFonts w:ascii="Times New Roman" w:eastAsia="TimesNewRomanPSMT" w:hAnsi="Times New Roman" w:cs="Times New Roman"/>
                <w:sz w:val="20"/>
                <w:szCs w:val="20"/>
              </w:rPr>
            </w:pPr>
            <w:r w:rsidRPr="005C75DF">
              <w:rPr>
                <w:rFonts w:ascii="Times New Roman" w:hAnsi="Times New Roman" w:cs="Times New Roman"/>
                <w:color w:val="000000"/>
                <w:sz w:val="20"/>
                <w:szCs w:val="20"/>
                <w:lang w:val="en-US"/>
              </w:rPr>
              <w:t xml:space="preserve">Aceste spații au un potențial ridicat de reconstrucție și reintegrare în comunitate și pentru crearea de spații noi sau refăcute, care pot fi transformate în diferite facilități și pot contribui semnificativ la creșterea calității vieții cetățenilor la atractivitatea zonei pentru locuire și pentru </w:t>
            </w:r>
            <w:r w:rsidR="004B2CCD" w:rsidRPr="005C75DF">
              <w:rPr>
                <w:rFonts w:ascii="Times New Roman" w:hAnsi="Times New Roman" w:cs="Times New Roman"/>
                <w:color w:val="000000"/>
                <w:sz w:val="20"/>
                <w:szCs w:val="20"/>
                <w:lang w:val="en-US"/>
              </w:rPr>
              <w:t>investiții.</w:t>
            </w:r>
          </w:p>
          <w:p w:rsidR="00BB5594" w:rsidRPr="00D02D32" w:rsidRDefault="00B308F7">
            <w:pPr>
              <w:spacing w:after="0" w:line="240" w:lineRule="auto"/>
              <w:ind w:right="33"/>
              <w:jc w:val="both"/>
              <w:rPr>
                <w:rFonts w:ascii="Times New Roman" w:hAnsi="Times New Roman" w:cs="Times New Roman"/>
                <w:sz w:val="20"/>
                <w:szCs w:val="20"/>
                <w:lang w:val="en-GB"/>
              </w:rPr>
            </w:pPr>
            <w:r w:rsidRPr="005C75DF">
              <w:rPr>
                <w:rFonts w:ascii="Times New Roman" w:eastAsia="TimesNewRomanPSMT" w:hAnsi="Times New Roman" w:cs="Times New Roman"/>
                <w:sz w:val="20"/>
                <w:szCs w:val="20"/>
              </w:rPr>
              <w:t>Lipsa spatilor verzi accentueaza puternic riscurile ecologice urbane si au un impact negativ asupra calitatii vietii si a starii de sanatate a populatiei. D</w:t>
            </w:r>
            <w:r w:rsidRPr="005C75DF">
              <w:rPr>
                <w:rFonts w:ascii="Times New Roman" w:hAnsi="Times New Roman" w:cs="Times New Roman"/>
                <w:bCs/>
                <w:sz w:val="20"/>
                <w:szCs w:val="20"/>
              </w:rPr>
              <w:t xml:space="preserve">eși în perioada 2010-2018 s-a observat și o creștere a suprafeței de spații verzi din mediul urban regional, totuși această este sub minimul stabilit de regulamentele CE (19 mp/locuitor față de minimul cerut de CE 26 mp/locuitor). </w:t>
            </w:r>
            <w:r w:rsidR="00BB5594" w:rsidRPr="00D02D32">
              <w:rPr>
                <w:rFonts w:ascii="Times New Roman" w:hAnsi="Times New Roman" w:cs="Times New Roman"/>
                <w:sz w:val="20"/>
                <w:szCs w:val="20"/>
              </w:rPr>
              <w:t xml:space="preserve">Pentru dezvoltarea sustenabilă a zonelor urbane se are în vedere spijinirea investițiilor ce contribuie la îmbunătățirea infrastructurii verzi, reducerea poluării, </w:t>
            </w:r>
            <w:r w:rsidR="00BB5594" w:rsidRPr="00D02D32">
              <w:rPr>
                <w:rFonts w:ascii="Times New Roman" w:hAnsi="Times New Roman" w:cs="Times New Roman"/>
                <w:bCs/>
                <w:sz w:val="20"/>
                <w:szCs w:val="20"/>
              </w:rPr>
              <w:t>revitalizarea terenurilor degradate  cu impact pozitiv asupra ecologiei, economiei (prin promovarea de noi investiții) și asupra contextului social (prin angajarea forței de muncă)</w:t>
            </w:r>
            <w:r w:rsidR="00BB5594" w:rsidRPr="00D02D32">
              <w:rPr>
                <w:rFonts w:ascii="Times New Roman" w:hAnsi="Times New Roman" w:cs="Times New Roman"/>
                <w:sz w:val="20"/>
                <w:szCs w:val="20"/>
              </w:rPr>
              <w:t xml:space="preserve"> și inclusiv </w:t>
            </w:r>
            <w:r w:rsidR="00BB5594" w:rsidRPr="00D02D32">
              <w:rPr>
                <w:rFonts w:ascii="Times New Roman" w:eastAsia="TimesNewRomanPSMT" w:hAnsi="Times New Roman" w:cs="Times New Roman"/>
                <w:sz w:val="20"/>
                <w:szCs w:val="20"/>
              </w:rPr>
              <w:t xml:space="preserve">modernizarea, reutilizarea și refuncționalizarea diferitelor zone din interiorul orașelor Regiunii Centru. </w:t>
            </w:r>
            <w:r w:rsidR="00BB5594" w:rsidRPr="00D02D32">
              <w:rPr>
                <w:rFonts w:ascii="Times New Roman" w:hAnsi="Times New Roman" w:cs="Times New Roman"/>
                <w:bCs/>
                <w:sz w:val="20"/>
                <w:szCs w:val="20"/>
              </w:rPr>
              <w:t xml:space="preserve">Proiectele de regenerare urbană din interiorul orașelor/ZUF vor avea o abordare holistică, integrând factorii sociali economici și politici și vor contribui la creșterea atractivității acestor zone, inclusiv la </w:t>
            </w:r>
            <w:r w:rsidR="00BB5594" w:rsidRPr="00D02D32">
              <w:rPr>
                <w:rFonts w:ascii="Times New Roman" w:hAnsi="Times New Roman" w:cs="Times New Roman"/>
                <w:sz w:val="20"/>
                <w:szCs w:val="20"/>
              </w:rPr>
              <w:t>atragerea investițiilor și crearea unor noi oportunități.</w:t>
            </w:r>
          </w:p>
          <w:p w:rsidR="009A6765" w:rsidRDefault="002B433A">
            <w:pPr>
              <w:spacing w:after="0" w:line="240" w:lineRule="auto"/>
              <w:ind w:right="33"/>
              <w:jc w:val="both"/>
              <w:rPr>
                <w:rFonts w:ascii="Times New Roman" w:hAnsi="Times New Roman" w:cs="Times New Roman"/>
                <w:sz w:val="20"/>
                <w:szCs w:val="20"/>
                <w:lang w:val="en-GB"/>
              </w:rPr>
            </w:pPr>
            <w:r w:rsidRPr="00D02D32">
              <w:rPr>
                <w:rFonts w:ascii="Times New Roman" w:hAnsi="Times New Roman" w:cs="Times New Roman"/>
                <w:sz w:val="20"/>
                <w:szCs w:val="20"/>
                <w:lang w:val="en-GB"/>
              </w:rPr>
              <w:t>L</w:t>
            </w:r>
            <w:r w:rsidR="009A6765" w:rsidRPr="00D02D32">
              <w:rPr>
                <w:rFonts w:ascii="Times New Roman" w:hAnsi="Times New Roman" w:cs="Times New Roman"/>
                <w:sz w:val="20"/>
                <w:szCs w:val="20"/>
                <w:lang w:val="en-GB"/>
              </w:rPr>
              <w:t xml:space="preserve">a nivelul Regiunii Centru municipiile </w:t>
            </w:r>
            <w:r w:rsidRPr="00D02D32">
              <w:rPr>
                <w:rFonts w:ascii="Times New Roman" w:hAnsi="Times New Roman" w:cs="Times New Roman"/>
                <w:sz w:val="20"/>
                <w:szCs w:val="20"/>
                <w:lang w:val="en-GB"/>
              </w:rPr>
              <w:t>si orasele</w:t>
            </w:r>
            <w:r w:rsidR="009A6765" w:rsidRPr="00D02D32">
              <w:rPr>
                <w:rFonts w:ascii="Times New Roman" w:hAnsi="Times New Roman" w:cs="Times New Roman"/>
                <w:sz w:val="20"/>
                <w:szCs w:val="20"/>
                <w:lang w:val="en-GB"/>
              </w:rPr>
              <w:t xml:space="preserve"> </w:t>
            </w:r>
            <w:r w:rsidR="007F642C" w:rsidRPr="00D02D32">
              <w:rPr>
                <w:rFonts w:ascii="Times New Roman" w:hAnsi="Times New Roman" w:cs="Times New Roman"/>
                <w:sz w:val="20"/>
                <w:szCs w:val="20"/>
                <w:lang w:val="en-GB"/>
              </w:rPr>
              <w:t>dezvoltă</w:t>
            </w:r>
            <w:r w:rsidR="009A6765" w:rsidRPr="00D02D32">
              <w:rPr>
                <w:rFonts w:ascii="Times New Roman" w:hAnsi="Times New Roman" w:cs="Times New Roman"/>
                <w:sz w:val="20"/>
                <w:szCs w:val="20"/>
                <w:lang w:val="en-GB"/>
              </w:rPr>
              <w:t xml:space="preserve"> Strategii Integrate de Dezvoltare Urbană, documente ce prezintă viziunile de dezvoltare ale acestora la nivel de localitate și/sau zon</w:t>
            </w:r>
            <w:r w:rsidRPr="00D02D32">
              <w:rPr>
                <w:rFonts w:ascii="Times New Roman" w:hAnsi="Times New Roman" w:cs="Times New Roman"/>
                <w:sz w:val="20"/>
                <w:szCs w:val="20"/>
                <w:lang w:val="en-GB"/>
              </w:rPr>
              <w:t>e funcíonale urbane sau zone</w:t>
            </w:r>
            <w:r w:rsidR="004B2CCD">
              <w:rPr>
                <w:rFonts w:ascii="Times New Roman" w:hAnsi="Times New Roman" w:cs="Times New Roman"/>
                <w:sz w:val="20"/>
                <w:szCs w:val="20"/>
                <w:lang w:val="en-GB"/>
              </w:rPr>
              <w:t xml:space="preserve"> </w:t>
            </w:r>
            <w:r w:rsidR="009A6765" w:rsidRPr="00D02D32">
              <w:rPr>
                <w:rFonts w:ascii="Times New Roman" w:hAnsi="Times New Roman" w:cs="Times New Roman"/>
                <w:sz w:val="20"/>
                <w:szCs w:val="20"/>
                <w:lang w:val="en-GB"/>
              </w:rPr>
              <w:t>metropolitane</w:t>
            </w:r>
            <w:r w:rsidR="007F642C" w:rsidRPr="00D02D32">
              <w:rPr>
                <w:rFonts w:ascii="Times New Roman" w:hAnsi="Times New Roman" w:cs="Times New Roman"/>
                <w:sz w:val="20"/>
                <w:szCs w:val="20"/>
                <w:lang w:val="en-GB"/>
              </w:rPr>
              <w:t>. Aceste</w:t>
            </w:r>
            <w:r w:rsidR="00BB5594" w:rsidRPr="00D02D32">
              <w:rPr>
                <w:rFonts w:ascii="Times New Roman" w:hAnsi="Times New Roman" w:cs="Times New Roman"/>
                <w:sz w:val="20"/>
                <w:szCs w:val="20"/>
                <w:lang w:val="en-GB"/>
              </w:rPr>
              <w:t xml:space="preserve"> documente strategice </w:t>
            </w:r>
            <w:r w:rsidR="007F642C" w:rsidRPr="00D02D32">
              <w:rPr>
                <w:rFonts w:ascii="Times New Roman" w:hAnsi="Times New Roman" w:cs="Times New Roman"/>
                <w:sz w:val="20"/>
                <w:szCs w:val="20"/>
                <w:lang w:val="en-GB"/>
              </w:rPr>
              <w:t>vor constitui baza pentru</w:t>
            </w:r>
            <w:r w:rsidR="00BB5594" w:rsidRPr="00D02D32">
              <w:rPr>
                <w:rFonts w:ascii="Times New Roman" w:hAnsi="Times New Roman" w:cs="Times New Roman"/>
                <w:sz w:val="20"/>
                <w:szCs w:val="20"/>
                <w:lang w:val="en-GB"/>
              </w:rPr>
              <w:t xml:space="preserve"> finantarea investitiilor propuse pentru</w:t>
            </w:r>
            <w:r w:rsidR="00204E5B" w:rsidRPr="00D02D32">
              <w:rPr>
                <w:rFonts w:ascii="Times New Roman" w:hAnsi="Times New Roman" w:cs="Times New Roman"/>
                <w:sz w:val="20"/>
                <w:szCs w:val="20"/>
                <w:lang w:val="en-GB"/>
              </w:rPr>
              <w:t xml:space="preserve"> regenerare urbana. </w:t>
            </w:r>
          </w:p>
          <w:p w:rsidR="004B2CCD" w:rsidRPr="00D02D32" w:rsidRDefault="004B2CCD">
            <w:pPr>
              <w:spacing w:after="0" w:line="240" w:lineRule="auto"/>
              <w:ind w:right="33"/>
              <w:jc w:val="both"/>
              <w:rPr>
                <w:rFonts w:ascii="Times New Roman" w:hAnsi="Times New Roman" w:cs="Times New Roman"/>
                <w:sz w:val="20"/>
                <w:szCs w:val="20"/>
                <w:lang w:val="en-GB"/>
              </w:rPr>
            </w:pPr>
            <w:r w:rsidRPr="00F87F2A">
              <w:rPr>
                <w:rFonts w:ascii="Times New Roman" w:hAnsi="Times New Roman" w:cs="Times New Roman"/>
                <w:iCs/>
                <w:sz w:val="20"/>
                <w:szCs w:val="20"/>
              </w:rPr>
              <w:t>Pandemia SARS COV 2 ne-a demonstrat că la nivel regional este nevoie de o planificare sustenabila a localităților în baza unor SIDU-uri și  PMUD-uri. S-a demonstrat ca fiind prioritare investițiile ce vizează mobilitatea urbană și regenerarea urbană (reabilitarea spațiilor publice și înființarea unor spații recreative și culturale, inclusiv extinderea spațiilor verzi), investiții ce trebuie să fie în deplină concordanță cu nevoile locuitorilor regiunii dar și cu obiectivele CE privind clima și mediu.</w:t>
            </w:r>
          </w:p>
          <w:p w:rsidR="009A6765" w:rsidRPr="00D02D32" w:rsidRDefault="009A6765">
            <w:pPr>
              <w:spacing w:after="0" w:line="240" w:lineRule="auto"/>
              <w:ind w:right="33"/>
              <w:jc w:val="both"/>
              <w:rPr>
                <w:rFonts w:ascii="Times New Roman" w:hAnsi="Times New Roman" w:cs="Times New Roman"/>
                <w:sz w:val="20"/>
                <w:szCs w:val="20"/>
                <w:lang w:val="en-GB"/>
              </w:rPr>
            </w:pPr>
          </w:p>
          <w:p w:rsidR="009A6765" w:rsidRPr="00D02D32" w:rsidRDefault="009A6765">
            <w:pPr>
              <w:spacing w:after="0" w:line="240" w:lineRule="auto"/>
              <w:ind w:right="33"/>
              <w:jc w:val="both"/>
              <w:rPr>
                <w:rFonts w:ascii="Times New Roman" w:hAnsi="Times New Roman" w:cs="Times New Roman"/>
                <w:sz w:val="20"/>
                <w:szCs w:val="20"/>
                <w:lang w:val="en-GB"/>
              </w:rPr>
            </w:pPr>
            <w:r w:rsidRPr="00D02D32">
              <w:rPr>
                <w:rFonts w:ascii="Times New Roman" w:hAnsi="Times New Roman" w:cs="Times New Roman"/>
                <w:sz w:val="20"/>
                <w:szCs w:val="20"/>
                <w:lang w:val="en-GB"/>
              </w:rPr>
              <w:t>Pentru regenerarea urbană sustenabilă la nivel regional se au în vedere următoarele acțiuni cu caracter orientativ:</w:t>
            </w:r>
          </w:p>
          <w:p w:rsidR="009A6765" w:rsidRPr="00D02D32" w:rsidRDefault="007F642C" w:rsidP="005C75DF">
            <w:pPr>
              <w:pStyle w:val="Listparagraf"/>
              <w:numPr>
                <w:ilvl w:val="0"/>
                <w:numId w:val="60"/>
              </w:numPr>
              <w:tabs>
                <w:tab w:val="left" w:pos="313"/>
              </w:tabs>
              <w:spacing w:before="0" w:after="0" w:line="240" w:lineRule="auto"/>
              <w:ind w:firstLine="0"/>
              <w:jc w:val="both"/>
              <w:rPr>
                <w:i/>
                <w:sz w:val="20"/>
                <w:szCs w:val="20"/>
                <w:lang w:val="ro-RO"/>
              </w:rPr>
            </w:pPr>
            <w:r w:rsidRPr="00D02D32">
              <w:rPr>
                <w:i/>
                <w:sz w:val="20"/>
                <w:szCs w:val="20"/>
                <w:lang w:val="ro-RO"/>
              </w:rPr>
              <w:t>regenerarea</w:t>
            </w:r>
            <w:r w:rsidR="009A6765" w:rsidRPr="00D02D32">
              <w:rPr>
                <w:i/>
                <w:sz w:val="20"/>
                <w:szCs w:val="20"/>
                <w:lang w:val="ro-RO"/>
              </w:rPr>
              <w:t xml:space="preserve"> spațiilor urbane degradate, inclusiv reintroducerea în circuitul urban a terenurilor neutilizate;</w:t>
            </w:r>
            <w:r w:rsidR="006823EB" w:rsidRPr="00D02D32">
              <w:rPr>
                <w:i/>
                <w:iCs/>
                <w:sz w:val="20"/>
                <w:szCs w:val="20"/>
                <w:lang w:val="ro-RO"/>
              </w:rPr>
              <w:t xml:space="preserve"> valorificarea terenurilor neutilizate</w:t>
            </w:r>
            <w:r w:rsidR="003848AB">
              <w:rPr>
                <w:i/>
                <w:iCs/>
                <w:sz w:val="20"/>
                <w:szCs w:val="20"/>
                <w:lang w:val="ro-RO"/>
              </w:rPr>
              <w:t xml:space="preserve">, </w:t>
            </w:r>
            <w:r w:rsidR="00553642">
              <w:rPr>
                <w:i/>
                <w:iCs/>
                <w:sz w:val="20"/>
                <w:szCs w:val="20"/>
                <w:lang w:val="ro-RO"/>
              </w:rPr>
              <w:t xml:space="preserve">inclusiv investiții în </w:t>
            </w:r>
            <w:r w:rsidR="008F12C8">
              <w:rPr>
                <w:i/>
                <w:iCs/>
                <w:sz w:val="20"/>
                <w:szCs w:val="20"/>
                <w:lang w:val="ro-RO"/>
              </w:rPr>
              <w:t xml:space="preserve">modernizarea și </w:t>
            </w:r>
            <w:r w:rsidR="00553642">
              <w:rPr>
                <w:i/>
                <w:iCs/>
                <w:sz w:val="20"/>
                <w:szCs w:val="20"/>
                <w:lang w:val="ro-RO"/>
              </w:rPr>
              <w:t>asigurarea de utilitati in aceste zone</w:t>
            </w:r>
          </w:p>
          <w:p w:rsidR="00553642" w:rsidRPr="00553642" w:rsidRDefault="009A6765" w:rsidP="00553642">
            <w:pPr>
              <w:pStyle w:val="Listparagraf"/>
              <w:numPr>
                <w:ilvl w:val="0"/>
                <w:numId w:val="60"/>
              </w:numPr>
              <w:spacing w:before="0" w:after="0" w:line="240" w:lineRule="auto"/>
              <w:ind w:firstLine="0"/>
              <w:jc w:val="both"/>
              <w:rPr>
                <w:i/>
                <w:sz w:val="20"/>
                <w:szCs w:val="20"/>
                <w:lang w:val="ro-RO"/>
              </w:rPr>
            </w:pPr>
            <w:r w:rsidRPr="00D02D32">
              <w:rPr>
                <w:i/>
                <w:sz w:val="20"/>
                <w:szCs w:val="20"/>
                <w:lang w:val="ro-RO"/>
              </w:rPr>
              <w:t xml:space="preserve">măsuri și investiții ce promovează </w:t>
            </w:r>
            <w:r w:rsidRPr="00D02D32">
              <w:rPr>
                <w:b/>
                <w:i/>
                <w:sz w:val="20"/>
                <w:szCs w:val="20"/>
                <w:lang w:val="ro-RO"/>
              </w:rPr>
              <w:t>infrastructura verde și/sau infrastructura albastră din zonele urbane</w:t>
            </w:r>
            <w:r w:rsidRPr="00D02D32">
              <w:rPr>
                <w:i/>
                <w:sz w:val="20"/>
                <w:szCs w:val="20"/>
                <w:lang w:val="ro-RO"/>
              </w:rPr>
              <w:t>/ zonelor urbane functionale din Regiunea Centru</w:t>
            </w:r>
            <w:r w:rsidRPr="00D02D32">
              <w:rPr>
                <w:rFonts w:eastAsia="MS Mincho"/>
                <w:i/>
                <w:color w:val="000000"/>
                <w:sz w:val="20"/>
                <w:szCs w:val="20"/>
                <w:lang w:val="ro-RO"/>
              </w:rPr>
              <w:t xml:space="preserve">, inclusin </w:t>
            </w:r>
            <w:r w:rsidRPr="00D02D32">
              <w:rPr>
                <w:rFonts w:eastAsia="MS Mincho"/>
                <w:b/>
                <w:i/>
                <w:color w:val="000000"/>
                <w:sz w:val="20"/>
                <w:szCs w:val="20"/>
                <w:lang w:val="ro-RO"/>
              </w:rPr>
              <w:t>inovații tehnologice</w:t>
            </w:r>
            <w:r w:rsidRPr="00D02D32">
              <w:rPr>
                <w:rFonts w:eastAsia="MS Mincho"/>
                <w:i/>
                <w:color w:val="000000"/>
                <w:sz w:val="20"/>
                <w:szCs w:val="20"/>
                <w:lang w:val="ro-RO"/>
              </w:rPr>
              <w:t xml:space="preserve"> care susțin infrastructura verde/ infrastructura albastră</w:t>
            </w:r>
            <w:r w:rsidR="00553642">
              <w:rPr>
                <w:i/>
                <w:iCs/>
                <w:sz w:val="20"/>
                <w:szCs w:val="20"/>
                <w:lang w:val="ro-RO"/>
              </w:rPr>
              <w:t xml:space="preserve">, inclusiv investiții în </w:t>
            </w:r>
            <w:r w:rsidR="008F12C8">
              <w:rPr>
                <w:i/>
                <w:iCs/>
                <w:sz w:val="20"/>
                <w:szCs w:val="20"/>
                <w:lang w:val="ro-RO"/>
              </w:rPr>
              <w:t xml:space="preserve">modernizarea și </w:t>
            </w:r>
            <w:r w:rsidR="00553642">
              <w:rPr>
                <w:i/>
                <w:iCs/>
                <w:sz w:val="20"/>
                <w:szCs w:val="20"/>
                <w:lang w:val="ro-RO"/>
              </w:rPr>
              <w:t>asigurarea de utilitati in aceste zone</w:t>
            </w:r>
          </w:p>
          <w:p w:rsidR="009A6765" w:rsidRPr="00553642" w:rsidRDefault="009A6765" w:rsidP="00553642">
            <w:pPr>
              <w:pStyle w:val="Listparagraf"/>
              <w:numPr>
                <w:ilvl w:val="0"/>
                <w:numId w:val="60"/>
              </w:numPr>
              <w:spacing w:before="0" w:after="0" w:line="240" w:lineRule="auto"/>
              <w:ind w:firstLine="0"/>
              <w:jc w:val="both"/>
              <w:rPr>
                <w:i/>
                <w:sz w:val="20"/>
                <w:szCs w:val="20"/>
                <w:lang w:val="ro-RO"/>
              </w:rPr>
            </w:pPr>
            <w:r w:rsidRPr="00553642">
              <w:rPr>
                <w:i/>
                <w:sz w:val="20"/>
                <w:szCs w:val="20"/>
              </w:rPr>
              <w:t>Infiintarea/</w:t>
            </w:r>
            <w:r w:rsidRPr="00553642">
              <w:rPr>
                <w:i/>
                <w:sz w:val="20"/>
                <w:szCs w:val="20"/>
                <w:lang w:val="ro-RO"/>
              </w:rPr>
              <w:t xml:space="preserve">modernizarea/ extinderea </w:t>
            </w:r>
            <w:r w:rsidRPr="00553642">
              <w:rPr>
                <w:b/>
                <w:i/>
                <w:sz w:val="20"/>
                <w:szCs w:val="20"/>
                <w:lang w:val="ro-RO"/>
              </w:rPr>
              <w:t>spațiilor verzi/ spațiilor publice/ spațiilor recreative spațiilor /culturale</w:t>
            </w:r>
            <w:r w:rsidRPr="00553642">
              <w:rPr>
                <w:i/>
                <w:sz w:val="20"/>
                <w:szCs w:val="20"/>
                <w:lang w:val="ro-RO"/>
              </w:rPr>
              <w:t xml:space="preserve"> din zonele urbane/ zonelor urbane functionale din Regiunea Centru</w:t>
            </w:r>
            <w:r w:rsidR="00553642" w:rsidRPr="00553642">
              <w:rPr>
                <w:i/>
                <w:iCs/>
                <w:sz w:val="20"/>
                <w:szCs w:val="20"/>
                <w:lang w:val="ro-RO"/>
              </w:rPr>
              <w:t xml:space="preserve">, inclusiv investiții </w:t>
            </w:r>
            <w:r w:rsidR="008F12C8">
              <w:rPr>
                <w:i/>
                <w:iCs/>
                <w:sz w:val="20"/>
                <w:szCs w:val="20"/>
                <w:lang w:val="ro-RO"/>
              </w:rPr>
              <w:t xml:space="preserve">în </w:t>
            </w:r>
            <w:bookmarkStart w:id="14" w:name="_GoBack"/>
            <w:bookmarkEnd w:id="14"/>
            <w:r w:rsidR="008F12C8">
              <w:rPr>
                <w:i/>
                <w:iCs/>
                <w:sz w:val="20"/>
                <w:szCs w:val="20"/>
                <w:lang w:val="ro-RO"/>
              </w:rPr>
              <w:t xml:space="preserve">modernizarea și </w:t>
            </w:r>
            <w:r w:rsidR="00553642" w:rsidRPr="00553642">
              <w:rPr>
                <w:i/>
                <w:iCs/>
                <w:sz w:val="20"/>
                <w:szCs w:val="20"/>
                <w:lang w:val="ro-RO"/>
              </w:rPr>
              <w:t>în asigurarea de utilitati in aceste zone</w:t>
            </w:r>
            <w:r w:rsidR="00553642" w:rsidRPr="00553642">
              <w:rPr>
                <w:i/>
                <w:sz w:val="20"/>
                <w:szCs w:val="20"/>
              </w:rPr>
              <w:t xml:space="preserve"> </w:t>
            </w:r>
          </w:p>
          <w:p w:rsidR="00553642" w:rsidRDefault="00553642">
            <w:pPr>
              <w:spacing w:after="0" w:line="240" w:lineRule="auto"/>
              <w:contextualSpacing/>
              <w:rPr>
                <w:rFonts w:ascii="Times New Roman" w:hAnsi="Times New Roman" w:cs="Times New Roman"/>
                <w:b/>
                <w:sz w:val="20"/>
                <w:szCs w:val="20"/>
              </w:rPr>
            </w:pPr>
          </w:p>
          <w:p w:rsidR="009A6765" w:rsidRPr="00D02D32" w:rsidRDefault="009A6765">
            <w:pPr>
              <w:spacing w:after="0" w:line="240" w:lineRule="auto"/>
              <w:contextualSpacing/>
              <w:rPr>
                <w:rFonts w:ascii="Times New Roman" w:hAnsi="Times New Roman" w:cs="Times New Roman"/>
                <w:sz w:val="20"/>
                <w:szCs w:val="20"/>
              </w:rPr>
            </w:pPr>
            <w:r w:rsidRPr="00D02D32">
              <w:rPr>
                <w:rFonts w:ascii="Times New Roman" w:hAnsi="Times New Roman" w:cs="Times New Roman"/>
                <w:b/>
                <w:sz w:val="20"/>
                <w:szCs w:val="20"/>
              </w:rPr>
              <w:t>Contribuția preconizată la realizarea obiectivului de politica 2 O Europa mai verde</w:t>
            </w:r>
            <w:r w:rsidRPr="00D02D32" w:rsidDel="00EA7237">
              <w:rPr>
                <w:rFonts w:ascii="Times New Roman" w:hAnsi="Times New Roman" w:cs="Times New Roman"/>
                <w:b/>
                <w:sz w:val="20"/>
                <w:szCs w:val="20"/>
              </w:rPr>
              <w:t xml:space="preserve"> </w:t>
            </w:r>
          </w:p>
          <w:p w:rsidR="009A6765" w:rsidRPr="00D02D32" w:rsidRDefault="009A6765" w:rsidP="005C75DF">
            <w:pPr>
              <w:pStyle w:val="Listparagraf"/>
              <w:numPr>
                <w:ilvl w:val="0"/>
                <w:numId w:val="60"/>
              </w:numPr>
              <w:tabs>
                <w:tab w:val="left" w:pos="302"/>
              </w:tabs>
              <w:spacing w:before="0" w:after="0" w:line="240" w:lineRule="auto"/>
              <w:ind w:left="0" w:firstLine="0"/>
              <w:jc w:val="both"/>
              <w:rPr>
                <w:b/>
                <w:sz w:val="20"/>
                <w:szCs w:val="20"/>
                <w:lang w:val="ro-RO"/>
              </w:rPr>
            </w:pPr>
            <w:r w:rsidRPr="00D02D32">
              <w:rPr>
                <w:sz w:val="20"/>
                <w:szCs w:val="20"/>
              </w:rPr>
              <w:t>Tipurile de operațiuni</w:t>
            </w:r>
            <w:r w:rsidRPr="00D02D32">
              <w:rPr>
                <w:sz w:val="20"/>
                <w:szCs w:val="20"/>
                <w:lang w:val="ro-RO"/>
              </w:rPr>
              <w:t xml:space="preserve"> prevăzute contribuie la dezvoltarea unor orașe verzi în Regiunea Centru</w:t>
            </w:r>
            <w:r w:rsidRPr="00D02D32">
              <w:rPr>
                <w:noProof/>
                <w:sz w:val="20"/>
                <w:szCs w:val="20"/>
                <w:lang w:val="ro-RO"/>
              </w:rPr>
              <w:t xml:space="preserve">, inclusiv la conservarea biodiversității în spațiile urbane, sprijinind totodată orașele să valorifice oportunitățile pe care le oferă </w:t>
            </w:r>
            <w:r w:rsidR="00D02D32">
              <w:rPr>
                <w:noProof/>
                <w:sz w:val="20"/>
                <w:szCs w:val="20"/>
                <w:lang w:val="ro-RO"/>
              </w:rPr>
              <w:t>dezvoltarea sustenabilă</w:t>
            </w:r>
            <w:r w:rsidRPr="00D02D32">
              <w:rPr>
                <w:noProof/>
                <w:sz w:val="20"/>
                <w:szCs w:val="20"/>
                <w:lang w:val="ro-RO"/>
              </w:rPr>
              <w:t xml:space="preserve">. Dezvoltarea unor soluții inovatoare și reducerea emisiilor de GES contribuie la creșterea calității vieții și </w:t>
            </w:r>
            <w:r w:rsidRPr="00D02D32">
              <w:rPr>
                <w:bCs/>
                <w:sz w:val="20"/>
                <w:szCs w:val="20"/>
                <w:lang w:val="ro-RO"/>
              </w:rPr>
              <w:t>îmbunătățirea condițiilor de locuire, asigurând și noi locuri de muncă.</w:t>
            </w:r>
          </w:p>
          <w:p w:rsidR="009A6765" w:rsidRPr="00D02D32" w:rsidRDefault="009A6765">
            <w:pPr>
              <w:spacing w:after="0" w:line="240" w:lineRule="auto"/>
              <w:contextualSpacing/>
              <w:jc w:val="both"/>
              <w:rPr>
                <w:rFonts w:ascii="Times New Roman" w:hAnsi="Times New Roman" w:cs="Times New Roman"/>
                <w:sz w:val="20"/>
                <w:szCs w:val="20"/>
              </w:rPr>
            </w:pPr>
          </w:p>
          <w:p w:rsidR="009A6765" w:rsidRPr="00D02D32" w:rsidRDefault="009A6765">
            <w:pPr>
              <w:spacing w:after="0" w:line="240" w:lineRule="auto"/>
              <w:contextualSpacing/>
              <w:jc w:val="both"/>
              <w:rPr>
                <w:rFonts w:ascii="Times New Roman" w:hAnsi="Times New Roman" w:cs="Times New Roman"/>
                <w:b/>
                <w:sz w:val="20"/>
                <w:szCs w:val="20"/>
              </w:rPr>
            </w:pPr>
            <w:r w:rsidRPr="00D02D32">
              <w:rPr>
                <w:rFonts w:ascii="Times New Roman" w:hAnsi="Times New Roman" w:cs="Times New Roman"/>
                <w:b/>
                <w:sz w:val="20"/>
                <w:szCs w:val="20"/>
              </w:rPr>
              <w:t>Contribuția preconizată la realizarea strategiilor macroregionale și strategiilor privind bazinele maritime, precum și planurilor teritoriale pentru o tranziție justă, prevăzute la articolul [7] din Regulamentul (UE) [Regulamentul FTJ] sprijinite de FTJ, după caz:</w:t>
            </w:r>
          </w:p>
          <w:p w:rsidR="007C1415" w:rsidRPr="00D02D32" w:rsidRDefault="009A6765" w:rsidP="005C75DF">
            <w:pPr>
              <w:pStyle w:val="Default"/>
              <w:numPr>
                <w:ilvl w:val="0"/>
                <w:numId w:val="60"/>
              </w:numPr>
              <w:tabs>
                <w:tab w:val="left" w:pos="311"/>
              </w:tabs>
              <w:ind w:left="0" w:firstLine="0"/>
              <w:contextualSpacing/>
              <w:jc w:val="both"/>
              <w:rPr>
                <w:rFonts w:ascii="Times New Roman" w:hAnsi="Times New Roman" w:cs="Times New Roman"/>
                <w:sz w:val="20"/>
                <w:szCs w:val="20"/>
              </w:rPr>
            </w:pPr>
            <w:r w:rsidRPr="00D02D32">
              <w:rPr>
                <w:rFonts w:ascii="Times New Roman" w:eastAsiaTheme="minorHAnsi" w:hAnsi="Times New Roman" w:cs="Times New Roman"/>
                <w:color w:val="auto"/>
                <w:sz w:val="20"/>
                <w:szCs w:val="20"/>
                <w:lang w:val="ro-RO" w:eastAsia="en-US"/>
              </w:rPr>
              <w:t xml:space="preserve">Acțiunile indicate </w:t>
            </w:r>
            <w:r w:rsidRPr="00D02D32">
              <w:rPr>
                <w:rFonts w:ascii="Times New Roman" w:hAnsi="Times New Roman" w:cs="Times New Roman"/>
                <w:sz w:val="20"/>
                <w:szCs w:val="20"/>
                <w:lang w:val="ro-RO"/>
              </w:rPr>
              <w:t>vor</w:t>
            </w:r>
            <w:r w:rsidRPr="00D02D32">
              <w:rPr>
                <w:rFonts w:ascii="Times New Roman" w:hAnsi="Times New Roman" w:cs="Times New Roman"/>
                <w:b/>
                <w:sz w:val="20"/>
                <w:szCs w:val="20"/>
                <w:lang w:val="ro-RO"/>
              </w:rPr>
              <w:t xml:space="preserve"> </w:t>
            </w:r>
            <w:r w:rsidRPr="00D02D32">
              <w:rPr>
                <w:rFonts w:ascii="Times New Roman" w:eastAsiaTheme="minorHAnsi" w:hAnsi="Times New Roman" w:cs="Times New Roman"/>
                <w:color w:val="auto"/>
                <w:sz w:val="20"/>
                <w:szCs w:val="20"/>
                <w:lang w:val="ro-RO" w:eastAsia="en-US"/>
              </w:rPr>
              <w:t xml:space="preserve">contribui la implementarea Strategiei Uniunii Europene pentru Regiunea Dunării (SUERD), prin promovarea unor investiții în conformitate cu ariile prioritare SUERD în scopul maximizării impactului acesteia la nivel regional. Aceste operațiuni sunt în concordanță cu ariile prioritare SUERD, definite în </w:t>
            </w:r>
            <w:r w:rsidRPr="00D02D32">
              <w:rPr>
                <w:rFonts w:ascii="Times New Roman" w:hAnsi="Times New Roman" w:cs="Times New Roman"/>
                <w:sz w:val="20"/>
                <w:szCs w:val="20"/>
                <w:lang w:val="ro-RO"/>
              </w:rPr>
              <w:t xml:space="preserve">Planul de acțiune ce </w:t>
            </w:r>
            <w:r w:rsidRPr="00D02D32">
              <w:rPr>
                <w:rFonts w:ascii="Times New Roman" w:hAnsi="Times New Roman" w:cs="Times New Roman"/>
                <w:sz w:val="20"/>
                <w:szCs w:val="20"/>
                <w:lang w:val="ro-RO"/>
              </w:rPr>
              <w:lastRenderedPageBreak/>
              <w:t>însoțește</w:t>
            </w:r>
            <w:r w:rsidRPr="00D02D32">
              <w:rPr>
                <w:rFonts w:ascii="Times New Roman" w:hAnsi="Times New Roman" w:cs="Times New Roman"/>
                <w:b/>
                <w:sz w:val="20"/>
                <w:szCs w:val="20"/>
                <w:lang w:val="ro-RO"/>
              </w:rPr>
              <w:t xml:space="preserve"> </w:t>
            </w:r>
            <w:r w:rsidRPr="00D02D32">
              <w:rPr>
                <w:rFonts w:ascii="Times New Roman" w:hAnsi="Times New Roman" w:cs="Times New Roman"/>
                <w:sz w:val="20"/>
                <w:szCs w:val="20"/>
                <w:lang w:val="ro-RO"/>
              </w:rPr>
              <w:t>Comunicarea Comisiei către Parlamentul European, Consiliu, Comitetul Economic și Social European și Comitetul Regiunilor</w:t>
            </w:r>
            <w:r w:rsidRPr="00D02D32">
              <w:rPr>
                <w:rStyle w:val="Referinnotdesubsol"/>
                <w:rFonts w:ascii="Times New Roman" w:hAnsi="Times New Roman" w:cs="Times New Roman"/>
                <w:b w:val="0"/>
                <w:sz w:val="20"/>
                <w:szCs w:val="20"/>
                <w:lang w:val="ro-RO"/>
              </w:rPr>
              <w:footnoteReference w:id="42"/>
            </w:r>
            <w:r w:rsidRPr="00D02D32">
              <w:rPr>
                <w:rFonts w:ascii="Times New Roman" w:hAnsi="Times New Roman" w:cs="Times New Roman"/>
                <w:sz w:val="20"/>
                <w:szCs w:val="20"/>
                <w:lang w:val="ro-RO"/>
              </w:rPr>
              <w:t>, respectiv aria prioritară 2 „Energie Sustenabilă”, aria prioritară 5 „Gestionarea riscurilor de mediu” și aria prioritară 6. „Conservarea biodiversității, a peisajelor și a calității aerului și solurilor”.</w:t>
            </w:r>
          </w:p>
          <w:p w:rsidR="007C1415" w:rsidRDefault="007C1415">
            <w:pPr>
              <w:pStyle w:val="Default"/>
              <w:tabs>
                <w:tab w:val="left" w:pos="311"/>
              </w:tabs>
              <w:contextualSpacing/>
              <w:jc w:val="both"/>
              <w:rPr>
                <w:rFonts w:ascii="Times New Roman" w:eastAsiaTheme="minorHAnsi" w:hAnsi="Times New Roman" w:cs="Times New Roman"/>
                <w:color w:val="auto"/>
                <w:sz w:val="20"/>
                <w:szCs w:val="20"/>
                <w:lang w:val="ro-RO" w:eastAsia="en-US"/>
              </w:rPr>
            </w:pPr>
          </w:p>
          <w:p w:rsidR="007C1415" w:rsidRDefault="007C1415">
            <w:pPr>
              <w:pStyle w:val="Default"/>
              <w:tabs>
                <w:tab w:val="left" w:pos="311"/>
              </w:tabs>
              <w:contextualSpacing/>
              <w:jc w:val="both"/>
              <w:rPr>
                <w:rFonts w:ascii="Times New Roman" w:eastAsiaTheme="minorHAnsi" w:hAnsi="Times New Roman" w:cs="Times New Roman"/>
                <w:b/>
                <w:color w:val="auto"/>
                <w:sz w:val="20"/>
                <w:szCs w:val="20"/>
                <w:lang w:val="ro-RO" w:eastAsia="en-US"/>
              </w:rPr>
            </w:pPr>
            <w:r w:rsidRPr="00F423A8">
              <w:rPr>
                <w:rFonts w:ascii="Times New Roman" w:eastAsiaTheme="minorHAnsi" w:hAnsi="Times New Roman" w:cs="Times New Roman"/>
                <w:b/>
                <w:color w:val="auto"/>
                <w:sz w:val="20"/>
                <w:szCs w:val="20"/>
                <w:lang w:val="ro-RO" w:eastAsia="en-US"/>
              </w:rPr>
              <w:t>Complementaritati cu alte programe operaționale</w:t>
            </w:r>
          </w:p>
          <w:p w:rsidR="00D02D32" w:rsidRPr="005C75DF" w:rsidRDefault="00553642">
            <w:pPr>
              <w:pStyle w:val="Default"/>
              <w:tabs>
                <w:tab w:val="left" w:pos="311"/>
              </w:tabs>
              <w:contextualSpacing/>
              <w:jc w:val="both"/>
              <w:rPr>
                <w:rFonts w:ascii="Times New Roman" w:hAnsi="Times New Roman" w:cs="Times New Roman"/>
                <w:sz w:val="20"/>
                <w:szCs w:val="20"/>
                <w:lang w:val="ro-RO"/>
              </w:rPr>
            </w:pPr>
            <w:r w:rsidRPr="00C72A98">
              <w:rPr>
                <w:rFonts w:ascii="Times New Roman" w:hAnsi="Times New Roman" w:cs="Times New Roman"/>
                <w:sz w:val="20"/>
                <w:szCs w:val="20"/>
                <w:lang w:val="ro-RO"/>
              </w:rPr>
              <w:t>Intervențiile privind îmbunătățirea protecției naturii și a biodiversității, a infrastructurii verzi în special în mediul urban și reducerea poluării sunt complementare celor din PODD. POR Centru susține adoptarea unor soluții care să permită dezvoltarea infrastructurii verzi/albastre in mediul urban din Regiunea Centru, inclusiv ZUF si ZM, reducerea amprentei ecologice si imbunatatirea conditiilor de viata pentru locuitorii regiunii. Complementar acestor activitati, PODD finanțează investiții în rețeaua Natura 2000, îmbunătățirea calității aerului și decontaminarea si ecologizarea siturilor contaminate si potential contaminate, inclusiv refacerea ecosistemelor naturale si asigurarea calitatii fatorilor de mediu, în vederea protejării sănătății umane.</w:t>
            </w:r>
          </w:p>
          <w:p w:rsidR="007C1415" w:rsidRPr="00E95FAC" w:rsidRDefault="007C1415" w:rsidP="005C75DF">
            <w:pPr>
              <w:pStyle w:val="Listparagraf"/>
              <w:numPr>
                <w:ilvl w:val="0"/>
                <w:numId w:val="60"/>
              </w:numPr>
              <w:pBdr>
                <w:top w:val="single" w:sz="4" w:space="1" w:color="auto"/>
                <w:left w:val="single" w:sz="4" w:space="4" w:color="auto"/>
                <w:bottom w:val="single" w:sz="4" w:space="1" w:color="auto"/>
                <w:right w:val="single" w:sz="4" w:space="4" w:color="auto"/>
              </w:pBdr>
              <w:spacing w:before="0" w:after="0" w:line="240" w:lineRule="auto"/>
              <w:ind w:left="29" w:firstLine="0"/>
              <w:jc w:val="both"/>
              <w:rPr>
                <w:iCs/>
                <w:noProof/>
                <w:sz w:val="20"/>
              </w:rPr>
            </w:pPr>
          </w:p>
        </w:tc>
      </w:tr>
    </w:tbl>
    <w:p w:rsidR="009A6765" w:rsidRPr="0000318B" w:rsidRDefault="009A6765" w:rsidP="009A6765">
      <w:pPr>
        <w:spacing w:after="0" w:line="240" w:lineRule="auto"/>
        <w:rPr>
          <w:rFonts w:ascii="Times New Roman" w:eastAsia="Times New Roman" w:hAnsi="Times New Roman" w:cs="Times New Roman"/>
          <w:i/>
          <w:noProof/>
          <w:sz w:val="20"/>
          <w:szCs w:val="20"/>
          <w:lang w:val="en-GB"/>
        </w:rPr>
      </w:pPr>
    </w:p>
    <w:p w:rsidR="009A6765" w:rsidRPr="0000318B" w:rsidRDefault="009A6765" w:rsidP="009A6765">
      <w:pPr>
        <w:spacing w:after="0" w:line="240" w:lineRule="auto"/>
        <w:rPr>
          <w:rFonts w:ascii="Times New Roman" w:eastAsia="Times New Roman" w:hAnsi="Times New Roman" w:cs="Times New Roman"/>
          <w:b/>
          <w:i/>
          <w:iCs/>
          <w:noProof/>
          <w:sz w:val="20"/>
          <w:szCs w:val="20"/>
          <w:lang w:val="en-GB"/>
        </w:rPr>
      </w:pPr>
      <w:r w:rsidRPr="0000318B">
        <w:rPr>
          <w:rFonts w:ascii="Times New Roman" w:eastAsia="Times New Roman" w:hAnsi="Times New Roman" w:cs="Times New Roman"/>
          <w:i/>
          <w:noProof/>
          <w:sz w:val="20"/>
          <w:szCs w:val="20"/>
          <w:lang w:val="en-GB"/>
        </w:rPr>
        <w:t>The main target groups - Article 17(3)(d)(iii):</w:t>
      </w:r>
    </w:p>
    <w:p w:rsidR="009A6765" w:rsidRPr="0000318B" w:rsidRDefault="009A6765" w:rsidP="009A6765">
      <w:pPr>
        <w:pBdr>
          <w:top w:val="single" w:sz="4" w:space="1" w:color="auto"/>
          <w:left w:val="single" w:sz="4" w:space="4" w:color="auto"/>
          <w:bottom w:val="single" w:sz="4" w:space="1" w:color="auto"/>
          <w:right w:val="single" w:sz="4" w:space="4" w:color="auto"/>
        </w:pBdr>
        <w:spacing w:before="120" w:after="120" w:line="360" w:lineRule="auto"/>
        <w:jc w:val="both"/>
        <w:rPr>
          <w:rFonts w:ascii="Times New Roman" w:eastAsia="Times New Roman" w:hAnsi="Times New Roman" w:cs="Times New Roman"/>
          <w:i/>
          <w:iCs/>
          <w:noProof/>
          <w:sz w:val="20"/>
          <w:szCs w:val="20"/>
          <w:lang w:val="en-GB"/>
        </w:rPr>
      </w:pPr>
      <w:r w:rsidRPr="0000318B">
        <w:rPr>
          <w:rFonts w:ascii="Times New Roman" w:eastAsia="Times New Roman" w:hAnsi="Times New Roman" w:cs="Times New Roman"/>
          <w:i/>
          <w:iCs/>
          <w:noProof/>
          <w:sz w:val="20"/>
          <w:szCs w:val="20"/>
          <w:lang w:val="en-GB"/>
        </w:rPr>
        <w:t>Text field [1 000]</w:t>
      </w:r>
    </w:p>
    <w:p w:rsidR="009A6765" w:rsidRPr="0000318B" w:rsidRDefault="009A6765" w:rsidP="009A6765">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iCs/>
          <w:noProof/>
          <w:sz w:val="20"/>
          <w:szCs w:val="20"/>
          <w:lang w:val="en-GB"/>
        </w:rPr>
      </w:pPr>
      <w:r w:rsidRPr="0000318B">
        <w:rPr>
          <w:rFonts w:ascii="Times New Roman" w:eastAsia="Times New Roman" w:hAnsi="Times New Roman" w:cs="Times New Roman"/>
          <w:i/>
          <w:iCs/>
          <w:noProof/>
          <w:sz w:val="20"/>
          <w:szCs w:val="20"/>
          <w:lang w:val="en-GB"/>
        </w:rPr>
        <w:t>Grup țintă:</w:t>
      </w:r>
    </w:p>
    <w:p w:rsidR="009A6765" w:rsidRPr="0000318B" w:rsidRDefault="009A6765" w:rsidP="009A6765">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iCs/>
          <w:noProof/>
          <w:sz w:val="20"/>
          <w:szCs w:val="20"/>
          <w:lang w:val="en-GB"/>
        </w:rPr>
      </w:pPr>
      <w:r w:rsidRPr="0000318B">
        <w:rPr>
          <w:rFonts w:ascii="Times New Roman" w:eastAsia="Times New Roman" w:hAnsi="Times New Roman" w:cs="Times New Roman"/>
          <w:i/>
          <w:iCs/>
          <w:noProof/>
          <w:sz w:val="20"/>
          <w:szCs w:val="20"/>
          <w:lang w:val="en-GB"/>
        </w:rPr>
        <w:t>•</w:t>
      </w:r>
      <w:r w:rsidRPr="0000318B">
        <w:rPr>
          <w:rFonts w:ascii="Times New Roman" w:eastAsia="Times New Roman" w:hAnsi="Times New Roman" w:cs="Times New Roman"/>
          <w:i/>
          <w:iCs/>
          <w:noProof/>
          <w:sz w:val="20"/>
          <w:szCs w:val="20"/>
          <w:lang w:val="en-GB"/>
        </w:rPr>
        <w:tab/>
        <w:t>comunitățile locale din mediul urban</w:t>
      </w:r>
      <w:r w:rsidR="006823EB">
        <w:rPr>
          <w:rFonts w:ascii="Times New Roman" w:eastAsia="Times New Roman" w:hAnsi="Times New Roman" w:cs="Times New Roman"/>
          <w:i/>
          <w:iCs/>
          <w:noProof/>
          <w:sz w:val="20"/>
          <w:szCs w:val="20"/>
          <w:lang w:val="en-GB"/>
        </w:rPr>
        <w:t xml:space="preserve"> și zonele funcționale urbane și zone metropolitane</w:t>
      </w:r>
      <w:r w:rsidR="00BD3055">
        <w:rPr>
          <w:rFonts w:ascii="Times New Roman" w:eastAsia="Times New Roman" w:hAnsi="Times New Roman" w:cs="Times New Roman"/>
          <w:i/>
          <w:iCs/>
          <w:noProof/>
          <w:sz w:val="20"/>
          <w:szCs w:val="20"/>
          <w:lang w:val="en-GB"/>
        </w:rPr>
        <w:t>, inclusiv mediul rural</w:t>
      </w:r>
    </w:p>
    <w:p w:rsidR="009A6765" w:rsidRPr="0000318B" w:rsidRDefault="009A6765" w:rsidP="009A6765">
      <w:pPr>
        <w:spacing w:before="120" w:after="120" w:line="360" w:lineRule="auto"/>
        <w:jc w:val="both"/>
        <w:rPr>
          <w:rFonts w:ascii="Times New Roman" w:eastAsia="Times New Roman" w:hAnsi="Times New Roman" w:cs="Times New Roman"/>
          <w:i/>
          <w:noProof/>
          <w:sz w:val="20"/>
          <w:szCs w:val="20"/>
          <w:lang w:val="en-GB"/>
        </w:rPr>
      </w:pPr>
      <w:r w:rsidRPr="0000318B">
        <w:rPr>
          <w:rFonts w:ascii="Times New Roman" w:eastAsia="Times New Roman" w:hAnsi="Times New Roman" w:cs="Times New Roman"/>
          <w:i/>
          <w:noProof/>
          <w:sz w:val="20"/>
          <w:szCs w:val="20"/>
          <w:lang w:val="en-GB"/>
        </w:rPr>
        <w:t>Specific territories tageted, including the planned use of territorial tools – Article 17(3)(d)(iv)</w:t>
      </w:r>
    </w:p>
    <w:p w:rsidR="009A6765" w:rsidRPr="0000318B" w:rsidRDefault="009A6765" w:rsidP="009A6765">
      <w:pPr>
        <w:pBdr>
          <w:top w:val="single" w:sz="4" w:space="1" w:color="auto"/>
          <w:left w:val="single" w:sz="4" w:space="4" w:color="auto"/>
          <w:bottom w:val="single" w:sz="4" w:space="1" w:color="auto"/>
          <w:right w:val="single" w:sz="4" w:space="4" w:color="auto"/>
        </w:pBdr>
        <w:spacing w:before="120" w:after="120" w:line="360" w:lineRule="auto"/>
        <w:jc w:val="both"/>
        <w:rPr>
          <w:rFonts w:ascii="Times New Roman" w:eastAsia="Times New Roman" w:hAnsi="Times New Roman" w:cs="Times New Roman"/>
          <w:i/>
          <w:iCs/>
          <w:noProof/>
          <w:sz w:val="20"/>
          <w:szCs w:val="20"/>
          <w:lang w:val="en-GB"/>
        </w:rPr>
      </w:pPr>
      <w:r w:rsidRPr="0000318B">
        <w:rPr>
          <w:rFonts w:ascii="Times New Roman" w:eastAsia="Times New Roman" w:hAnsi="Times New Roman" w:cs="Times New Roman"/>
          <w:i/>
          <w:iCs/>
          <w:noProof/>
          <w:sz w:val="20"/>
          <w:szCs w:val="20"/>
          <w:lang w:val="en-GB"/>
        </w:rPr>
        <w:t>Text field [2 000]</w:t>
      </w:r>
    </w:p>
    <w:p w:rsidR="000D282F" w:rsidRPr="005C75DF" w:rsidRDefault="000D282F">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Cs/>
          <w:noProof/>
          <w:sz w:val="20"/>
          <w:szCs w:val="20"/>
          <w:lang w:val="en-GB"/>
        </w:rPr>
      </w:pPr>
      <w:r w:rsidRPr="005C75DF">
        <w:rPr>
          <w:rFonts w:ascii="Times New Roman" w:eastAsia="Times New Roman" w:hAnsi="Times New Roman" w:cs="Times New Roman"/>
          <w:iCs/>
          <w:noProof/>
          <w:sz w:val="20"/>
          <w:szCs w:val="20"/>
          <w:lang w:val="en-GB"/>
        </w:rPr>
        <w:t xml:space="preserve">Regiunea Centru, mediul urban și mediul rural aferent ZUF si zonelor metropolitane (ZM). </w:t>
      </w:r>
      <w:r w:rsidR="0009117E" w:rsidRPr="005C75DF">
        <w:rPr>
          <w:rFonts w:ascii="Times New Roman" w:eastAsia="Times New Roman" w:hAnsi="Times New Roman" w:cs="Times New Roman"/>
          <w:iCs/>
          <w:noProof/>
          <w:sz w:val="20"/>
          <w:szCs w:val="20"/>
          <w:lang w:val="en-GB"/>
        </w:rPr>
        <w:t>Interventiile vor trebui justificate din perspectiva includerii in SIDU.</w:t>
      </w:r>
    </w:p>
    <w:p w:rsidR="00781673" w:rsidRPr="005C75DF" w:rsidRDefault="00C74780" w:rsidP="005C75DF">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Cs/>
          <w:noProof/>
          <w:sz w:val="20"/>
          <w:szCs w:val="20"/>
          <w:lang w:val="en-GB"/>
        </w:rPr>
      </w:pPr>
      <w:r w:rsidRPr="005C75DF">
        <w:rPr>
          <w:rFonts w:ascii="Times New Roman" w:eastAsia="Times New Roman" w:hAnsi="Times New Roman" w:cs="Times New Roman"/>
          <w:iCs/>
          <w:noProof/>
          <w:sz w:val="20"/>
          <w:szCs w:val="20"/>
          <w:lang w:val="en-GB"/>
        </w:rPr>
        <w:t xml:space="preserve">Aceasta prioritate de investitii va contribui la </w:t>
      </w:r>
      <w:r w:rsidR="0079444E" w:rsidRPr="005C75DF">
        <w:rPr>
          <w:rFonts w:ascii="Times New Roman" w:eastAsia="Times New Roman" w:hAnsi="Times New Roman" w:cs="Times New Roman"/>
          <w:iCs/>
          <w:noProof/>
          <w:sz w:val="20"/>
          <w:szCs w:val="20"/>
          <w:lang w:val="en-GB"/>
        </w:rPr>
        <w:t>dezvoltarea urbana durabila</w:t>
      </w:r>
      <w:r w:rsidR="00781673" w:rsidRPr="005C75DF">
        <w:rPr>
          <w:rFonts w:ascii="Times New Roman" w:eastAsia="Times New Roman" w:hAnsi="Times New Roman" w:cs="Times New Roman"/>
          <w:iCs/>
          <w:noProof/>
          <w:sz w:val="20"/>
          <w:szCs w:val="20"/>
          <w:lang w:val="en-GB"/>
        </w:rPr>
        <w:t xml:space="preserve">. </w:t>
      </w:r>
    </w:p>
    <w:p w:rsidR="00BD3055" w:rsidRPr="005C75DF" w:rsidRDefault="00781673" w:rsidP="005C75DF">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Cs/>
          <w:noProof/>
          <w:sz w:val="20"/>
          <w:szCs w:val="20"/>
          <w:lang w:val="en-GB"/>
        </w:rPr>
      </w:pPr>
      <w:r w:rsidRPr="005C75DF">
        <w:rPr>
          <w:rFonts w:ascii="Times New Roman" w:eastAsia="Times New Roman" w:hAnsi="Times New Roman" w:cs="Times New Roman"/>
          <w:iCs/>
          <w:noProof/>
          <w:sz w:val="20"/>
          <w:szCs w:val="20"/>
          <w:lang w:val="en-GB"/>
        </w:rPr>
        <w:t xml:space="preserve">In conformitate cu </w:t>
      </w:r>
      <w:r w:rsidR="006D2EBA" w:rsidRPr="005C75DF">
        <w:rPr>
          <w:rFonts w:ascii="Times New Roman" w:eastAsia="Times New Roman" w:hAnsi="Times New Roman" w:cs="Times New Roman"/>
          <w:iCs/>
          <w:noProof/>
          <w:sz w:val="20"/>
          <w:szCs w:val="20"/>
          <w:lang w:val="en-GB"/>
        </w:rPr>
        <w:t>OUG 156/2020</w:t>
      </w:r>
      <w:r w:rsidR="005917CA" w:rsidRPr="005C75DF">
        <w:rPr>
          <w:rFonts w:ascii="Times New Roman" w:eastAsia="Times New Roman" w:hAnsi="Times New Roman" w:cs="Times New Roman"/>
          <w:iCs/>
          <w:noProof/>
          <w:sz w:val="20"/>
          <w:szCs w:val="20"/>
          <w:lang w:val="en-GB"/>
        </w:rPr>
        <w:t xml:space="preserve"> privind unele măsuri pentru sustinerea dezvoltarii teritoriale a localitatilor urbane si rurale din Romania cu finantare din fonduri externe nerambursabile</w:t>
      </w:r>
      <w:r w:rsidR="006D2EBA" w:rsidRPr="005C75DF">
        <w:rPr>
          <w:rFonts w:ascii="Times New Roman" w:eastAsia="Times New Roman" w:hAnsi="Times New Roman" w:cs="Times New Roman"/>
          <w:iCs/>
          <w:noProof/>
          <w:sz w:val="20"/>
          <w:szCs w:val="20"/>
          <w:lang w:val="en-GB"/>
        </w:rPr>
        <w:t xml:space="preserve">, art. 6, fondurile destinate dezvoltării urbane durabile sunt impartite intre categoriile de </w:t>
      </w:r>
      <w:r w:rsidR="00BD3055" w:rsidRPr="005C75DF">
        <w:rPr>
          <w:rFonts w:ascii="Times New Roman" w:eastAsia="Times New Roman" w:hAnsi="Times New Roman" w:cs="Times New Roman"/>
          <w:iCs/>
          <w:noProof/>
          <w:sz w:val="20"/>
          <w:szCs w:val="20"/>
          <w:lang w:val="en-GB"/>
        </w:rPr>
        <w:t xml:space="preserve">municipii si orase </w:t>
      </w:r>
      <w:r w:rsidR="006D2EBA" w:rsidRPr="005C75DF">
        <w:rPr>
          <w:rFonts w:ascii="Times New Roman" w:eastAsia="Times New Roman" w:hAnsi="Times New Roman" w:cs="Times New Roman"/>
          <w:iCs/>
          <w:noProof/>
          <w:sz w:val="20"/>
          <w:szCs w:val="20"/>
          <w:lang w:val="en-GB"/>
        </w:rPr>
        <w:t xml:space="preserve">orase in functie de </w:t>
      </w:r>
      <w:r w:rsidR="00BD3055" w:rsidRPr="005C75DF">
        <w:rPr>
          <w:rFonts w:ascii="Times New Roman" w:eastAsia="Times New Roman" w:hAnsi="Times New Roman" w:cs="Times New Roman"/>
          <w:iCs/>
          <w:noProof/>
          <w:sz w:val="20"/>
          <w:szCs w:val="20"/>
          <w:lang w:val="en-GB"/>
        </w:rPr>
        <w:t>ponderea</w:t>
      </w:r>
      <w:r w:rsidR="006D2EBA" w:rsidRPr="005C75DF">
        <w:rPr>
          <w:rFonts w:ascii="Times New Roman" w:eastAsia="Times New Roman" w:hAnsi="Times New Roman" w:cs="Times New Roman"/>
          <w:iCs/>
          <w:noProof/>
          <w:sz w:val="20"/>
          <w:szCs w:val="20"/>
          <w:lang w:val="en-GB"/>
        </w:rPr>
        <w:t xml:space="preserve"> pe care </w:t>
      </w:r>
      <w:r w:rsidR="00BD3055" w:rsidRPr="005C75DF">
        <w:rPr>
          <w:rFonts w:ascii="Times New Roman" w:eastAsia="Times New Roman" w:hAnsi="Times New Roman" w:cs="Times New Roman"/>
          <w:iCs/>
          <w:noProof/>
          <w:sz w:val="20"/>
          <w:szCs w:val="20"/>
          <w:lang w:val="en-GB"/>
        </w:rPr>
        <w:t>o</w:t>
      </w:r>
      <w:r w:rsidR="006D2EBA" w:rsidRPr="005C75DF">
        <w:rPr>
          <w:rFonts w:ascii="Times New Roman" w:eastAsia="Times New Roman" w:hAnsi="Times New Roman" w:cs="Times New Roman"/>
          <w:iCs/>
          <w:noProof/>
          <w:sz w:val="20"/>
          <w:szCs w:val="20"/>
          <w:lang w:val="en-GB"/>
        </w:rPr>
        <w:t xml:space="preserve">reprezinta populatia categoriilor respective de </w:t>
      </w:r>
      <w:r w:rsidR="00BD3055" w:rsidRPr="005C75DF">
        <w:rPr>
          <w:rFonts w:ascii="Times New Roman" w:eastAsia="Times New Roman" w:hAnsi="Times New Roman" w:cs="Times New Roman"/>
          <w:iCs/>
          <w:noProof/>
          <w:sz w:val="20"/>
          <w:szCs w:val="20"/>
          <w:lang w:val="en-GB"/>
        </w:rPr>
        <w:t xml:space="preserve">municipii si </w:t>
      </w:r>
      <w:r w:rsidR="006D2EBA" w:rsidRPr="005C75DF">
        <w:rPr>
          <w:rFonts w:ascii="Times New Roman" w:eastAsia="Times New Roman" w:hAnsi="Times New Roman" w:cs="Times New Roman"/>
          <w:iCs/>
          <w:noProof/>
          <w:sz w:val="20"/>
          <w:szCs w:val="20"/>
          <w:lang w:val="en-GB"/>
        </w:rPr>
        <w:t xml:space="preserve">orase </w:t>
      </w:r>
      <w:r w:rsidR="00BD3055" w:rsidRPr="005C75DF">
        <w:rPr>
          <w:rFonts w:ascii="Times New Roman" w:eastAsia="Times New Roman" w:hAnsi="Times New Roman" w:cs="Times New Roman"/>
          <w:iCs/>
          <w:noProof/>
          <w:sz w:val="20"/>
          <w:szCs w:val="20"/>
          <w:lang w:val="en-GB"/>
        </w:rPr>
        <w:t xml:space="preserve">in total populatie urbana la nivel regional. Astfel fondurile sunt impartite pe 3 categorii de municipii si orase: </w:t>
      </w:r>
    </w:p>
    <w:p w:rsidR="007B330B" w:rsidRPr="005C75DF" w:rsidRDefault="007B330B" w:rsidP="005C75DF">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Cs/>
          <w:noProof/>
          <w:sz w:val="20"/>
          <w:szCs w:val="20"/>
        </w:rPr>
      </w:pPr>
      <w:r w:rsidRPr="005C75DF">
        <w:rPr>
          <w:rFonts w:ascii="Times New Roman" w:eastAsia="Times New Roman" w:hAnsi="Times New Roman" w:cs="Times New Roman"/>
          <w:iCs/>
          <w:noProof/>
          <w:sz w:val="20"/>
          <w:szCs w:val="20"/>
        </w:rPr>
        <w:t>Municipiile resedinta de judet  - 50,1</w:t>
      </w:r>
      <w:r w:rsidR="00E62193" w:rsidRPr="005C75DF">
        <w:rPr>
          <w:rFonts w:ascii="Times New Roman" w:eastAsia="Times New Roman" w:hAnsi="Times New Roman" w:cs="Times New Roman"/>
          <w:iCs/>
          <w:noProof/>
          <w:sz w:val="20"/>
          <w:szCs w:val="20"/>
        </w:rPr>
        <w:t>4</w:t>
      </w:r>
      <w:r w:rsidRPr="005C75DF">
        <w:rPr>
          <w:rFonts w:ascii="Times New Roman" w:eastAsia="Times New Roman" w:hAnsi="Times New Roman" w:cs="Times New Roman"/>
          <w:iCs/>
          <w:noProof/>
          <w:sz w:val="20"/>
          <w:szCs w:val="20"/>
        </w:rPr>
        <w:t>% din fondurile alocate la nivel regional pentru dezvoltare urbana</w:t>
      </w:r>
    </w:p>
    <w:p w:rsidR="007B330B" w:rsidRPr="005C75DF" w:rsidRDefault="007B330B" w:rsidP="005C75DF">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Cs/>
          <w:noProof/>
          <w:sz w:val="20"/>
          <w:szCs w:val="20"/>
        </w:rPr>
      </w:pPr>
      <w:r w:rsidRPr="005C75DF">
        <w:rPr>
          <w:rFonts w:ascii="Times New Roman" w:eastAsia="Times New Roman" w:hAnsi="Times New Roman" w:cs="Times New Roman"/>
          <w:iCs/>
          <w:noProof/>
          <w:sz w:val="20"/>
          <w:szCs w:val="20"/>
        </w:rPr>
        <w:t>Municipii – 27.</w:t>
      </w:r>
      <w:r w:rsidR="00E62193" w:rsidRPr="005C75DF">
        <w:rPr>
          <w:rFonts w:ascii="Times New Roman" w:eastAsia="Times New Roman" w:hAnsi="Times New Roman" w:cs="Times New Roman"/>
          <w:iCs/>
          <w:noProof/>
          <w:sz w:val="20"/>
          <w:szCs w:val="20"/>
        </w:rPr>
        <w:t xml:space="preserve"> </w:t>
      </w:r>
      <w:r w:rsidRPr="005C75DF">
        <w:rPr>
          <w:rFonts w:ascii="Times New Roman" w:eastAsia="Times New Roman" w:hAnsi="Times New Roman" w:cs="Times New Roman"/>
          <w:iCs/>
          <w:noProof/>
          <w:sz w:val="20"/>
          <w:szCs w:val="20"/>
        </w:rPr>
        <w:t>3% din fondurile alocate la nivel regional pentru dezvoltare urbana</w:t>
      </w:r>
    </w:p>
    <w:p w:rsidR="007B330B" w:rsidRPr="005C75DF" w:rsidRDefault="007B330B" w:rsidP="005C75DF">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Cs/>
          <w:noProof/>
          <w:sz w:val="20"/>
          <w:szCs w:val="20"/>
        </w:rPr>
      </w:pPr>
      <w:r w:rsidRPr="005C75DF">
        <w:rPr>
          <w:rFonts w:ascii="Times New Roman" w:eastAsia="Times New Roman" w:hAnsi="Times New Roman" w:cs="Times New Roman"/>
          <w:iCs/>
          <w:noProof/>
          <w:sz w:val="20"/>
          <w:szCs w:val="20"/>
        </w:rPr>
        <w:t>Orase – 22,</w:t>
      </w:r>
      <w:r w:rsidR="00E62193" w:rsidRPr="005C75DF">
        <w:rPr>
          <w:rFonts w:ascii="Times New Roman" w:eastAsia="Times New Roman" w:hAnsi="Times New Roman" w:cs="Times New Roman"/>
          <w:iCs/>
          <w:noProof/>
          <w:sz w:val="20"/>
          <w:szCs w:val="20"/>
        </w:rPr>
        <w:t>5</w:t>
      </w:r>
      <w:r w:rsidRPr="005C75DF">
        <w:rPr>
          <w:rFonts w:ascii="Times New Roman" w:eastAsia="Times New Roman" w:hAnsi="Times New Roman" w:cs="Times New Roman"/>
          <w:iCs/>
          <w:noProof/>
          <w:sz w:val="20"/>
          <w:szCs w:val="20"/>
        </w:rPr>
        <w:t>6% din fondurile alocate la nive regional pentru dezvoltare urbana</w:t>
      </w:r>
    </w:p>
    <w:p w:rsidR="007B330B" w:rsidRPr="005C75DF" w:rsidRDefault="007B330B" w:rsidP="005C75DF">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Cs/>
          <w:noProof/>
          <w:sz w:val="20"/>
          <w:szCs w:val="20"/>
          <w:lang w:val="en-GB"/>
        </w:rPr>
      </w:pPr>
      <w:r w:rsidRPr="005C75DF">
        <w:rPr>
          <w:rFonts w:ascii="Times New Roman" w:eastAsia="Times New Roman" w:hAnsi="Times New Roman" w:cs="Times New Roman"/>
          <w:iCs/>
          <w:noProof/>
          <w:sz w:val="20"/>
          <w:szCs w:val="20"/>
          <w:lang w:val="en-GB"/>
        </w:rPr>
        <w:t>Pentru municipiile resedinta de judet si municipii va exista o alocare predefinita care va avea la bază un procent de 35% din fondurile totale repeartizat in mod egal si 65% va fi repartizat in functie de numarul total al populatiei.</w:t>
      </w:r>
    </w:p>
    <w:p w:rsidR="00BD3055" w:rsidRPr="005C75DF" w:rsidRDefault="007B330B" w:rsidP="005C75DF">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Cs/>
          <w:noProof/>
          <w:sz w:val="20"/>
          <w:szCs w:val="20"/>
        </w:rPr>
      </w:pPr>
      <w:r w:rsidRPr="005C75DF">
        <w:rPr>
          <w:rFonts w:ascii="Times New Roman" w:eastAsia="Times New Roman" w:hAnsi="Times New Roman" w:cs="Times New Roman"/>
          <w:iCs/>
          <w:noProof/>
          <w:sz w:val="20"/>
          <w:szCs w:val="20"/>
          <w:lang w:val="en-GB"/>
        </w:rPr>
        <w:t>Investitiile de la nivelul oraselor vor fi selectate pentru finantare in baza unui apel competitiv la nivel regional</w:t>
      </w:r>
    </w:p>
    <w:p w:rsidR="009A6765" w:rsidRPr="0000318B" w:rsidRDefault="009A6765" w:rsidP="009A6765">
      <w:pPr>
        <w:spacing w:before="120" w:after="120" w:line="360" w:lineRule="auto"/>
        <w:jc w:val="both"/>
        <w:rPr>
          <w:rFonts w:ascii="Times New Roman" w:eastAsia="Times New Roman" w:hAnsi="Times New Roman" w:cs="Times New Roman"/>
          <w:i/>
          <w:noProof/>
          <w:sz w:val="20"/>
          <w:szCs w:val="20"/>
          <w:lang w:val="en-GB"/>
        </w:rPr>
      </w:pPr>
      <w:r w:rsidRPr="0000318B">
        <w:rPr>
          <w:rFonts w:ascii="Times New Roman" w:eastAsia="Times New Roman" w:hAnsi="Times New Roman" w:cs="Times New Roman"/>
          <w:i/>
          <w:noProof/>
          <w:sz w:val="20"/>
          <w:szCs w:val="20"/>
          <w:lang w:val="en-GB"/>
        </w:rPr>
        <w:t>The interregional and transnational actions  –Article – 17(3)(d)(v)</w:t>
      </w:r>
    </w:p>
    <w:p w:rsidR="009A6765" w:rsidRPr="0000318B" w:rsidRDefault="009A6765" w:rsidP="009A6765">
      <w:pPr>
        <w:pStyle w:val="Default"/>
        <w:jc w:val="both"/>
        <w:rPr>
          <w:rFonts w:ascii="Times New Roman" w:hAnsi="Times New Roman" w:cs="Times New Roman"/>
          <w:i/>
          <w:color w:val="1F497D" w:themeColor="text2"/>
          <w:sz w:val="20"/>
          <w:szCs w:val="20"/>
          <w:lang w:val="ro-RO"/>
        </w:rPr>
      </w:pPr>
      <w:r w:rsidRPr="0000318B">
        <w:rPr>
          <w:rFonts w:ascii="Times New Roman" w:hAnsi="Times New Roman" w:cs="Times New Roman"/>
          <w:i/>
          <w:color w:val="1F497D" w:themeColor="text2"/>
          <w:sz w:val="20"/>
          <w:szCs w:val="20"/>
          <w:lang w:val="ro-RO"/>
        </w:rPr>
        <w:t xml:space="preserve">Articolul 17(3)(d ) Fiecare program stabilește pentru fiecare obiectiv specific: </w:t>
      </w:r>
    </w:p>
    <w:p w:rsidR="009A6765" w:rsidRPr="0000318B" w:rsidRDefault="009A6765" w:rsidP="009A6765">
      <w:pPr>
        <w:pStyle w:val="Default"/>
        <w:ind w:left="-142"/>
        <w:jc w:val="both"/>
        <w:rPr>
          <w:rFonts w:ascii="Times New Roman" w:hAnsi="Times New Roman" w:cs="Times New Roman"/>
          <w:i/>
          <w:color w:val="1F497D" w:themeColor="text2"/>
          <w:sz w:val="20"/>
          <w:szCs w:val="20"/>
          <w:lang w:val="ro-RO"/>
        </w:rPr>
      </w:pPr>
      <w:r w:rsidRPr="0000318B">
        <w:rPr>
          <w:rFonts w:ascii="Times New Roman" w:hAnsi="Times New Roman" w:cs="Times New Roman"/>
          <w:i/>
          <w:color w:val="1F497D" w:themeColor="text2"/>
          <w:sz w:val="20"/>
          <w:szCs w:val="20"/>
          <w:lang w:val="ro-RO"/>
        </w:rPr>
        <w:t xml:space="preserve"> (v) acțiunile interregionale și transnaționale ai căror beneficiari se află în cel puțin un alt stat membru; </w:t>
      </w:r>
    </w:p>
    <w:p w:rsidR="009A6765" w:rsidRDefault="009A6765" w:rsidP="009A6765">
      <w:pPr>
        <w:pBdr>
          <w:top w:val="single" w:sz="4" w:space="0"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iCs/>
          <w:noProof/>
          <w:sz w:val="20"/>
          <w:szCs w:val="20"/>
          <w:lang w:val="en-GB"/>
        </w:rPr>
      </w:pPr>
      <w:r w:rsidRPr="0000318B">
        <w:rPr>
          <w:rFonts w:ascii="Times New Roman" w:eastAsia="Times New Roman" w:hAnsi="Times New Roman" w:cs="Times New Roman"/>
          <w:i/>
          <w:iCs/>
          <w:noProof/>
          <w:sz w:val="20"/>
          <w:szCs w:val="20"/>
          <w:lang w:val="en-GB"/>
        </w:rPr>
        <w:t>Text field [2 000]</w:t>
      </w:r>
    </w:p>
    <w:p w:rsidR="009A6765" w:rsidRPr="005C75DF" w:rsidRDefault="009A6765" w:rsidP="005C75DF">
      <w:pPr>
        <w:pBdr>
          <w:top w:val="single" w:sz="4" w:space="0"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Cs/>
          <w:noProof/>
          <w:sz w:val="20"/>
          <w:szCs w:val="20"/>
          <w:lang w:val="en-GB"/>
        </w:rPr>
      </w:pPr>
      <w:r w:rsidRPr="005C75DF">
        <w:rPr>
          <w:rFonts w:ascii="Times New Roman" w:eastAsia="Times New Roman" w:hAnsi="Times New Roman" w:cs="Times New Roman"/>
          <w:iCs/>
          <w:noProof/>
          <w:sz w:val="20"/>
          <w:szCs w:val="20"/>
          <w:lang w:val="en-GB"/>
        </w:rPr>
        <w:t>Acțiunile</w:t>
      </w:r>
      <w:r w:rsidRPr="005C75DF">
        <w:rPr>
          <w:rFonts w:ascii="Times New Roman" w:eastAsia="Times New Roman" w:hAnsi="Times New Roman" w:cs="Times New Roman"/>
          <w:iCs/>
          <w:noProof/>
          <w:sz w:val="20"/>
          <w:szCs w:val="20"/>
        </w:rPr>
        <w:t xml:space="preserve"> propuse se referă la măsuri concrete de investiții, în sinergie cu proiectele de cooperare interregională și transnațională implementate la nivel regional. Coordonarea orizontală între POR Centru 21/27 și Programele de Cooperare Teritorială se va realiza la nivel de grupuri regionale. </w:t>
      </w:r>
    </w:p>
    <w:p w:rsidR="009A6765" w:rsidRPr="005C75DF" w:rsidRDefault="009A6765" w:rsidP="005C75DF">
      <w:pPr>
        <w:spacing w:after="0" w:line="240" w:lineRule="auto"/>
        <w:rPr>
          <w:rFonts w:ascii="Times New Roman" w:eastAsia="Times New Roman" w:hAnsi="Times New Roman" w:cs="Times New Roman"/>
          <w:b/>
          <w:iCs/>
          <w:noProof/>
          <w:sz w:val="20"/>
          <w:szCs w:val="20"/>
          <w:lang w:val="en-GB"/>
        </w:rPr>
      </w:pPr>
      <w:r w:rsidRPr="005C75DF">
        <w:rPr>
          <w:rFonts w:ascii="Times New Roman" w:eastAsia="Times New Roman" w:hAnsi="Times New Roman" w:cs="Times New Roman"/>
          <w:noProof/>
          <w:sz w:val="20"/>
          <w:szCs w:val="20"/>
          <w:lang w:val="en-GB"/>
        </w:rPr>
        <w:t>The planned use of financial instruments – Article – 17(3)(d)(vi)</w:t>
      </w:r>
    </w:p>
    <w:p w:rsidR="009A6765" w:rsidRDefault="009A6765" w:rsidP="009A6765">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iCs/>
          <w:noProof/>
          <w:sz w:val="20"/>
          <w:szCs w:val="20"/>
          <w:lang w:val="en-GB"/>
        </w:rPr>
      </w:pPr>
      <w:r w:rsidRPr="0000318B">
        <w:rPr>
          <w:rFonts w:ascii="Times New Roman" w:eastAsia="Times New Roman" w:hAnsi="Times New Roman" w:cs="Times New Roman"/>
          <w:i/>
          <w:iCs/>
          <w:noProof/>
          <w:sz w:val="20"/>
          <w:szCs w:val="20"/>
          <w:lang w:val="en-GB"/>
        </w:rPr>
        <w:t>Text field [1 000]</w:t>
      </w:r>
    </w:p>
    <w:p w:rsidR="009A6765" w:rsidRPr="0000318B" w:rsidRDefault="009A6765" w:rsidP="009A6765">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iCs/>
          <w:noProof/>
          <w:sz w:val="20"/>
          <w:szCs w:val="20"/>
          <w:lang w:val="en-GB"/>
        </w:rPr>
      </w:pPr>
      <w:r>
        <w:rPr>
          <w:rFonts w:ascii="Times New Roman" w:eastAsia="Times New Roman" w:hAnsi="Times New Roman" w:cs="Times New Roman"/>
          <w:i/>
          <w:iCs/>
          <w:noProof/>
          <w:sz w:val="20"/>
          <w:szCs w:val="20"/>
          <w:lang w:val="en-GB"/>
        </w:rPr>
        <w:t>Not applicable.</w:t>
      </w:r>
    </w:p>
    <w:p w:rsidR="009A6765" w:rsidRPr="0000318B" w:rsidRDefault="009A6765" w:rsidP="009A6765">
      <w:pPr>
        <w:spacing w:after="0" w:line="240" w:lineRule="auto"/>
        <w:rPr>
          <w:rFonts w:ascii="Times New Roman" w:hAnsi="Times New Roman" w:cs="Times New Roman"/>
          <w:b/>
          <w:iCs/>
          <w:sz w:val="20"/>
          <w:szCs w:val="20"/>
          <w:lang w:val="en-GB"/>
        </w:rPr>
        <w:sectPr w:rsidR="009A6765" w:rsidRPr="0000318B" w:rsidSect="00F000AD">
          <w:pgSz w:w="11906" w:h="16838"/>
          <w:pgMar w:top="1134" w:right="1134" w:bottom="1134" w:left="1134" w:header="567" w:footer="567" w:gutter="0"/>
          <w:cols w:space="720"/>
          <w:docGrid w:linePitch="326"/>
        </w:sectPr>
      </w:pPr>
    </w:p>
    <w:p w:rsidR="009A6765" w:rsidRPr="0000318B" w:rsidRDefault="009A6765" w:rsidP="009A6765">
      <w:pPr>
        <w:spacing w:after="0" w:line="240" w:lineRule="auto"/>
        <w:rPr>
          <w:rFonts w:ascii="Times New Roman" w:hAnsi="Times New Roman" w:cs="Times New Roman"/>
          <w:b/>
          <w:iCs/>
          <w:sz w:val="20"/>
          <w:szCs w:val="20"/>
          <w:lang w:val="en-GB"/>
        </w:rPr>
      </w:pPr>
      <w:r w:rsidRPr="0000318B">
        <w:rPr>
          <w:rFonts w:ascii="Times New Roman" w:hAnsi="Times New Roman" w:cs="Times New Roman"/>
          <w:b/>
          <w:iCs/>
          <w:sz w:val="20"/>
          <w:szCs w:val="20"/>
          <w:lang w:val="en-GB"/>
        </w:rPr>
        <w:lastRenderedPageBreak/>
        <w:t>2.A.3.2 Indicators</w:t>
      </w:r>
    </w:p>
    <w:p w:rsidR="009A6765" w:rsidRPr="0000318B" w:rsidRDefault="009A6765" w:rsidP="009A6765">
      <w:pPr>
        <w:spacing w:after="0" w:line="240" w:lineRule="auto"/>
        <w:rPr>
          <w:rFonts w:ascii="Times New Roman" w:hAnsi="Times New Roman" w:cs="Times New Roman"/>
          <w:b/>
          <w:bCs/>
          <w:i/>
          <w:sz w:val="20"/>
          <w:szCs w:val="20"/>
          <w:u w:val="single"/>
          <w:lang w:val="en-GB"/>
        </w:rPr>
      </w:pPr>
      <w:r w:rsidRPr="0000318B">
        <w:rPr>
          <w:rFonts w:ascii="Times New Roman" w:hAnsi="Times New Roman" w:cs="Times New Roman"/>
          <w:i/>
          <w:sz w:val="20"/>
          <w:szCs w:val="20"/>
          <w:lang w:val="en-GB"/>
        </w:rPr>
        <w:t xml:space="preserve">Reference: Article 17(3)(d)(ii) CPR </w:t>
      </w:r>
    </w:p>
    <w:tbl>
      <w:tblPr>
        <w:tblW w:w="53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0"/>
        <w:gridCol w:w="2834"/>
        <w:gridCol w:w="1241"/>
        <w:gridCol w:w="1086"/>
        <w:gridCol w:w="763"/>
        <w:gridCol w:w="2090"/>
        <w:gridCol w:w="1000"/>
        <w:gridCol w:w="3967"/>
        <w:gridCol w:w="2159"/>
      </w:tblGrid>
      <w:tr w:rsidR="009A6765" w:rsidRPr="0000318B" w:rsidTr="009A6765">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rsidR="009A6765" w:rsidRPr="0000318B" w:rsidRDefault="009A6765" w:rsidP="009A6765">
            <w:pPr>
              <w:spacing w:after="0" w:line="240" w:lineRule="auto"/>
              <w:rPr>
                <w:rFonts w:ascii="Times New Roman" w:hAnsi="Times New Roman" w:cs="Times New Roman"/>
                <w:b/>
                <w:sz w:val="20"/>
                <w:szCs w:val="20"/>
                <w:lang w:val="en-US"/>
              </w:rPr>
            </w:pPr>
            <w:r w:rsidRPr="0000318B">
              <w:rPr>
                <w:rFonts w:ascii="Times New Roman" w:hAnsi="Times New Roman" w:cs="Times New Roman"/>
                <w:b/>
                <w:iCs/>
                <w:sz w:val="20"/>
                <w:szCs w:val="20"/>
                <w:lang w:val="en-US"/>
              </w:rPr>
              <w:t>Table 2: Output indicators</w:t>
            </w:r>
          </w:p>
        </w:tc>
      </w:tr>
      <w:tr w:rsidR="009A6765" w:rsidRPr="0000318B" w:rsidTr="009A6765">
        <w:trPr>
          <w:trHeight w:val="1647"/>
        </w:trPr>
        <w:tc>
          <w:tcPr>
            <w:tcW w:w="218" w:type="pct"/>
            <w:tcBorders>
              <w:top w:val="single" w:sz="4" w:space="0" w:color="auto"/>
              <w:left w:val="single" w:sz="4" w:space="0" w:color="auto"/>
              <w:bottom w:val="single" w:sz="4" w:space="0" w:color="auto"/>
              <w:right w:val="single" w:sz="4" w:space="0" w:color="auto"/>
            </w:tcBorders>
            <w:hideMark/>
          </w:tcPr>
          <w:p w:rsidR="009A6765" w:rsidRPr="0000318B" w:rsidRDefault="009A6765" w:rsidP="009A6765">
            <w:pPr>
              <w:spacing w:after="0" w:line="240" w:lineRule="auto"/>
              <w:rPr>
                <w:rFonts w:ascii="Times New Roman" w:hAnsi="Times New Roman" w:cs="Times New Roman"/>
                <w:b/>
                <w:sz w:val="20"/>
                <w:szCs w:val="20"/>
                <w:lang w:val="en-US"/>
              </w:rPr>
            </w:pPr>
            <w:r w:rsidRPr="0000318B">
              <w:rPr>
                <w:rFonts w:ascii="Times New Roman" w:hAnsi="Times New Roman" w:cs="Times New Roman"/>
                <w:b/>
                <w:sz w:val="20"/>
                <w:szCs w:val="20"/>
                <w:lang w:val="en-US"/>
              </w:rPr>
              <w:t xml:space="preserve">Priority </w:t>
            </w:r>
          </w:p>
        </w:tc>
        <w:tc>
          <w:tcPr>
            <w:tcW w:w="895" w:type="pct"/>
            <w:tcBorders>
              <w:top w:val="single" w:sz="4" w:space="0" w:color="auto"/>
              <w:left w:val="single" w:sz="4" w:space="0" w:color="auto"/>
              <w:bottom w:val="single" w:sz="4" w:space="0" w:color="auto"/>
              <w:right w:val="single" w:sz="4" w:space="0" w:color="auto"/>
            </w:tcBorders>
            <w:hideMark/>
          </w:tcPr>
          <w:p w:rsidR="009A6765" w:rsidRPr="0000318B" w:rsidRDefault="009A6765" w:rsidP="009A6765">
            <w:pPr>
              <w:spacing w:after="0" w:line="240" w:lineRule="auto"/>
              <w:rPr>
                <w:rFonts w:ascii="Times New Roman" w:hAnsi="Times New Roman" w:cs="Times New Roman"/>
                <w:b/>
                <w:sz w:val="20"/>
                <w:szCs w:val="20"/>
                <w:lang w:val="en-US"/>
              </w:rPr>
            </w:pPr>
            <w:r w:rsidRPr="0000318B">
              <w:rPr>
                <w:rFonts w:ascii="Times New Roman" w:hAnsi="Times New Roman" w:cs="Times New Roman"/>
                <w:b/>
                <w:sz w:val="20"/>
                <w:szCs w:val="20"/>
                <w:lang w:val="en-US"/>
              </w:rPr>
              <w:t>Specific objective (Investment for Jobs and Growth goal or EMFF)</w:t>
            </w:r>
          </w:p>
        </w:tc>
        <w:tc>
          <w:tcPr>
            <w:tcW w:w="392" w:type="pct"/>
            <w:tcBorders>
              <w:top w:val="single" w:sz="4" w:space="0" w:color="auto"/>
              <w:left w:val="single" w:sz="4" w:space="0" w:color="auto"/>
              <w:bottom w:val="single" w:sz="4" w:space="0" w:color="auto"/>
              <w:right w:val="single" w:sz="4" w:space="0" w:color="auto"/>
            </w:tcBorders>
            <w:hideMark/>
          </w:tcPr>
          <w:p w:rsidR="009A6765" w:rsidRPr="0000318B" w:rsidRDefault="009A6765" w:rsidP="009A6765">
            <w:pPr>
              <w:spacing w:after="0" w:line="240" w:lineRule="auto"/>
              <w:rPr>
                <w:rFonts w:ascii="Times New Roman" w:hAnsi="Times New Roman" w:cs="Times New Roman"/>
                <w:b/>
                <w:sz w:val="20"/>
                <w:szCs w:val="20"/>
                <w:lang w:val="en-US"/>
              </w:rPr>
            </w:pPr>
            <w:r w:rsidRPr="0000318B">
              <w:rPr>
                <w:rFonts w:ascii="Times New Roman" w:hAnsi="Times New Roman" w:cs="Times New Roman"/>
                <w:b/>
                <w:sz w:val="20"/>
                <w:szCs w:val="20"/>
                <w:lang w:val="en-US"/>
              </w:rPr>
              <w:t>Fund</w:t>
            </w:r>
          </w:p>
        </w:tc>
        <w:tc>
          <w:tcPr>
            <w:tcW w:w="343" w:type="pct"/>
            <w:tcBorders>
              <w:top w:val="single" w:sz="4" w:space="0" w:color="auto"/>
              <w:left w:val="single" w:sz="4" w:space="0" w:color="auto"/>
              <w:bottom w:val="single" w:sz="4" w:space="0" w:color="auto"/>
              <w:right w:val="single" w:sz="4" w:space="0" w:color="auto"/>
            </w:tcBorders>
            <w:hideMark/>
          </w:tcPr>
          <w:p w:rsidR="009A6765" w:rsidRPr="0000318B" w:rsidRDefault="009A6765" w:rsidP="009A6765">
            <w:pPr>
              <w:spacing w:after="0" w:line="240" w:lineRule="auto"/>
              <w:rPr>
                <w:rFonts w:ascii="Times New Roman" w:hAnsi="Times New Roman" w:cs="Times New Roman"/>
                <w:b/>
                <w:sz w:val="20"/>
                <w:szCs w:val="20"/>
                <w:lang w:val="en-US"/>
              </w:rPr>
            </w:pPr>
            <w:r w:rsidRPr="0000318B">
              <w:rPr>
                <w:rFonts w:ascii="Times New Roman" w:hAnsi="Times New Roman" w:cs="Times New Roman"/>
                <w:b/>
                <w:sz w:val="20"/>
                <w:szCs w:val="20"/>
                <w:lang w:val="en-US"/>
              </w:rPr>
              <w:t>Category of region</w:t>
            </w:r>
          </w:p>
        </w:tc>
        <w:tc>
          <w:tcPr>
            <w:tcW w:w="241" w:type="pct"/>
            <w:tcBorders>
              <w:top w:val="single" w:sz="4" w:space="0" w:color="auto"/>
              <w:left w:val="single" w:sz="4" w:space="0" w:color="auto"/>
              <w:bottom w:val="single" w:sz="4" w:space="0" w:color="auto"/>
              <w:right w:val="single" w:sz="4" w:space="0" w:color="auto"/>
            </w:tcBorders>
            <w:hideMark/>
          </w:tcPr>
          <w:p w:rsidR="009A6765" w:rsidRPr="0000318B" w:rsidRDefault="009A6765" w:rsidP="009A6765">
            <w:pPr>
              <w:spacing w:after="0" w:line="240" w:lineRule="auto"/>
              <w:jc w:val="center"/>
              <w:rPr>
                <w:rFonts w:ascii="Times New Roman" w:hAnsi="Times New Roman" w:cs="Times New Roman"/>
                <w:b/>
                <w:sz w:val="20"/>
                <w:szCs w:val="20"/>
                <w:lang w:val="en-US"/>
              </w:rPr>
            </w:pPr>
            <w:r w:rsidRPr="0000318B">
              <w:rPr>
                <w:rFonts w:ascii="Times New Roman" w:hAnsi="Times New Roman" w:cs="Times New Roman"/>
                <w:b/>
                <w:sz w:val="20"/>
                <w:szCs w:val="20"/>
                <w:lang w:val="en-US"/>
              </w:rPr>
              <w:t>ID [5]</w:t>
            </w:r>
          </w:p>
        </w:tc>
        <w:tc>
          <w:tcPr>
            <w:tcW w:w="660" w:type="pct"/>
            <w:tcBorders>
              <w:top w:val="single" w:sz="4" w:space="0" w:color="auto"/>
              <w:left w:val="single" w:sz="4" w:space="0" w:color="auto"/>
              <w:bottom w:val="single" w:sz="4" w:space="0" w:color="auto"/>
              <w:right w:val="single" w:sz="4" w:space="0" w:color="auto"/>
            </w:tcBorders>
            <w:hideMark/>
          </w:tcPr>
          <w:p w:rsidR="009A6765" w:rsidRPr="0000318B" w:rsidRDefault="009A6765" w:rsidP="009A6765">
            <w:pPr>
              <w:spacing w:after="0" w:line="240" w:lineRule="auto"/>
              <w:rPr>
                <w:rFonts w:ascii="Times New Roman" w:hAnsi="Times New Roman" w:cs="Times New Roman"/>
                <w:b/>
                <w:sz w:val="20"/>
                <w:szCs w:val="20"/>
                <w:lang w:val="en-US"/>
              </w:rPr>
            </w:pPr>
            <w:r w:rsidRPr="0000318B">
              <w:rPr>
                <w:rFonts w:ascii="Times New Roman" w:hAnsi="Times New Roman" w:cs="Times New Roman"/>
                <w:b/>
                <w:sz w:val="20"/>
                <w:szCs w:val="20"/>
                <w:lang w:val="en-US"/>
              </w:rPr>
              <w:t xml:space="preserve">Indicator [255] </w:t>
            </w:r>
          </w:p>
        </w:tc>
        <w:tc>
          <w:tcPr>
            <w:tcW w:w="316" w:type="pct"/>
            <w:tcBorders>
              <w:top w:val="single" w:sz="4" w:space="0" w:color="auto"/>
              <w:left w:val="single" w:sz="4" w:space="0" w:color="auto"/>
              <w:bottom w:val="single" w:sz="4" w:space="0" w:color="auto"/>
              <w:right w:val="single" w:sz="4" w:space="0" w:color="auto"/>
            </w:tcBorders>
            <w:hideMark/>
          </w:tcPr>
          <w:p w:rsidR="009A6765" w:rsidRPr="0000318B" w:rsidRDefault="009A6765" w:rsidP="009A6765">
            <w:pPr>
              <w:spacing w:after="0" w:line="240" w:lineRule="auto"/>
              <w:rPr>
                <w:rFonts w:ascii="Times New Roman" w:hAnsi="Times New Roman" w:cs="Times New Roman"/>
                <w:b/>
                <w:sz w:val="20"/>
                <w:szCs w:val="20"/>
                <w:lang w:val="en-US"/>
              </w:rPr>
            </w:pPr>
            <w:r w:rsidRPr="0000318B">
              <w:rPr>
                <w:rFonts w:ascii="Times New Roman" w:hAnsi="Times New Roman" w:cs="Times New Roman"/>
                <w:b/>
                <w:sz w:val="20"/>
                <w:szCs w:val="20"/>
                <w:lang w:val="en-US"/>
              </w:rPr>
              <w:t>Measurement unit</w:t>
            </w:r>
          </w:p>
        </w:tc>
        <w:tc>
          <w:tcPr>
            <w:tcW w:w="1253" w:type="pct"/>
            <w:tcBorders>
              <w:top w:val="single" w:sz="4" w:space="0" w:color="auto"/>
              <w:left w:val="single" w:sz="4" w:space="0" w:color="auto"/>
              <w:bottom w:val="single" w:sz="4" w:space="0" w:color="auto"/>
              <w:right w:val="single" w:sz="4" w:space="0" w:color="auto"/>
            </w:tcBorders>
          </w:tcPr>
          <w:p w:rsidR="009A6765" w:rsidRPr="0000318B" w:rsidRDefault="009A6765" w:rsidP="009A6765">
            <w:pPr>
              <w:spacing w:after="0" w:line="240" w:lineRule="auto"/>
              <w:rPr>
                <w:rFonts w:ascii="Times New Roman" w:hAnsi="Times New Roman" w:cs="Times New Roman"/>
                <w:b/>
                <w:sz w:val="20"/>
                <w:szCs w:val="20"/>
                <w:lang w:val="en-US"/>
              </w:rPr>
            </w:pPr>
            <w:r w:rsidRPr="0000318B">
              <w:rPr>
                <w:rFonts w:ascii="Times New Roman" w:hAnsi="Times New Roman" w:cs="Times New Roman"/>
                <w:b/>
                <w:sz w:val="20"/>
                <w:szCs w:val="20"/>
                <w:lang w:val="en-US"/>
              </w:rPr>
              <w:t>Milestone (2024)</w:t>
            </w:r>
          </w:p>
          <w:p w:rsidR="009A6765" w:rsidRPr="0000318B" w:rsidRDefault="009A6765" w:rsidP="009A6765">
            <w:pPr>
              <w:spacing w:after="0" w:line="240" w:lineRule="auto"/>
              <w:rPr>
                <w:rFonts w:ascii="Times New Roman" w:hAnsi="Times New Roman" w:cs="Times New Roman"/>
                <w:b/>
                <w:sz w:val="20"/>
                <w:szCs w:val="20"/>
                <w:lang w:val="en-US"/>
              </w:rPr>
            </w:pPr>
          </w:p>
        </w:tc>
        <w:tc>
          <w:tcPr>
            <w:tcW w:w="682" w:type="pct"/>
            <w:tcBorders>
              <w:top w:val="single" w:sz="4" w:space="0" w:color="auto"/>
              <w:left w:val="single" w:sz="4" w:space="0" w:color="auto"/>
              <w:bottom w:val="single" w:sz="4" w:space="0" w:color="auto"/>
              <w:right w:val="single" w:sz="4" w:space="0" w:color="auto"/>
            </w:tcBorders>
          </w:tcPr>
          <w:p w:rsidR="009A6765" w:rsidRPr="0000318B" w:rsidRDefault="009A6765" w:rsidP="009A6765">
            <w:pPr>
              <w:spacing w:after="0" w:line="240" w:lineRule="auto"/>
              <w:rPr>
                <w:rFonts w:ascii="Times New Roman" w:hAnsi="Times New Roman" w:cs="Times New Roman"/>
                <w:b/>
                <w:sz w:val="20"/>
                <w:szCs w:val="20"/>
                <w:lang w:val="en-US"/>
              </w:rPr>
            </w:pPr>
            <w:r w:rsidRPr="0000318B">
              <w:rPr>
                <w:rFonts w:ascii="Times New Roman" w:hAnsi="Times New Roman" w:cs="Times New Roman"/>
                <w:b/>
                <w:sz w:val="20"/>
                <w:szCs w:val="20"/>
                <w:lang w:val="en-US"/>
              </w:rPr>
              <w:t>Target (2029)</w:t>
            </w:r>
          </w:p>
          <w:p w:rsidR="009A6765" w:rsidRPr="0000318B" w:rsidRDefault="009A6765" w:rsidP="009A6765">
            <w:pPr>
              <w:spacing w:after="0" w:line="240" w:lineRule="auto"/>
              <w:rPr>
                <w:rFonts w:ascii="Times New Roman" w:hAnsi="Times New Roman" w:cs="Times New Roman"/>
                <w:b/>
                <w:sz w:val="20"/>
                <w:szCs w:val="20"/>
                <w:lang w:val="en-US"/>
              </w:rPr>
            </w:pPr>
          </w:p>
        </w:tc>
      </w:tr>
      <w:tr w:rsidR="007C1415" w:rsidRPr="0000318B" w:rsidTr="009A6765">
        <w:trPr>
          <w:trHeight w:val="340"/>
        </w:trPr>
        <w:tc>
          <w:tcPr>
            <w:tcW w:w="218" w:type="pct"/>
            <w:tcBorders>
              <w:top w:val="single" w:sz="4" w:space="0" w:color="auto"/>
              <w:left w:val="single" w:sz="4" w:space="0" w:color="auto"/>
              <w:bottom w:val="single" w:sz="4" w:space="0" w:color="auto"/>
              <w:right w:val="single" w:sz="4" w:space="0" w:color="auto"/>
            </w:tcBorders>
          </w:tcPr>
          <w:p w:rsidR="007C1415" w:rsidRPr="0000318B" w:rsidRDefault="007C1415" w:rsidP="007C1415">
            <w:pPr>
              <w:spacing w:after="0" w:line="240" w:lineRule="auto"/>
              <w:jc w:val="both"/>
              <w:rPr>
                <w:rFonts w:ascii="Times New Roman" w:hAnsi="Times New Roman" w:cs="Times New Roman"/>
                <w:sz w:val="20"/>
                <w:szCs w:val="20"/>
              </w:rPr>
            </w:pPr>
            <w:r w:rsidRPr="0000318B">
              <w:rPr>
                <w:rFonts w:ascii="Times New Roman" w:hAnsi="Times New Roman" w:cs="Times New Roman"/>
                <w:sz w:val="20"/>
                <w:szCs w:val="20"/>
              </w:rPr>
              <w:t>3.2.</w:t>
            </w:r>
          </w:p>
          <w:p w:rsidR="007C1415" w:rsidRPr="0000318B" w:rsidRDefault="007C1415" w:rsidP="007C1415">
            <w:pPr>
              <w:spacing w:after="0" w:line="240" w:lineRule="auto"/>
              <w:jc w:val="both"/>
              <w:rPr>
                <w:rFonts w:ascii="Times New Roman" w:hAnsi="Times New Roman" w:cs="Times New Roman"/>
                <w:b/>
                <w:i/>
                <w:sz w:val="20"/>
                <w:szCs w:val="20"/>
                <w:lang w:val="en-US"/>
              </w:rPr>
            </w:pPr>
          </w:p>
        </w:tc>
        <w:tc>
          <w:tcPr>
            <w:tcW w:w="895" w:type="pct"/>
            <w:tcBorders>
              <w:top w:val="single" w:sz="4" w:space="0" w:color="auto"/>
              <w:left w:val="single" w:sz="4" w:space="0" w:color="auto"/>
              <w:bottom w:val="single" w:sz="4" w:space="0" w:color="auto"/>
              <w:right w:val="single" w:sz="4" w:space="0" w:color="auto"/>
            </w:tcBorders>
          </w:tcPr>
          <w:p w:rsidR="007C1415" w:rsidRPr="0000318B" w:rsidRDefault="007C1415" w:rsidP="007C1415">
            <w:pPr>
              <w:spacing w:after="0" w:line="240" w:lineRule="auto"/>
              <w:jc w:val="center"/>
              <w:rPr>
                <w:rFonts w:ascii="Times New Roman" w:hAnsi="Times New Roman" w:cs="Times New Roman"/>
                <w:i/>
                <w:sz w:val="20"/>
                <w:szCs w:val="20"/>
                <w:lang w:val="en-US"/>
              </w:rPr>
            </w:pPr>
            <w:r w:rsidRPr="0000318B">
              <w:rPr>
                <w:rFonts w:ascii="Times New Roman" w:hAnsi="Times New Roman" w:cs="Times New Roman"/>
                <w:i/>
                <w:sz w:val="20"/>
                <w:szCs w:val="20"/>
                <w:lang w:val="en-US"/>
              </w:rPr>
              <w:t>SO 3.b (vii) Îmbunătățirea protecției naturii și a biodiversității, a infrastructurii verzi în special în mediul urban și reducerea poluării</w:t>
            </w:r>
          </w:p>
          <w:p w:rsidR="007C1415" w:rsidRPr="0000318B" w:rsidRDefault="007C1415" w:rsidP="007C1415">
            <w:pPr>
              <w:spacing w:after="0" w:line="240" w:lineRule="auto"/>
              <w:jc w:val="center"/>
              <w:rPr>
                <w:rFonts w:ascii="Times New Roman" w:hAnsi="Times New Roman" w:cs="Times New Roman"/>
                <w:i/>
                <w:sz w:val="20"/>
                <w:szCs w:val="20"/>
                <w:lang w:val="en-US"/>
              </w:rPr>
            </w:pPr>
          </w:p>
          <w:p w:rsidR="007C1415" w:rsidRPr="0000318B" w:rsidRDefault="007C1415" w:rsidP="007C1415">
            <w:pPr>
              <w:spacing w:after="0" w:line="240" w:lineRule="auto"/>
              <w:jc w:val="center"/>
              <w:rPr>
                <w:rFonts w:ascii="Times New Roman" w:hAnsi="Times New Roman" w:cs="Times New Roman"/>
                <w:b/>
                <w:i/>
                <w:sz w:val="20"/>
                <w:szCs w:val="20"/>
                <w:lang w:val="en-US"/>
              </w:rPr>
            </w:pPr>
          </w:p>
        </w:tc>
        <w:tc>
          <w:tcPr>
            <w:tcW w:w="392" w:type="pct"/>
            <w:tcBorders>
              <w:top w:val="single" w:sz="4" w:space="0" w:color="auto"/>
              <w:left w:val="single" w:sz="4" w:space="0" w:color="auto"/>
              <w:bottom w:val="single" w:sz="4" w:space="0" w:color="auto"/>
              <w:right w:val="single" w:sz="4" w:space="0" w:color="auto"/>
            </w:tcBorders>
          </w:tcPr>
          <w:p w:rsidR="007C1415" w:rsidRPr="00D50A9D" w:rsidRDefault="007C1415" w:rsidP="007C1415">
            <w:pPr>
              <w:spacing w:after="0" w:line="240" w:lineRule="auto"/>
              <w:jc w:val="both"/>
              <w:rPr>
                <w:rFonts w:ascii="Times New Roman" w:hAnsi="Times New Roman" w:cs="Times New Roman"/>
                <w:sz w:val="20"/>
                <w:szCs w:val="20"/>
                <w:lang w:val="en-US"/>
              </w:rPr>
            </w:pPr>
            <w:r w:rsidRPr="00D50A9D">
              <w:rPr>
                <w:rFonts w:ascii="Times New Roman" w:hAnsi="Times New Roman" w:cs="Times New Roman"/>
                <w:sz w:val="20"/>
                <w:szCs w:val="20"/>
                <w:lang w:val="en-US"/>
              </w:rPr>
              <w:t>FEDR</w:t>
            </w:r>
          </w:p>
        </w:tc>
        <w:tc>
          <w:tcPr>
            <w:tcW w:w="343" w:type="pct"/>
            <w:tcBorders>
              <w:top w:val="single" w:sz="4" w:space="0" w:color="auto"/>
              <w:left w:val="single" w:sz="4" w:space="0" w:color="auto"/>
              <w:bottom w:val="single" w:sz="4" w:space="0" w:color="auto"/>
              <w:right w:val="single" w:sz="4" w:space="0" w:color="auto"/>
            </w:tcBorders>
          </w:tcPr>
          <w:p w:rsidR="007C1415" w:rsidRPr="00D50A9D" w:rsidRDefault="007C1415" w:rsidP="007C1415">
            <w:pPr>
              <w:spacing w:after="0" w:line="240" w:lineRule="auto"/>
              <w:jc w:val="center"/>
              <w:rPr>
                <w:rFonts w:ascii="Times New Roman" w:hAnsi="Times New Roman" w:cs="Times New Roman"/>
                <w:sz w:val="20"/>
                <w:szCs w:val="20"/>
                <w:lang w:val="en-US"/>
              </w:rPr>
            </w:pPr>
            <w:r w:rsidRPr="00D50A9D">
              <w:rPr>
                <w:rFonts w:ascii="Times New Roman" w:hAnsi="Times New Roman" w:cs="Times New Roman"/>
                <w:sz w:val="20"/>
                <w:szCs w:val="20"/>
                <w:lang w:val="en-US"/>
              </w:rPr>
              <w:t xml:space="preserve">Mai puțin dezvoltată </w:t>
            </w:r>
          </w:p>
        </w:tc>
        <w:tc>
          <w:tcPr>
            <w:tcW w:w="241" w:type="pct"/>
            <w:tcBorders>
              <w:top w:val="single" w:sz="4" w:space="0" w:color="auto"/>
              <w:left w:val="single" w:sz="4" w:space="0" w:color="auto"/>
              <w:bottom w:val="single" w:sz="4" w:space="0" w:color="auto"/>
              <w:right w:val="single" w:sz="4" w:space="0" w:color="auto"/>
            </w:tcBorders>
          </w:tcPr>
          <w:p w:rsidR="007C1415" w:rsidRPr="00DE593C" w:rsidRDefault="007C1415" w:rsidP="007C1415">
            <w:pPr>
              <w:spacing w:after="0" w:line="240" w:lineRule="auto"/>
              <w:jc w:val="center"/>
              <w:rPr>
                <w:rFonts w:ascii="Times New Roman" w:hAnsi="Times New Roman" w:cs="Times New Roman"/>
                <w:noProof/>
                <w:color w:val="000000"/>
                <w:sz w:val="20"/>
                <w:szCs w:val="20"/>
              </w:rPr>
            </w:pPr>
          </w:p>
          <w:p w:rsidR="007C1415" w:rsidRPr="00DE593C" w:rsidRDefault="007C1415" w:rsidP="007C1415">
            <w:pPr>
              <w:spacing w:after="0" w:line="240" w:lineRule="auto"/>
              <w:jc w:val="center"/>
              <w:rPr>
                <w:rFonts w:ascii="Times New Roman" w:hAnsi="Times New Roman" w:cs="Times New Roman"/>
                <w:noProof/>
                <w:color w:val="000000"/>
                <w:sz w:val="20"/>
                <w:szCs w:val="20"/>
              </w:rPr>
            </w:pPr>
          </w:p>
          <w:p w:rsidR="007C1415" w:rsidRPr="00DE593C" w:rsidRDefault="007C1415" w:rsidP="007C1415">
            <w:pPr>
              <w:spacing w:after="0" w:line="240" w:lineRule="auto"/>
              <w:jc w:val="center"/>
              <w:rPr>
                <w:rFonts w:ascii="Times New Roman" w:hAnsi="Times New Roman" w:cs="Times New Roman"/>
                <w:noProof/>
                <w:color w:val="000000"/>
                <w:sz w:val="20"/>
                <w:szCs w:val="20"/>
              </w:rPr>
            </w:pPr>
          </w:p>
          <w:p w:rsidR="007C1415" w:rsidRPr="00DE593C" w:rsidRDefault="007C1415" w:rsidP="007C1415">
            <w:pPr>
              <w:spacing w:after="0" w:line="240" w:lineRule="auto"/>
              <w:jc w:val="center"/>
              <w:rPr>
                <w:rFonts w:ascii="Times New Roman" w:hAnsi="Times New Roman" w:cs="Times New Roman"/>
                <w:noProof/>
                <w:color w:val="000000"/>
                <w:sz w:val="20"/>
                <w:szCs w:val="20"/>
              </w:rPr>
            </w:pPr>
            <w:r w:rsidRPr="00DE593C">
              <w:rPr>
                <w:rFonts w:ascii="Times New Roman" w:hAnsi="Times New Roman" w:cs="Times New Roman"/>
                <w:noProof/>
                <w:color w:val="000000"/>
                <w:sz w:val="20"/>
                <w:szCs w:val="20"/>
              </w:rPr>
              <w:t>RCO 26</w:t>
            </w:r>
          </w:p>
          <w:p w:rsidR="007C1415" w:rsidRPr="00DE593C" w:rsidRDefault="007C1415" w:rsidP="007C1415">
            <w:pPr>
              <w:spacing w:after="0" w:line="240" w:lineRule="auto"/>
              <w:jc w:val="center"/>
              <w:rPr>
                <w:rFonts w:ascii="Times New Roman" w:hAnsi="Times New Roman" w:cs="Times New Roman"/>
                <w:noProof/>
                <w:color w:val="000000"/>
                <w:sz w:val="20"/>
                <w:szCs w:val="20"/>
              </w:rPr>
            </w:pPr>
          </w:p>
          <w:p w:rsidR="007C1415" w:rsidRPr="00DE593C" w:rsidRDefault="007C1415" w:rsidP="007C1415">
            <w:pPr>
              <w:spacing w:after="0" w:line="240" w:lineRule="auto"/>
              <w:jc w:val="center"/>
              <w:rPr>
                <w:rFonts w:ascii="Times New Roman" w:hAnsi="Times New Roman" w:cs="Times New Roman"/>
                <w:noProof/>
                <w:color w:val="000000"/>
                <w:sz w:val="20"/>
                <w:szCs w:val="20"/>
              </w:rPr>
            </w:pPr>
          </w:p>
          <w:p w:rsidR="007C1415" w:rsidRPr="00DE593C" w:rsidRDefault="007C1415" w:rsidP="007C1415">
            <w:pPr>
              <w:spacing w:after="0" w:line="240" w:lineRule="auto"/>
              <w:jc w:val="center"/>
              <w:rPr>
                <w:rFonts w:ascii="Times New Roman" w:hAnsi="Times New Roman" w:cs="Times New Roman"/>
                <w:noProof/>
                <w:color w:val="000000"/>
                <w:sz w:val="20"/>
                <w:szCs w:val="20"/>
              </w:rPr>
            </w:pPr>
          </w:p>
          <w:p w:rsidR="007C1415" w:rsidRPr="00DE593C" w:rsidRDefault="007C1415" w:rsidP="007C1415">
            <w:pPr>
              <w:spacing w:after="0" w:line="240" w:lineRule="auto"/>
              <w:jc w:val="center"/>
              <w:rPr>
                <w:rFonts w:ascii="Times New Roman" w:hAnsi="Times New Roman" w:cs="Times New Roman"/>
                <w:noProof/>
                <w:color w:val="000000"/>
                <w:sz w:val="20"/>
                <w:szCs w:val="20"/>
              </w:rPr>
            </w:pPr>
          </w:p>
          <w:p w:rsidR="007C1415" w:rsidRPr="00DE593C" w:rsidRDefault="007C1415" w:rsidP="007C1415">
            <w:pPr>
              <w:spacing w:after="0" w:line="240" w:lineRule="auto"/>
              <w:jc w:val="center"/>
              <w:rPr>
                <w:rFonts w:ascii="Times New Roman" w:hAnsi="Times New Roman" w:cs="Times New Roman"/>
                <w:noProof/>
                <w:color w:val="000000"/>
                <w:sz w:val="20"/>
                <w:szCs w:val="20"/>
              </w:rPr>
            </w:pPr>
          </w:p>
          <w:p w:rsidR="007C1415" w:rsidRPr="00DE593C" w:rsidRDefault="007C1415" w:rsidP="007C1415">
            <w:pPr>
              <w:spacing w:after="0" w:line="240" w:lineRule="auto"/>
              <w:jc w:val="center"/>
              <w:rPr>
                <w:rFonts w:ascii="Times New Roman" w:hAnsi="Times New Roman" w:cs="Times New Roman"/>
                <w:noProof/>
                <w:color w:val="000000"/>
                <w:sz w:val="20"/>
                <w:szCs w:val="20"/>
              </w:rPr>
            </w:pPr>
          </w:p>
          <w:p w:rsidR="007C1415" w:rsidRPr="00DE593C" w:rsidRDefault="007C1415" w:rsidP="007C1415">
            <w:pPr>
              <w:spacing w:after="0" w:line="240" w:lineRule="auto"/>
              <w:jc w:val="center"/>
              <w:rPr>
                <w:rFonts w:ascii="Times New Roman" w:hAnsi="Times New Roman" w:cs="Times New Roman"/>
                <w:sz w:val="20"/>
                <w:szCs w:val="20"/>
                <w:lang w:val="en-US"/>
              </w:rPr>
            </w:pPr>
          </w:p>
        </w:tc>
        <w:tc>
          <w:tcPr>
            <w:tcW w:w="660" w:type="pct"/>
            <w:tcBorders>
              <w:top w:val="single" w:sz="4" w:space="0" w:color="auto"/>
              <w:left w:val="single" w:sz="4" w:space="0" w:color="auto"/>
              <w:bottom w:val="single" w:sz="4" w:space="0" w:color="auto"/>
              <w:right w:val="single" w:sz="4" w:space="0" w:color="auto"/>
            </w:tcBorders>
          </w:tcPr>
          <w:p w:rsidR="007C1415" w:rsidRPr="00DE593C" w:rsidRDefault="007C1415" w:rsidP="007C1415">
            <w:pPr>
              <w:spacing w:after="0" w:line="240" w:lineRule="auto"/>
              <w:rPr>
                <w:rFonts w:ascii="Times New Roman" w:hAnsi="Times New Roman" w:cs="Times New Roman"/>
                <w:noProof/>
                <w:color w:val="000000"/>
                <w:sz w:val="20"/>
                <w:szCs w:val="20"/>
              </w:rPr>
            </w:pPr>
          </w:p>
          <w:p w:rsidR="007C1415" w:rsidRPr="00DE593C" w:rsidRDefault="007C1415" w:rsidP="007C1415">
            <w:pPr>
              <w:spacing w:after="0" w:line="240" w:lineRule="auto"/>
              <w:rPr>
                <w:rFonts w:ascii="Times New Roman" w:hAnsi="Times New Roman" w:cs="Times New Roman"/>
                <w:sz w:val="20"/>
                <w:szCs w:val="20"/>
                <w:lang w:val="en-US"/>
              </w:rPr>
            </w:pPr>
            <w:r w:rsidRPr="00DE593C">
              <w:rPr>
                <w:rFonts w:ascii="Times New Roman" w:hAnsi="Times New Roman" w:cs="Times New Roman"/>
                <w:noProof/>
                <w:color w:val="000000"/>
                <w:sz w:val="20"/>
                <w:szCs w:val="20"/>
              </w:rPr>
              <w:t xml:space="preserve">Green infrastructure built or upgraded for adaptation to climate change /Infrastructura verde construita sau modernizata in vederea </w:t>
            </w:r>
            <w:r w:rsidRPr="00DE593C">
              <w:rPr>
                <w:rFonts w:ascii="Times New Roman" w:hAnsi="Times New Roman" w:cs="Times New Roman"/>
                <w:sz w:val="20"/>
                <w:szCs w:val="20"/>
                <w:lang w:val="en-US"/>
              </w:rPr>
              <w:t>adaptarii la</w:t>
            </w:r>
          </w:p>
          <w:p w:rsidR="007C1415" w:rsidRPr="00DE593C" w:rsidRDefault="007C1415" w:rsidP="007C1415">
            <w:pPr>
              <w:spacing w:after="0" w:line="240" w:lineRule="auto"/>
              <w:rPr>
                <w:rFonts w:ascii="Times New Roman" w:hAnsi="Times New Roman" w:cs="Times New Roman"/>
                <w:sz w:val="20"/>
                <w:szCs w:val="20"/>
                <w:lang w:val="en-US"/>
              </w:rPr>
            </w:pPr>
            <w:r w:rsidRPr="00DE593C">
              <w:rPr>
                <w:rFonts w:ascii="Times New Roman" w:hAnsi="Times New Roman" w:cs="Times New Roman"/>
                <w:sz w:val="20"/>
                <w:szCs w:val="20"/>
                <w:lang w:val="en-US"/>
              </w:rPr>
              <w:t>schimbările climatice</w:t>
            </w:r>
          </w:p>
        </w:tc>
        <w:tc>
          <w:tcPr>
            <w:tcW w:w="316" w:type="pct"/>
            <w:tcBorders>
              <w:top w:val="single" w:sz="4" w:space="0" w:color="auto"/>
              <w:left w:val="single" w:sz="4" w:space="0" w:color="auto"/>
              <w:bottom w:val="single" w:sz="4" w:space="0" w:color="auto"/>
              <w:right w:val="single" w:sz="4" w:space="0" w:color="auto"/>
            </w:tcBorders>
          </w:tcPr>
          <w:p w:rsidR="007C1415" w:rsidRPr="00D50A9D" w:rsidRDefault="007C1415" w:rsidP="007C1415">
            <w:pPr>
              <w:spacing w:after="0" w:line="240" w:lineRule="auto"/>
              <w:rPr>
                <w:rFonts w:ascii="Times New Roman" w:hAnsi="Times New Roman" w:cs="Times New Roman"/>
                <w:sz w:val="20"/>
                <w:szCs w:val="20"/>
                <w:lang w:val="en-US"/>
              </w:rPr>
            </w:pPr>
            <w:r w:rsidRPr="00D50A9D">
              <w:rPr>
                <w:rFonts w:ascii="Times New Roman" w:hAnsi="Times New Roman" w:cs="Times New Roman"/>
                <w:sz w:val="20"/>
                <w:szCs w:val="20"/>
                <w:lang w:val="en-US"/>
              </w:rPr>
              <w:t>Hectare</w:t>
            </w:r>
          </w:p>
          <w:p w:rsidR="007C1415" w:rsidRPr="00D50A9D" w:rsidRDefault="007C1415" w:rsidP="007C1415">
            <w:pPr>
              <w:spacing w:after="0" w:line="240" w:lineRule="auto"/>
              <w:rPr>
                <w:rFonts w:ascii="Times New Roman" w:hAnsi="Times New Roman" w:cs="Times New Roman"/>
                <w:sz w:val="20"/>
                <w:szCs w:val="20"/>
                <w:lang w:val="en-US"/>
              </w:rPr>
            </w:pPr>
          </w:p>
          <w:p w:rsidR="007C1415" w:rsidRPr="00D50A9D" w:rsidRDefault="007C1415" w:rsidP="007C1415">
            <w:pPr>
              <w:spacing w:after="0" w:line="240" w:lineRule="auto"/>
              <w:rPr>
                <w:rFonts w:ascii="Times New Roman" w:hAnsi="Times New Roman" w:cs="Times New Roman"/>
                <w:sz w:val="20"/>
                <w:szCs w:val="20"/>
                <w:lang w:val="en-US"/>
              </w:rPr>
            </w:pPr>
          </w:p>
          <w:p w:rsidR="007C1415" w:rsidRPr="00D50A9D" w:rsidRDefault="007C1415" w:rsidP="007C1415">
            <w:pPr>
              <w:spacing w:after="0" w:line="240" w:lineRule="auto"/>
              <w:rPr>
                <w:rFonts w:ascii="Times New Roman" w:hAnsi="Times New Roman" w:cs="Times New Roman"/>
                <w:sz w:val="20"/>
                <w:szCs w:val="20"/>
                <w:lang w:val="en-US"/>
              </w:rPr>
            </w:pPr>
          </w:p>
          <w:p w:rsidR="007C1415" w:rsidRPr="00D50A9D" w:rsidRDefault="007C1415" w:rsidP="007C1415">
            <w:pPr>
              <w:spacing w:after="0" w:line="240" w:lineRule="auto"/>
              <w:rPr>
                <w:rFonts w:ascii="Times New Roman" w:hAnsi="Times New Roman" w:cs="Times New Roman"/>
                <w:sz w:val="20"/>
                <w:szCs w:val="20"/>
                <w:lang w:val="en-US"/>
              </w:rPr>
            </w:pPr>
          </w:p>
        </w:tc>
        <w:tc>
          <w:tcPr>
            <w:tcW w:w="1253" w:type="pct"/>
            <w:tcBorders>
              <w:top w:val="single" w:sz="4" w:space="0" w:color="auto"/>
              <w:left w:val="single" w:sz="4" w:space="0" w:color="auto"/>
              <w:bottom w:val="single" w:sz="4" w:space="0" w:color="auto"/>
              <w:right w:val="single" w:sz="4" w:space="0" w:color="auto"/>
            </w:tcBorders>
          </w:tcPr>
          <w:p w:rsidR="007C1415" w:rsidRPr="00D50A9D" w:rsidRDefault="007C1415" w:rsidP="007C1415">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0.5</w:t>
            </w:r>
          </w:p>
        </w:tc>
        <w:tc>
          <w:tcPr>
            <w:tcW w:w="682" w:type="pct"/>
            <w:tcBorders>
              <w:top w:val="single" w:sz="4" w:space="0" w:color="auto"/>
              <w:left w:val="single" w:sz="4" w:space="0" w:color="auto"/>
              <w:bottom w:val="single" w:sz="4" w:space="0" w:color="auto"/>
              <w:right w:val="single" w:sz="4" w:space="0" w:color="auto"/>
            </w:tcBorders>
          </w:tcPr>
          <w:p w:rsidR="007C1415" w:rsidRPr="00D50A9D" w:rsidRDefault="007C1415" w:rsidP="007C1415">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3</w:t>
            </w:r>
          </w:p>
        </w:tc>
      </w:tr>
      <w:tr w:rsidR="007C1415" w:rsidRPr="0000318B" w:rsidTr="009A6765">
        <w:trPr>
          <w:trHeight w:val="2049"/>
        </w:trPr>
        <w:tc>
          <w:tcPr>
            <w:tcW w:w="218" w:type="pct"/>
            <w:tcBorders>
              <w:top w:val="single" w:sz="4" w:space="0" w:color="auto"/>
              <w:left w:val="single" w:sz="4" w:space="0" w:color="auto"/>
              <w:bottom w:val="single" w:sz="4" w:space="0" w:color="auto"/>
              <w:right w:val="single" w:sz="4" w:space="0" w:color="auto"/>
            </w:tcBorders>
          </w:tcPr>
          <w:p w:rsidR="007C1415" w:rsidRPr="0000318B" w:rsidRDefault="007C1415" w:rsidP="007C1415">
            <w:pPr>
              <w:spacing w:after="0" w:line="240" w:lineRule="auto"/>
              <w:jc w:val="both"/>
              <w:rPr>
                <w:rFonts w:ascii="Times New Roman" w:hAnsi="Times New Roman" w:cs="Times New Roman"/>
                <w:sz w:val="20"/>
                <w:szCs w:val="20"/>
              </w:rPr>
            </w:pPr>
            <w:r w:rsidRPr="0000318B">
              <w:rPr>
                <w:rFonts w:ascii="Times New Roman" w:hAnsi="Times New Roman" w:cs="Times New Roman"/>
                <w:sz w:val="20"/>
                <w:szCs w:val="20"/>
              </w:rPr>
              <w:t>3.2.</w:t>
            </w:r>
          </w:p>
          <w:p w:rsidR="007C1415" w:rsidRPr="0000318B" w:rsidRDefault="007C1415" w:rsidP="007C1415">
            <w:pPr>
              <w:spacing w:after="0" w:line="240" w:lineRule="auto"/>
              <w:jc w:val="both"/>
              <w:rPr>
                <w:rFonts w:ascii="Times New Roman" w:hAnsi="Times New Roman" w:cs="Times New Roman"/>
                <w:sz w:val="20"/>
                <w:szCs w:val="20"/>
              </w:rPr>
            </w:pPr>
          </w:p>
        </w:tc>
        <w:tc>
          <w:tcPr>
            <w:tcW w:w="895" w:type="pct"/>
            <w:tcBorders>
              <w:top w:val="single" w:sz="4" w:space="0" w:color="auto"/>
              <w:left w:val="single" w:sz="4" w:space="0" w:color="auto"/>
              <w:bottom w:val="single" w:sz="4" w:space="0" w:color="auto"/>
              <w:right w:val="single" w:sz="4" w:space="0" w:color="auto"/>
            </w:tcBorders>
          </w:tcPr>
          <w:p w:rsidR="007C1415" w:rsidRPr="003357A7" w:rsidRDefault="007C1415" w:rsidP="007C1415">
            <w:pPr>
              <w:spacing w:after="0" w:line="240" w:lineRule="auto"/>
              <w:jc w:val="center"/>
              <w:rPr>
                <w:rFonts w:ascii="Times New Roman" w:hAnsi="Times New Roman" w:cs="Times New Roman"/>
                <w:i/>
                <w:sz w:val="20"/>
                <w:szCs w:val="20"/>
                <w:lang w:val="en-US"/>
              </w:rPr>
            </w:pPr>
            <w:r w:rsidRPr="003357A7">
              <w:rPr>
                <w:rFonts w:ascii="Times New Roman" w:hAnsi="Times New Roman" w:cs="Times New Roman"/>
                <w:i/>
                <w:sz w:val="20"/>
                <w:szCs w:val="20"/>
                <w:lang w:val="en-US"/>
              </w:rPr>
              <w:t>SO 3.b (vii) Îmbunătățirea protecției naturii și a biodiversității, a infrastructurii verzi în special în mediul urban și reducerea poluării</w:t>
            </w:r>
          </w:p>
        </w:tc>
        <w:tc>
          <w:tcPr>
            <w:tcW w:w="392" w:type="pct"/>
            <w:tcBorders>
              <w:top w:val="single" w:sz="4" w:space="0" w:color="auto"/>
              <w:left w:val="single" w:sz="4" w:space="0" w:color="auto"/>
              <w:bottom w:val="single" w:sz="4" w:space="0" w:color="auto"/>
              <w:right w:val="single" w:sz="4" w:space="0" w:color="auto"/>
            </w:tcBorders>
          </w:tcPr>
          <w:p w:rsidR="007C1415" w:rsidRPr="003357A7" w:rsidRDefault="007C1415" w:rsidP="007C1415">
            <w:pPr>
              <w:spacing w:after="0" w:line="240" w:lineRule="auto"/>
              <w:jc w:val="both"/>
              <w:rPr>
                <w:rFonts w:ascii="Times New Roman" w:hAnsi="Times New Roman" w:cs="Times New Roman"/>
                <w:i/>
                <w:sz w:val="20"/>
                <w:szCs w:val="20"/>
                <w:lang w:val="en-US"/>
              </w:rPr>
            </w:pPr>
            <w:r w:rsidRPr="003357A7">
              <w:rPr>
                <w:rFonts w:ascii="Times New Roman" w:hAnsi="Times New Roman" w:cs="Times New Roman"/>
                <w:i/>
                <w:sz w:val="20"/>
                <w:szCs w:val="20"/>
                <w:lang w:val="en-US"/>
              </w:rPr>
              <w:t>FEDR</w:t>
            </w:r>
          </w:p>
        </w:tc>
        <w:tc>
          <w:tcPr>
            <w:tcW w:w="343" w:type="pct"/>
            <w:tcBorders>
              <w:top w:val="single" w:sz="4" w:space="0" w:color="auto"/>
              <w:left w:val="single" w:sz="4" w:space="0" w:color="auto"/>
              <w:bottom w:val="single" w:sz="4" w:space="0" w:color="auto"/>
              <w:right w:val="single" w:sz="4" w:space="0" w:color="auto"/>
            </w:tcBorders>
          </w:tcPr>
          <w:p w:rsidR="007C1415" w:rsidRPr="003357A7" w:rsidRDefault="007C1415" w:rsidP="007C1415">
            <w:pPr>
              <w:spacing w:after="0" w:line="240" w:lineRule="auto"/>
              <w:jc w:val="center"/>
              <w:rPr>
                <w:rFonts w:ascii="Times New Roman" w:hAnsi="Times New Roman" w:cs="Times New Roman"/>
                <w:i/>
                <w:sz w:val="20"/>
                <w:szCs w:val="20"/>
                <w:lang w:val="en-US"/>
              </w:rPr>
            </w:pPr>
            <w:r w:rsidRPr="003357A7">
              <w:rPr>
                <w:rFonts w:ascii="Times New Roman" w:hAnsi="Times New Roman" w:cs="Times New Roman"/>
                <w:i/>
                <w:sz w:val="20"/>
                <w:szCs w:val="20"/>
                <w:lang w:val="en-US"/>
              </w:rPr>
              <w:t>Mai puțin dezvoltată</w:t>
            </w:r>
          </w:p>
        </w:tc>
        <w:tc>
          <w:tcPr>
            <w:tcW w:w="241" w:type="pct"/>
            <w:tcBorders>
              <w:top w:val="single" w:sz="4" w:space="0" w:color="auto"/>
              <w:left w:val="single" w:sz="4" w:space="0" w:color="auto"/>
              <w:bottom w:val="single" w:sz="4" w:space="0" w:color="auto"/>
              <w:right w:val="single" w:sz="4" w:space="0" w:color="auto"/>
            </w:tcBorders>
          </w:tcPr>
          <w:p w:rsidR="007C1415" w:rsidRPr="0000318B" w:rsidRDefault="007C1415" w:rsidP="007C1415">
            <w:pPr>
              <w:spacing w:after="0" w:line="240" w:lineRule="auto"/>
              <w:jc w:val="center"/>
              <w:rPr>
                <w:rFonts w:ascii="Times New Roman" w:hAnsi="Times New Roman" w:cs="Times New Roman"/>
                <w:noProof/>
                <w:color w:val="000000"/>
                <w:sz w:val="20"/>
                <w:szCs w:val="20"/>
              </w:rPr>
            </w:pPr>
          </w:p>
          <w:p w:rsidR="007C1415" w:rsidRPr="0000318B" w:rsidRDefault="007C1415" w:rsidP="007C1415">
            <w:pPr>
              <w:spacing w:after="0" w:line="240" w:lineRule="auto"/>
              <w:jc w:val="center"/>
              <w:rPr>
                <w:rFonts w:ascii="Times New Roman" w:hAnsi="Times New Roman" w:cs="Times New Roman"/>
                <w:noProof/>
                <w:color w:val="000000"/>
                <w:sz w:val="20"/>
                <w:szCs w:val="20"/>
              </w:rPr>
            </w:pPr>
          </w:p>
          <w:p w:rsidR="007C1415" w:rsidRPr="0000318B" w:rsidRDefault="007C1415" w:rsidP="007C1415">
            <w:pPr>
              <w:spacing w:after="0" w:line="240" w:lineRule="auto"/>
              <w:jc w:val="center"/>
              <w:rPr>
                <w:rFonts w:ascii="Times New Roman" w:hAnsi="Times New Roman" w:cs="Times New Roman"/>
                <w:noProof/>
                <w:color w:val="000000"/>
                <w:sz w:val="20"/>
                <w:szCs w:val="20"/>
              </w:rPr>
            </w:pPr>
          </w:p>
          <w:p w:rsidR="007C1415" w:rsidRPr="0000318B" w:rsidRDefault="007C1415" w:rsidP="007C1415">
            <w:pPr>
              <w:spacing w:after="0" w:line="240" w:lineRule="auto"/>
              <w:jc w:val="center"/>
              <w:rPr>
                <w:rFonts w:ascii="Times New Roman" w:hAnsi="Times New Roman" w:cs="Times New Roman"/>
                <w:noProof/>
                <w:color w:val="000000"/>
                <w:sz w:val="20"/>
                <w:szCs w:val="20"/>
              </w:rPr>
            </w:pPr>
            <w:r w:rsidRPr="0000318B">
              <w:rPr>
                <w:rFonts w:ascii="Times New Roman" w:hAnsi="Times New Roman" w:cs="Times New Roman"/>
                <w:noProof/>
                <w:color w:val="000000"/>
                <w:sz w:val="20"/>
                <w:szCs w:val="20"/>
              </w:rPr>
              <w:t>RCO 36</w:t>
            </w:r>
          </w:p>
          <w:p w:rsidR="007C1415" w:rsidRPr="0000318B" w:rsidRDefault="007C1415" w:rsidP="007C1415">
            <w:pPr>
              <w:spacing w:after="0" w:line="240" w:lineRule="auto"/>
              <w:jc w:val="center"/>
              <w:rPr>
                <w:rFonts w:ascii="Times New Roman" w:hAnsi="Times New Roman" w:cs="Times New Roman"/>
                <w:noProof/>
                <w:color w:val="000000"/>
                <w:sz w:val="20"/>
                <w:szCs w:val="20"/>
              </w:rPr>
            </w:pPr>
          </w:p>
          <w:p w:rsidR="007C1415" w:rsidRPr="0000318B" w:rsidRDefault="007C1415" w:rsidP="007C1415">
            <w:pPr>
              <w:spacing w:after="0" w:line="240" w:lineRule="auto"/>
              <w:jc w:val="center"/>
              <w:rPr>
                <w:rFonts w:ascii="Times New Roman" w:hAnsi="Times New Roman" w:cs="Times New Roman"/>
                <w:noProof/>
                <w:color w:val="000000"/>
                <w:sz w:val="20"/>
                <w:szCs w:val="20"/>
              </w:rPr>
            </w:pPr>
          </w:p>
        </w:tc>
        <w:tc>
          <w:tcPr>
            <w:tcW w:w="660" w:type="pct"/>
            <w:tcBorders>
              <w:top w:val="single" w:sz="4" w:space="0" w:color="auto"/>
              <w:left w:val="single" w:sz="4" w:space="0" w:color="auto"/>
              <w:bottom w:val="single" w:sz="4" w:space="0" w:color="auto"/>
              <w:right w:val="single" w:sz="4" w:space="0" w:color="auto"/>
            </w:tcBorders>
          </w:tcPr>
          <w:p w:rsidR="007C1415" w:rsidRPr="0000318B" w:rsidRDefault="007C1415" w:rsidP="007C1415">
            <w:pPr>
              <w:spacing w:after="0" w:line="240" w:lineRule="auto"/>
              <w:rPr>
                <w:rFonts w:ascii="Times New Roman" w:hAnsi="Times New Roman" w:cs="Times New Roman"/>
                <w:noProof/>
                <w:color w:val="000000"/>
                <w:sz w:val="20"/>
                <w:szCs w:val="20"/>
              </w:rPr>
            </w:pPr>
          </w:p>
          <w:p w:rsidR="007C1415" w:rsidRPr="0000318B" w:rsidRDefault="007C1415" w:rsidP="007C1415">
            <w:pPr>
              <w:spacing w:after="0" w:line="240" w:lineRule="auto"/>
              <w:rPr>
                <w:rFonts w:ascii="Times New Roman" w:hAnsi="Times New Roman" w:cs="Times New Roman"/>
                <w:noProof/>
                <w:color w:val="000000"/>
                <w:sz w:val="20"/>
                <w:szCs w:val="20"/>
              </w:rPr>
            </w:pPr>
            <w:r w:rsidRPr="00705B64">
              <w:rPr>
                <w:rFonts w:ascii="Times New Roman" w:hAnsi="Times New Roman" w:cs="Times New Roman"/>
                <w:noProof/>
                <w:color w:val="000000"/>
                <w:sz w:val="20"/>
                <w:szCs w:val="20"/>
              </w:rPr>
              <w:t>Green infrastructure supported for other purposes than adaptation to climate change</w:t>
            </w:r>
            <w:r>
              <w:rPr>
                <w:rFonts w:ascii="Times New Roman" w:hAnsi="Times New Roman" w:cs="Times New Roman"/>
                <w:noProof/>
                <w:color w:val="000000"/>
                <w:sz w:val="20"/>
                <w:szCs w:val="20"/>
              </w:rPr>
              <w:t>/</w:t>
            </w:r>
            <w:r w:rsidRPr="0000318B">
              <w:rPr>
                <w:rFonts w:ascii="Times New Roman" w:hAnsi="Times New Roman" w:cs="Times New Roman"/>
                <w:noProof/>
                <w:color w:val="000000"/>
                <w:sz w:val="20"/>
                <w:szCs w:val="20"/>
              </w:rPr>
              <w:t>Suprafața infrastructurii verzi care beneficiază de sprijin în zonele urbane</w:t>
            </w:r>
          </w:p>
        </w:tc>
        <w:tc>
          <w:tcPr>
            <w:tcW w:w="316" w:type="pct"/>
            <w:tcBorders>
              <w:top w:val="single" w:sz="4" w:space="0" w:color="auto"/>
              <w:left w:val="single" w:sz="4" w:space="0" w:color="auto"/>
              <w:bottom w:val="single" w:sz="4" w:space="0" w:color="auto"/>
              <w:right w:val="single" w:sz="4" w:space="0" w:color="auto"/>
            </w:tcBorders>
          </w:tcPr>
          <w:p w:rsidR="007C1415" w:rsidRDefault="007C1415" w:rsidP="007C1415">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Hectare</w:t>
            </w:r>
          </w:p>
          <w:p w:rsidR="007C1415" w:rsidRPr="003357A7" w:rsidRDefault="007C1415" w:rsidP="007C1415">
            <w:pPr>
              <w:spacing w:after="0" w:line="240" w:lineRule="auto"/>
              <w:rPr>
                <w:rFonts w:ascii="Times New Roman" w:hAnsi="Times New Roman" w:cs="Times New Roman"/>
                <w:b/>
                <w:i/>
                <w:sz w:val="20"/>
                <w:szCs w:val="20"/>
                <w:lang w:val="en-US"/>
              </w:rPr>
            </w:pPr>
          </w:p>
        </w:tc>
        <w:tc>
          <w:tcPr>
            <w:tcW w:w="1253" w:type="pct"/>
            <w:tcBorders>
              <w:top w:val="single" w:sz="4" w:space="0" w:color="auto"/>
              <w:left w:val="single" w:sz="4" w:space="0" w:color="auto"/>
              <w:bottom w:val="single" w:sz="4" w:space="0" w:color="auto"/>
              <w:right w:val="single" w:sz="4" w:space="0" w:color="auto"/>
            </w:tcBorders>
          </w:tcPr>
          <w:p w:rsidR="007C1415" w:rsidRPr="001B1C83" w:rsidRDefault="007C1415" w:rsidP="007C1415">
            <w:pPr>
              <w:spacing w:after="0" w:line="240" w:lineRule="auto"/>
              <w:jc w:val="both"/>
              <w:rPr>
                <w:rFonts w:ascii="Times New Roman" w:hAnsi="Times New Roman" w:cs="Times New Roman"/>
                <w:b/>
                <w:i/>
                <w:color w:val="FF0000"/>
                <w:sz w:val="20"/>
                <w:szCs w:val="20"/>
                <w:lang w:val="en-US"/>
              </w:rPr>
            </w:pPr>
            <w:r w:rsidRPr="00E62193">
              <w:rPr>
                <w:rFonts w:ascii="Times New Roman" w:hAnsi="Times New Roman" w:cs="Times New Roman"/>
                <w:b/>
                <w:i/>
                <w:sz w:val="20"/>
                <w:szCs w:val="20"/>
                <w:lang w:val="en-US"/>
              </w:rPr>
              <w:t>5</w:t>
            </w:r>
          </w:p>
        </w:tc>
        <w:tc>
          <w:tcPr>
            <w:tcW w:w="682" w:type="pct"/>
            <w:tcBorders>
              <w:top w:val="single" w:sz="4" w:space="0" w:color="auto"/>
              <w:left w:val="single" w:sz="4" w:space="0" w:color="auto"/>
              <w:bottom w:val="single" w:sz="4" w:space="0" w:color="auto"/>
              <w:right w:val="single" w:sz="4" w:space="0" w:color="auto"/>
            </w:tcBorders>
          </w:tcPr>
          <w:p w:rsidR="007C1415" w:rsidRPr="0000318B" w:rsidRDefault="007C1415" w:rsidP="007C1415">
            <w:pPr>
              <w:spacing w:after="0" w:line="240" w:lineRule="auto"/>
              <w:jc w:val="both"/>
              <w:rPr>
                <w:rFonts w:ascii="Times New Roman" w:hAnsi="Times New Roman" w:cs="Times New Roman"/>
                <w:b/>
                <w:i/>
                <w:sz w:val="20"/>
                <w:szCs w:val="20"/>
                <w:lang w:val="en-US"/>
              </w:rPr>
            </w:pPr>
            <w:r>
              <w:rPr>
                <w:rFonts w:ascii="Times New Roman" w:hAnsi="Times New Roman" w:cs="Times New Roman"/>
                <w:b/>
                <w:i/>
                <w:sz w:val="20"/>
                <w:szCs w:val="20"/>
                <w:lang w:val="en-US"/>
              </w:rPr>
              <w:t>30</w:t>
            </w:r>
          </w:p>
        </w:tc>
      </w:tr>
      <w:tr w:rsidR="007C1415" w:rsidRPr="0000318B" w:rsidTr="009A6765">
        <w:trPr>
          <w:trHeight w:val="340"/>
        </w:trPr>
        <w:tc>
          <w:tcPr>
            <w:tcW w:w="218" w:type="pct"/>
            <w:tcBorders>
              <w:top w:val="single" w:sz="4" w:space="0" w:color="auto"/>
              <w:left w:val="single" w:sz="4" w:space="0" w:color="auto"/>
              <w:bottom w:val="single" w:sz="4" w:space="0" w:color="auto"/>
              <w:right w:val="single" w:sz="4" w:space="0" w:color="auto"/>
            </w:tcBorders>
          </w:tcPr>
          <w:p w:rsidR="007C1415" w:rsidRPr="0000318B" w:rsidRDefault="007C1415" w:rsidP="007C1415">
            <w:pPr>
              <w:spacing w:after="0" w:line="240" w:lineRule="auto"/>
              <w:jc w:val="both"/>
              <w:rPr>
                <w:rFonts w:ascii="Times New Roman" w:hAnsi="Times New Roman" w:cs="Times New Roman"/>
                <w:sz w:val="20"/>
                <w:szCs w:val="20"/>
              </w:rPr>
            </w:pPr>
            <w:r w:rsidRPr="0000318B">
              <w:rPr>
                <w:rFonts w:ascii="Times New Roman" w:hAnsi="Times New Roman" w:cs="Times New Roman"/>
                <w:sz w:val="20"/>
                <w:szCs w:val="20"/>
              </w:rPr>
              <w:t>3.2.</w:t>
            </w:r>
          </w:p>
          <w:p w:rsidR="007C1415" w:rsidRPr="0000318B" w:rsidRDefault="007C1415" w:rsidP="007C1415">
            <w:pPr>
              <w:spacing w:after="0" w:line="240" w:lineRule="auto"/>
              <w:jc w:val="both"/>
              <w:rPr>
                <w:rFonts w:ascii="Times New Roman" w:hAnsi="Times New Roman" w:cs="Times New Roman"/>
                <w:sz w:val="20"/>
                <w:szCs w:val="20"/>
              </w:rPr>
            </w:pPr>
          </w:p>
        </w:tc>
        <w:tc>
          <w:tcPr>
            <w:tcW w:w="895" w:type="pct"/>
            <w:tcBorders>
              <w:top w:val="single" w:sz="4" w:space="0" w:color="auto"/>
              <w:left w:val="single" w:sz="4" w:space="0" w:color="auto"/>
              <w:bottom w:val="single" w:sz="4" w:space="0" w:color="auto"/>
              <w:right w:val="single" w:sz="4" w:space="0" w:color="auto"/>
            </w:tcBorders>
          </w:tcPr>
          <w:p w:rsidR="007C1415" w:rsidRPr="003357A7" w:rsidRDefault="007C1415" w:rsidP="007C1415">
            <w:pPr>
              <w:spacing w:after="0" w:line="240" w:lineRule="auto"/>
              <w:jc w:val="center"/>
              <w:rPr>
                <w:rFonts w:ascii="Times New Roman" w:hAnsi="Times New Roman" w:cs="Times New Roman"/>
                <w:i/>
                <w:sz w:val="20"/>
                <w:szCs w:val="20"/>
                <w:lang w:val="en-US"/>
              </w:rPr>
            </w:pPr>
            <w:r w:rsidRPr="003357A7">
              <w:rPr>
                <w:rFonts w:ascii="Times New Roman" w:hAnsi="Times New Roman" w:cs="Times New Roman"/>
                <w:i/>
                <w:sz w:val="20"/>
                <w:szCs w:val="20"/>
                <w:lang w:val="en-US"/>
              </w:rPr>
              <w:t>SO 3.b (vii) Îmbunătățirea protecției naturii și a biodiversității, a infrastructurii verzi în special în mediul urban și reducerea poluării</w:t>
            </w:r>
          </w:p>
          <w:p w:rsidR="007C1415" w:rsidRPr="003357A7" w:rsidRDefault="007C1415" w:rsidP="007C1415">
            <w:pPr>
              <w:spacing w:after="0" w:line="240" w:lineRule="auto"/>
              <w:jc w:val="center"/>
              <w:rPr>
                <w:rFonts w:ascii="Times New Roman" w:hAnsi="Times New Roman" w:cs="Times New Roman"/>
                <w:i/>
                <w:sz w:val="20"/>
                <w:szCs w:val="20"/>
                <w:lang w:val="en-US"/>
              </w:rPr>
            </w:pPr>
          </w:p>
          <w:p w:rsidR="007C1415" w:rsidRPr="003357A7" w:rsidRDefault="007C1415" w:rsidP="007C1415">
            <w:pPr>
              <w:spacing w:after="0" w:line="240" w:lineRule="auto"/>
              <w:jc w:val="center"/>
              <w:rPr>
                <w:rFonts w:ascii="Times New Roman" w:hAnsi="Times New Roman" w:cs="Times New Roman"/>
                <w:i/>
                <w:sz w:val="20"/>
                <w:szCs w:val="20"/>
                <w:lang w:val="en-US"/>
              </w:rPr>
            </w:pPr>
          </w:p>
        </w:tc>
        <w:tc>
          <w:tcPr>
            <w:tcW w:w="392" w:type="pct"/>
            <w:tcBorders>
              <w:top w:val="single" w:sz="4" w:space="0" w:color="auto"/>
              <w:left w:val="single" w:sz="4" w:space="0" w:color="auto"/>
              <w:bottom w:val="single" w:sz="4" w:space="0" w:color="auto"/>
              <w:right w:val="single" w:sz="4" w:space="0" w:color="auto"/>
            </w:tcBorders>
          </w:tcPr>
          <w:p w:rsidR="007C1415" w:rsidRPr="003357A7" w:rsidRDefault="007C1415" w:rsidP="007C1415">
            <w:pPr>
              <w:spacing w:after="0" w:line="240" w:lineRule="auto"/>
              <w:jc w:val="both"/>
              <w:rPr>
                <w:rFonts w:ascii="Times New Roman" w:hAnsi="Times New Roman" w:cs="Times New Roman"/>
                <w:i/>
                <w:sz w:val="20"/>
                <w:szCs w:val="20"/>
                <w:lang w:val="en-US"/>
              </w:rPr>
            </w:pPr>
            <w:r w:rsidRPr="003357A7">
              <w:rPr>
                <w:rFonts w:ascii="Times New Roman" w:hAnsi="Times New Roman" w:cs="Times New Roman"/>
                <w:i/>
                <w:sz w:val="20"/>
                <w:szCs w:val="20"/>
                <w:lang w:val="en-US"/>
              </w:rPr>
              <w:lastRenderedPageBreak/>
              <w:t>FEDR</w:t>
            </w:r>
          </w:p>
        </w:tc>
        <w:tc>
          <w:tcPr>
            <w:tcW w:w="343" w:type="pct"/>
            <w:tcBorders>
              <w:top w:val="single" w:sz="4" w:space="0" w:color="auto"/>
              <w:left w:val="single" w:sz="4" w:space="0" w:color="auto"/>
              <w:bottom w:val="single" w:sz="4" w:space="0" w:color="auto"/>
              <w:right w:val="single" w:sz="4" w:space="0" w:color="auto"/>
            </w:tcBorders>
          </w:tcPr>
          <w:p w:rsidR="007C1415" w:rsidRPr="003357A7" w:rsidRDefault="007C1415" w:rsidP="007C1415">
            <w:pPr>
              <w:spacing w:after="0" w:line="240" w:lineRule="auto"/>
              <w:jc w:val="center"/>
              <w:rPr>
                <w:rFonts w:ascii="Times New Roman" w:hAnsi="Times New Roman" w:cs="Times New Roman"/>
                <w:i/>
                <w:sz w:val="20"/>
                <w:szCs w:val="20"/>
                <w:lang w:val="en-US"/>
              </w:rPr>
            </w:pPr>
            <w:r w:rsidRPr="003357A7">
              <w:rPr>
                <w:rFonts w:ascii="Times New Roman" w:hAnsi="Times New Roman" w:cs="Times New Roman"/>
                <w:i/>
                <w:sz w:val="20"/>
                <w:szCs w:val="20"/>
                <w:lang w:val="en-US"/>
              </w:rPr>
              <w:t xml:space="preserve">Mai puțin dezvoltată </w:t>
            </w:r>
          </w:p>
        </w:tc>
        <w:tc>
          <w:tcPr>
            <w:tcW w:w="241" w:type="pct"/>
            <w:tcBorders>
              <w:top w:val="single" w:sz="4" w:space="0" w:color="auto"/>
              <w:left w:val="single" w:sz="4" w:space="0" w:color="auto"/>
              <w:bottom w:val="single" w:sz="4" w:space="0" w:color="auto"/>
              <w:right w:val="single" w:sz="4" w:space="0" w:color="auto"/>
            </w:tcBorders>
          </w:tcPr>
          <w:p w:rsidR="007C1415" w:rsidRPr="0000318B" w:rsidRDefault="007C1415" w:rsidP="007C1415">
            <w:pPr>
              <w:spacing w:after="0" w:line="240" w:lineRule="auto"/>
              <w:jc w:val="center"/>
              <w:rPr>
                <w:rFonts w:ascii="Times New Roman" w:hAnsi="Times New Roman" w:cs="Times New Roman"/>
                <w:noProof/>
                <w:color w:val="000000"/>
                <w:sz w:val="20"/>
                <w:szCs w:val="20"/>
              </w:rPr>
            </w:pPr>
            <w:r w:rsidRPr="00AA5383">
              <w:rPr>
                <w:rFonts w:ascii="Times New Roman" w:hAnsi="Times New Roman" w:cs="Times New Roman"/>
                <w:noProof/>
                <w:color w:val="000000"/>
                <w:sz w:val="20"/>
                <w:szCs w:val="20"/>
              </w:rPr>
              <w:t xml:space="preserve">RCO X (113)  - </w:t>
            </w:r>
          </w:p>
        </w:tc>
        <w:tc>
          <w:tcPr>
            <w:tcW w:w="660" w:type="pct"/>
            <w:tcBorders>
              <w:top w:val="single" w:sz="4" w:space="0" w:color="auto"/>
              <w:left w:val="single" w:sz="4" w:space="0" w:color="auto"/>
              <w:bottom w:val="single" w:sz="4" w:space="0" w:color="auto"/>
              <w:right w:val="single" w:sz="4" w:space="0" w:color="auto"/>
            </w:tcBorders>
          </w:tcPr>
          <w:p w:rsidR="007C1415" w:rsidRPr="0000318B" w:rsidRDefault="007C1415" w:rsidP="007C1415">
            <w:pPr>
              <w:spacing w:after="0" w:line="240" w:lineRule="auto"/>
              <w:rPr>
                <w:rFonts w:ascii="Times New Roman" w:hAnsi="Times New Roman" w:cs="Times New Roman"/>
                <w:noProof/>
                <w:color w:val="000000"/>
                <w:sz w:val="20"/>
                <w:szCs w:val="20"/>
              </w:rPr>
            </w:pPr>
            <w:r w:rsidRPr="00AA5383">
              <w:rPr>
                <w:rFonts w:ascii="Times New Roman" w:hAnsi="Times New Roman" w:cs="Times New Roman"/>
                <w:noProof/>
                <w:color w:val="000000"/>
                <w:sz w:val="20"/>
                <w:szCs w:val="20"/>
              </w:rPr>
              <w:t>Open space created or rehabilitated in urban areas</w:t>
            </w:r>
          </w:p>
        </w:tc>
        <w:tc>
          <w:tcPr>
            <w:tcW w:w="316" w:type="pct"/>
            <w:tcBorders>
              <w:top w:val="single" w:sz="4" w:space="0" w:color="auto"/>
              <w:left w:val="single" w:sz="4" w:space="0" w:color="auto"/>
              <w:bottom w:val="single" w:sz="4" w:space="0" w:color="auto"/>
              <w:right w:val="single" w:sz="4" w:space="0" w:color="auto"/>
            </w:tcBorders>
          </w:tcPr>
          <w:p w:rsidR="007C1415" w:rsidRDefault="007C1415" w:rsidP="007C1415">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mp</w:t>
            </w:r>
          </w:p>
        </w:tc>
        <w:tc>
          <w:tcPr>
            <w:tcW w:w="1253" w:type="pct"/>
            <w:tcBorders>
              <w:top w:val="single" w:sz="4" w:space="0" w:color="auto"/>
              <w:left w:val="single" w:sz="4" w:space="0" w:color="auto"/>
              <w:bottom w:val="single" w:sz="4" w:space="0" w:color="auto"/>
              <w:right w:val="single" w:sz="4" w:space="0" w:color="auto"/>
            </w:tcBorders>
          </w:tcPr>
          <w:p w:rsidR="007C1415" w:rsidRPr="0000318B" w:rsidRDefault="007C1415" w:rsidP="007C1415">
            <w:pPr>
              <w:spacing w:after="0" w:line="240" w:lineRule="auto"/>
              <w:jc w:val="both"/>
              <w:rPr>
                <w:rFonts w:ascii="Times New Roman" w:hAnsi="Times New Roman" w:cs="Times New Roman"/>
                <w:b/>
                <w:i/>
                <w:sz w:val="20"/>
                <w:szCs w:val="20"/>
                <w:lang w:val="en-US"/>
              </w:rPr>
            </w:pPr>
            <w:r>
              <w:rPr>
                <w:rFonts w:ascii="Times New Roman" w:hAnsi="Times New Roman" w:cs="Times New Roman"/>
                <w:b/>
                <w:i/>
                <w:sz w:val="20"/>
                <w:szCs w:val="20"/>
                <w:lang w:val="en-US"/>
              </w:rPr>
              <w:t>4700</w:t>
            </w:r>
          </w:p>
        </w:tc>
        <w:tc>
          <w:tcPr>
            <w:tcW w:w="682" w:type="pct"/>
            <w:tcBorders>
              <w:top w:val="single" w:sz="4" w:space="0" w:color="auto"/>
              <w:left w:val="single" w:sz="4" w:space="0" w:color="auto"/>
              <w:bottom w:val="single" w:sz="4" w:space="0" w:color="auto"/>
              <w:right w:val="single" w:sz="4" w:space="0" w:color="auto"/>
            </w:tcBorders>
          </w:tcPr>
          <w:p w:rsidR="007C1415" w:rsidRPr="0000318B" w:rsidRDefault="007C1415" w:rsidP="007C1415">
            <w:pPr>
              <w:spacing w:after="0" w:line="240" w:lineRule="auto"/>
              <w:jc w:val="both"/>
              <w:rPr>
                <w:rFonts w:ascii="Times New Roman" w:hAnsi="Times New Roman" w:cs="Times New Roman"/>
                <w:b/>
                <w:i/>
                <w:sz w:val="20"/>
                <w:szCs w:val="20"/>
                <w:lang w:val="en-US"/>
              </w:rPr>
            </w:pPr>
            <w:r>
              <w:rPr>
                <w:rFonts w:ascii="Times New Roman" w:hAnsi="Times New Roman" w:cs="Times New Roman"/>
                <w:b/>
                <w:i/>
                <w:sz w:val="20"/>
                <w:szCs w:val="20"/>
                <w:lang w:val="en-US"/>
              </w:rPr>
              <w:t>15700</w:t>
            </w:r>
          </w:p>
        </w:tc>
      </w:tr>
    </w:tbl>
    <w:p w:rsidR="009A6765" w:rsidRPr="0000318B" w:rsidRDefault="009A6765" w:rsidP="009A6765">
      <w:pPr>
        <w:spacing w:after="0" w:line="240" w:lineRule="auto"/>
        <w:rPr>
          <w:rFonts w:ascii="Times New Roman" w:hAnsi="Times New Roman" w:cs="Times New Roman"/>
          <w:sz w:val="20"/>
          <w:szCs w:val="20"/>
          <w:lang w:val="en-GB"/>
        </w:rPr>
      </w:pPr>
    </w:p>
    <w:tbl>
      <w:tblPr>
        <w:tblW w:w="53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2"/>
        <w:gridCol w:w="1743"/>
        <w:gridCol w:w="757"/>
        <w:gridCol w:w="1585"/>
        <w:gridCol w:w="862"/>
        <w:gridCol w:w="1585"/>
        <w:gridCol w:w="1150"/>
        <w:gridCol w:w="1296"/>
        <w:gridCol w:w="1154"/>
        <w:gridCol w:w="1150"/>
        <w:gridCol w:w="1154"/>
        <w:gridCol w:w="2317"/>
      </w:tblGrid>
      <w:tr w:rsidR="009A6765" w:rsidRPr="0000318B" w:rsidTr="009A6765">
        <w:trPr>
          <w:trHeight w:val="221"/>
        </w:trPr>
        <w:tc>
          <w:tcPr>
            <w:tcW w:w="5000" w:type="pct"/>
            <w:gridSpan w:val="12"/>
            <w:tcBorders>
              <w:top w:val="single" w:sz="4" w:space="0" w:color="auto"/>
              <w:left w:val="single" w:sz="4" w:space="0" w:color="auto"/>
              <w:bottom w:val="single" w:sz="4" w:space="0" w:color="auto"/>
              <w:right w:val="single" w:sz="4" w:space="0" w:color="auto"/>
            </w:tcBorders>
            <w:hideMark/>
          </w:tcPr>
          <w:p w:rsidR="009A6765" w:rsidRPr="0000318B" w:rsidRDefault="009A6765" w:rsidP="009A6765">
            <w:pPr>
              <w:spacing w:after="0" w:line="240" w:lineRule="auto"/>
              <w:rPr>
                <w:rFonts w:ascii="Times New Roman" w:hAnsi="Times New Roman" w:cs="Times New Roman"/>
                <w:b/>
                <w:sz w:val="20"/>
                <w:szCs w:val="20"/>
                <w:lang w:val="en-US"/>
              </w:rPr>
            </w:pPr>
            <w:r w:rsidRPr="0000318B">
              <w:rPr>
                <w:rFonts w:ascii="Times New Roman" w:hAnsi="Times New Roman" w:cs="Times New Roman"/>
                <w:b/>
                <w:iCs/>
                <w:sz w:val="20"/>
                <w:szCs w:val="20"/>
                <w:lang w:val="en-US"/>
              </w:rPr>
              <w:t>Table 3: Result indicators</w:t>
            </w:r>
          </w:p>
        </w:tc>
      </w:tr>
      <w:tr w:rsidR="009A6765" w:rsidRPr="0000318B" w:rsidTr="009A6765">
        <w:trPr>
          <w:trHeight w:val="1024"/>
        </w:trPr>
        <w:tc>
          <w:tcPr>
            <w:tcW w:w="345" w:type="pct"/>
            <w:tcBorders>
              <w:top w:val="single" w:sz="4" w:space="0" w:color="auto"/>
              <w:left w:val="single" w:sz="4" w:space="0" w:color="auto"/>
              <w:bottom w:val="single" w:sz="4" w:space="0" w:color="auto"/>
              <w:right w:val="single" w:sz="4" w:space="0" w:color="auto"/>
            </w:tcBorders>
            <w:hideMark/>
          </w:tcPr>
          <w:p w:rsidR="009A6765" w:rsidRPr="0000318B" w:rsidRDefault="009A6765" w:rsidP="009A6765">
            <w:pPr>
              <w:spacing w:after="0" w:line="240" w:lineRule="auto"/>
              <w:rPr>
                <w:rFonts w:ascii="Times New Roman" w:hAnsi="Times New Roman" w:cs="Times New Roman"/>
                <w:b/>
                <w:sz w:val="20"/>
                <w:szCs w:val="20"/>
                <w:lang w:val="en-US"/>
              </w:rPr>
            </w:pPr>
            <w:r w:rsidRPr="0000318B">
              <w:rPr>
                <w:rFonts w:ascii="Times New Roman" w:hAnsi="Times New Roman" w:cs="Times New Roman"/>
                <w:b/>
                <w:sz w:val="20"/>
                <w:szCs w:val="20"/>
                <w:lang w:val="en-US"/>
              </w:rPr>
              <w:t xml:space="preserve">Priority </w:t>
            </w:r>
          </w:p>
        </w:tc>
        <w:tc>
          <w:tcPr>
            <w:tcW w:w="550" w:type="pct"/>
            <w:tcBorders>
              <w:top w:val="single" w:sz="4" w:space="0" w:color="auto"/>
              <w:left w:val="single" w:sz="4" w:space="0" w:color="auto"/>
              <w:bottom w:val="single" w:sz="4" w:space="0" w:color="auto"/>
              <w:right w:val="single" w:sz="4" w:space="0" w:color="auto"/>
            </w:tcBorders>
            <w:hideMark/>
          </w:tcPr>
          <w:p w:rsidR="009A6765" w:rsidRPr="0000318B" w:rsidRDefault="009A6765" w:rsidP="009A6765">
            <w:pPr>
              <w:spacing w:after="0" w:line="240" w:lineRule="auto"/>
              <w:rPr>
                <w:rFonts w:ascii="Times New Roman" w:hAnsi="Times New Roman" w:cs="Times New Roman"/>
                <w:b/>
                <w:sz w:val="20"/>
                <w:szCs w:val="20"/>
                <w:lang w:val="en-US"/>
              </w:rPr>
            </w:pPr>
            <w:r w:rsidRPr="0000318B">
              <w:rPr>
                <w:rFonts w:ascii="Times New Roman" w:hAnsi="Times New Roman" w:cs="Times New Roman"/>
                <w:b/>
                <w:sz w:val="20"/>
                <w:szCs w:val="20"/>
                <w:lang w:val="en-US"/>
              </w:rPr>
              <w:t>Specific objective (Investment for Jobs and Growth goal or EMFF)</w:t>
            </w:r>
          </w:p>
        </w:tc>
        <w:tc>
          <w:tcPr>
            <w:tcW w:w="239" w:type="pct"/>
            <w:tcBorders>
              <w:top w:val="single" w:sz="4" w:space="0" w:color="auto"/>
              <w:left w:val="single" w:sz="4" w:space="0" w:color="auto"/>
              <w:bottom w:val="single" w:sz="4" w:space="0" w:color="auto"/>
              <w:right w:val="single" w:sz="4" w:space="0" w:color="auto"/>
            </w:tcBorders>
            <w:hideMark/>
          </w:tcPr>
          <w:p w:rsidR="009A6765" w:rsidRPr="0000318B" w:rsidRDefault="009A6765" w:rsidP="009A6765">
            <w:pPr>
              <w:spacing w:after="0" w:line="240" w:lineRule="auto"/>
              <w:rPr>
                <w:rFonts w:ascii="Times New Roman" w:hAnsi="Times New Roman" w:cs="Times New Roman"/>
                <w:b/>
                <w:sz w:val="20"/>
                <w:szCs w:val="20"/>
                <w:lang w:val="en-US"/>
              </w:rPr>
            </w:pPr>
            <w:r w:rsidRPr="0000318B">
              <w:rPr>
                <w:rFonts w:ascii="Times New Roman" w:hAnsi="Times New Roman" w:cs="Times New Roman"/>
                <w:b/>
                <w:sz w:val="20"/>
                <w:szCs w:val="20"/>
                <w:lang w:val="en-US"/>
              </w:rPr>
              <w:t>Fund</w:t>
            </w:r>
          </w:p>
        </w:tc>
        <w:tc>
          <w:tcPr>
            <w:tcW w:w="500" w:type="pct"/>
            <w:tcBorders>
              <w:top w:val="single" w:sz="4" w:space="0" w:color="auto"/>
              <w:left w:val="single" w:sz="4" w:space="0" w:color="auto"/>
              <w:bottom w:val="single" w:sz="4" w:space="0" w:color="auto"/>
              <w:right w:val="single" w:sz="4" w:space="0" w:color="auto"/>
            </w:tcBorders>
            <w:hideMark/>
          </w:tcPr>
          <w:p w:rsidR="009A6765" w:rsidRPr="003357A7" w:rsidRDefault="009A6765" w:rsidP="009A6765">
            <w:pPr>
              <w:spacing w:after="0" w:line="240" w:lineRule="auto"/>
              <w:rPr>
                <w:rFonts w:ascii="Times New Roman" w:hAnsi="Times New Roman" w:cs="Times New Roman"/>
                <w:b/>
                <w:sz w:val="20"/>
                <w:szCs w:val="20"/>
                <w:lang w:val="en-US"/>
              </w:rPr>
            </w:pPr>
            <w:r w:rsidRPr="003357A7">
              <w:rPr>
                <w:rFonts w:ascii="Times New Roman" w:hAnsi="Times New Roman" w:cs="Times New Roman"/>
                <w:b/>
                <w:sz w:val="20"/>
                <w:szCs w:val="20"/>
                <w:lang w:val="en-US"/>
              </w:rPr>
              <w:t>Category of region</w:t>
            </w:r>
            <w:r w:rsidRPr="003357A7">
              <w:rPr>
                <w:rFonts w:ascii="Times New Roman" w:hAnsi="Times New Roman" w:cs="Times New Roman"/>
                <w:sz w:val="20"/>
                <w:szCs w:val="20"/>
                <w:lang w:val="en-US"/>
              </w:rPr>
              <w:t xml:space="preserve"> </w:t>
            </w:r>
          </w:p>
        </w:tc>
        <w:tc>
          <w:tcPr>
            <w:tcW w:w="272" w:type="pct"/>
            <w:tcBorders>
              <w:top w:val="single" w:sz="4" w:space="0" w:color="auto"/>
              <w:left w:val="single" w:sz="4" w:space="0" w:color="auto"/>
              <w:bottom w:val="single" w:sz="4" w:space="0" w:color="auto"/>
              <w:right w:val="single" w:sz="4" w:space="0" w:color="auto"/>
            </w:tcBorders>
            <w:hideMark/>
          </w:tcPr>
          <w:p w:rsidR="009A6765" w:rsidRPr="003357A7" w:rsidRDefault="009A6765" w:rsidP="009A6765">
            <w:pPr>
              <w:spacing w:after="0" w:line="240" w:lineRule="auto"/>
              <w:rPr>
                <w:rFonts w:ascii="Times New Roman" w:hAnsi="Times New Roman" w:cs="Times New Roman"/>
                <w:b/>
                <w:sz w:val="20"/>
                <w:szCs w:val="20"/>
                <w:lang w:val="en-US"/>
              </w:rPr>
            </w:pPr>
            <w:r w:rsidRPr="003357A7">
              <w:rPr>
                <w:rFonts w:ascii="Times New Roman" w:hAnsi="Times New Roman" w:cs="Times New Roman"/>
                <w:b/>
                <w:sz w:val="20"/>
                <w:szCs w:val="20"/>
                <w:lang w:val="en-US"/>
              </w:rPr>
              <w:t>ID [5]</w:t>
            </w:r>
          </w:p>
        </w:tc>
        <w:tc>
          <w:tcPr>
            <w:tcW w:w="500" w:type="pct"/>
            <w:tcBorders>
              <w:top w:val="single" w:sz="4" w:space="0" w:color="auto"/>
              <w:left w:val="single" w:sz="4" w:space="0" w:color="auto"/>
              <w:bottom w:val="single" w:sz="4" w:space="0" w:color="auto"/>
              <w:right w:val="single" w:sz="4" w:space="0" w:color="auto"/>
            </w:tcBorders>
            <w:hideMark/>
          </w:tcPr>
          <w:p w:rsidR="009A6765" w:rsidRPr="0000318B" w:rsidRDefault="009A6765" w:rsidP="009A6765">
            <w:pPr>
              <w:spacing w:after="0" w:line="240" w:lineRule="auto"/>
              <w:rPr>
                <w:rFonts w:ascii="Times New Roman" w:hAnsi="Times New Roman" w:cs="Times New Roman"/>
                <w:b/>
                <w:sz w:val="20"/>
                <w:szCs w:val="20"/>
                <w:lang w:val="en-US"/>
              </w:rPr>
            </w:pPr>
            <w:r w:rsidRPr="0000318B">
              <w:rPr>
                <w:rFonts w:ascii="Times New Roman" w:hAnsi="Times New Roman" w:cs="Times New Roman"/>
                <w:b/>
                <w:sz w:val="20"/>
                <w:szCs w:val="20"/>
                <w:lang w:val="en-US"/>
              </w:rPr>
              <w:t>Indicator [255]</w:t>
            </w:r>
          </w:p>
        </w:tc>
        <w:tc>
          <w:tcPr>
            <w:tcW w:w="363" w:type="pct"/>
            <w:tcBorders>
              <w:top w:val="single" w:sz="4" w:space="0" w:color="auto"/>
              <w:left w:val="single" w:sz="4" w:space="0" w:color="auto"/>
              <w:bottom w:val="single" w:sz="4" w:space="0" w:color="auto"/>
              <w:right w:val="single" w:sz="4" w:space="0" w:color="auto"/>
            </w:tcBorders>
            <w:hideMark/>
          </w:tcPr>
          <w:p w:rsidR="009A6765" w:rsidRPr="0000318B" w:rsidRDefault="009A6765" w:rsidP="009A6765">
            <w:pPr>
              <w:spacing w:after="0" w:line="240" w:lineRule="auto"/>
              <w:rPr>
                <w:rFonts w:ascii="Times New Roman" w:hAnsi="Times New Roman" w:cs="Times New Roman"/>
                <w:b/>
                <w:sz w:val="20"/>
                <w:szCs w:val="20"/>
                <w:lang w:val="en-US"/>
              </w:rPr>
            </w:pPr>
            <w:r w:rsidRPr="0000318B">
              <w:rPr>
                <w:rFonts w:ascii="Times New Roman" w:hAnsi="Times New Roman" w:cs="Times New Roman"/>
                <w:b/>
                <w:sz w:val="20"/>
                <w:szCs w:val="20"/>
                <w:lang w:val="en-US"/>
              </w:rPr>
              <w:t>Measurement unit</w:t>
            </w:r>
          </w:p>
        </w:tc>
        <w:tc>
          <w:tcPr>
            <w:tcW w:w="409" w:type="pct"/>
            <w:tcBorders>
              <w:top w:val="single" w:sz="4" w:space="0" w:color="auto"/>
              <w:left w:val="single" w:sz="4" w:space="0" w:color="auto"/>
              <w:bottom w:val="single" w:sz="4" w:space="0" w:color="auto"/>
              <w:right w:val="single" w:sz="4" w:space="0" w:color="auto"/>
            </w:tcBorders>
            <w:hideMark/>
          </w:tcPr>
          <w:p w:rsidR="009A6765" w:rsidRPr="0000318B" w:rsidRDefault="009A6765" w:rsidP="009A6765">
            <w:pPr>
              <w:spacing w:after="0" w:line="240" w:lineRule="auto"/>
              <w:rPr>
                <w:rFonts w:ascii="Times New Roman" w:hAnsi="Times New Roman" w:cs="Times New Roman"/>
                <w:b/>
                <w:sz w:val="20"/>
                <w:szCs w:val="20"/>
                <w:lang w:val="en-US"/>
              </w:rPr>
            </w:pPr>
            <w:r w:rsidRPr="0000318B">
              <w:rPr>
                <w:rFonts w:ascii="Times New Roman" w:hAnsi="Times New Roman" w:cs="Times New Roman"/>
                <w:b/>
                <w:sz w:val="20"/>
                <w:szCs w:val="20"/>
                <w:lang w:val="en-US"/>
              </w:rPr>
              <w:t>Baseline or reference value</w:t>
            </w:r>
          </w:p>
        </w:tc>
        <w:tc>
          <w:tcPr>
            <w:tcW w:w="364" w:type="pct"/>
            <w:tcBorders>
              <w:top w:val="single" w:sz="4" w:space="0" w:color="auto"/>
              <w:left w:val="single" w:sz="4" w:space="0" w:color="auto"/>
              <w:bottom w:val="single" w:sz="4" w:space="0" w:color="auto"/>
              <w:right w:val="single" w:sz="4" w:space="0" w:color="auto"/>
            </w:tcBorders>
            <w:hideMark/>
          </w:tcPr>
          <w:p w:rsidR="009A6765" w:rsidRPr="0000318B" w:rsidRDefault="009A6765" w:rsidP="009A6765">
            <w:pPr>
              <w:spacing w:after="0" w:line="240" w:lineRule="auto"/>
              <w:rPr>
                <w:rFonts w:ascii="Times New Roman" w:hAnsi="Times New Roman" w:cs="Times New Roman"/>
                <w:b/>
                <w:sz w:val="20"/>
                <w:szCs w:val="20"/>
                <w:lang w:val="en-US"/>
              </w:rPr>
            </w:pPr>
            <w:r w:rsidRPr="0000318B">
              <w:rPr>
                <w:rFonts w:ascii="Times New Roman" w:hAnsi="Times New Roman" w:cs="Times New Roman"/>
                <w:b/>
                <w:sz w:val="20"/>
                <w:szCs w:val="20"/>
                <w:lang w:val="en-US"/>
              </w:rPr>
              <w:t>Reference year</w:t>
            </w:r>
          </w:p>
        </w:tc>
        <w:tc>
          <w:tcPr>
            <w:tcW w:w="363" w:type="pct"/>
            <w:tcBorders>
              <w:top w:val="single" w:sz="4" w:space="0" w:color="auto"/>
              <w:left w:val="single" w:sz="4" w:space="0" w:color="auto"/>
              <w:bottom w:val="single" w:sz="4" w:space="0" w:color="auto"/>
              <w:right w:val="single" w:sz="4" w:space="0" w:color="auto"/>
            </w:tcBorders>
          </w:tcPr>
          <w:p w:rsidR="009A6765" w:rsidRPr="0000318B" w:rsidRDefault="009A6765" w:rsidP="009A6765">
            <w:pPr>
              <w:spacing w:after="0" w:line="240" w:lineRule="auto"/>
              <w:rPr>
                <w:rFonts w:ascii="Times New Roman" w:hAnsi="Times New Roman" w:cs="Times New Roman"/>
                <w:b/>
                <w:sz w:val="20"/>
                <w:szCs w:val="20"/>
                <w:lang w:val="en-US"/>
              </w:rPr>
            </w:pPr>
            <w:r w:rsidRPr="0000318B">
              <w:rPr>
                <w:rFonts w:ascii="Times New Roman" w:hAnsi="Times New Roman" w:cs="Times New Roman"/>
                <w:b/>
                <w:sz w:val="20"/>
                <w:szCs w:val="20"/>
                <w:lang w:val="en-US"/>
              </w:rPr>
              <w:t>Target (2029)</w:t>
            </w:r>
          </w:p>
          <w:p w:rsidR="009A6765" w:rsidRPr="0000318B" w:rsidRDefault="009A6765" w:rsidP="009A6765">
            <w:pPr>
              <w:spacing w:after="0" w:line="240" w:lineRule="auto"/>
              <w:rPr>
                <w:rFonts w:ascii="Times New Roman" w:hAnsi="Times New Roman" w:cs="Times New Roman"/>
                <w:b/>
                <w:sz w:val="20"/>
                <w:szCs w:val="20"/>
                <w:lang w:val="en-US"/>
              </w:rPr>
            </w:pPr>
          </w:p>
        </w:tc>
        <w:tc>
          <w:tcPr>
            <w:tcW w:w="364" w:type="pct"/>
            <w:tcBorders>
              <w:top w:val="single" w:sz="4" w:space="0" w:color="auto"/>
              <w:left w:val="single" w:sz="4" w:space="0" w:color="auto"/>
              <w:bottom w:val="single" w:sz="4" w:space="0" w:color="auto"/>
              <w:right w:val="single" w:sz="4" w:space="0" w:color="auto"/>
            </w:tcBorders>
            <w:hideMark/>
          </w:tcPr>
          <w:p w:rsidR="009A6765" w:rsidRPr="0000318B" w:rsidRDefault="009A6765" w:rsidP="009A6765">
            <w:pPr>
              <w:spacing w:after="0" w:line="240" w:lineRule="auto"/>
              <w:rPr>
                <w:rFonts w:ascii="Times New Roman" w:hAnsi="Times New Roman" w:cs="Times New Roman"/>
                <w:b/>
                <w:sz w:val="20"/>
                <w:szCs w:val="20"/>
                <w:lang w:val="en-US"/>
              </w:rPr>
            </w:pPr>
            <w:r w:rsidRPr="0000318B">
              <w:rPr>
                <w:rFonts w:ascii="Times New Roman" w:hAnsi="Times New Roman" w:cs="Times New Roman"/>
                <w:b/>
                <w:sz w:val="20"/>
                <w:szCs w:val="20"/>
                <w:lang w:val="en-US"/>
              </w:rPr>
              <w:t>Source of data [200]</w:t>
            </w:r>
          </w:p>
        </w:tc>
        <w:tc>
          <w:tcPr>
            <w:tcW w:w="731" w:type="pct"/>
            <w:tcBorders>
              <w:top w:val="single" w:sz="4" w:space="0" w:color="auto"/>
              <w:left w:val="single" w:sz="4" w:space="0" w:color="auto"/>
              <w:bottom w:val="single" w:sz="4" w:space="0" w:color="auto"/>
              <w:right w:val="single" w:sz="4" w:space="0" w:color="auto"/>
            </w:tcBorders>
            <w:hideMark/>
          </w:tcPr>
          <w:p w:rsidR="009A6765" w:rsidRPr="0000318B" w:rsidRDefault="009A6765" w:rsidP="009A6765">
            <w:pPr>
              <w:spacing w:after="0" w:line="240" w:lineRule="auto"/>
              <w:rPr>
                <w:rFonts w:ascii="Times New Roman" w:hAnsi="Times New Roman" w:cs="Times New Roman"/>
                <w:b/>
                <w:sz w:val="20"/>
                <w:szCs w:val="20"/>
                <w:lang w:val="en-US"/>
              </w:rPr>
            </w:pPr>
            <w:r w:rsidRPr="0000318B">
              <w:rPr>
                <w:rFonts w:ascii="Times New Roman" w:hAnsi="Times New Roman" w:cs="Times New Roman"/>
                <w:b/>
                <w:sz w:val="20"/>
                <w:szCs w:val="20"/>
                <w:lang w:val="en-US"/>
              </w:rPr>
              <w:t>Comments [200]</w:t>
            </w:r>
          </w:p>
        </w:tc>
      </w:tr>
      <w:tr w:rsidR="009A6765" w:rsidRPr="0000318B" w:rsidTr="009A6765">
        <w:trPr>
          <w:trHeight w:val="1024"/>
        </w:trPr>
        <w:tc>
          <w:tcPr>
            <w:tcW w:w="345" w:type="pct"/>
            <w:tcBorders>
              <w:top w:val="single" w:sz="4" w:space="0" w:color="auto"/>
              <w:left w:val="single" w:sz="4" w:space="0" w:color="auto"/>
              <w:bottom w:val="single" w:sz="4" w:space="0" w:color="auto"/>
              <w:right w:val="single" w:sz="4" w:space="0" w:color="auto"/>
            </w:tcBorders>
          </w:tcPr>
          <w:p w:rsidR="009A6765" w:rsidRPr="0000318B" w:rsidRDefault="009A6765" w:rsidP="009A6765">
            <w:pPr>
              <w:spacing w:after="0" w:line="240" w:lineRule="auto"/>
              <w:rPr>
                <w:rFonts w:ascii="Times New Roman" w:hAnsi="Times New Roman" w:cs="Times New Roman"/>
                <w:b/>
                <w:sz w:val="20"/>
                <w:szCs w:val="20"/>
                <w:lang w:val="en-US"/>
              </w:rPr>
            </w:pPr>
            <w:r w:rsidRPr="003357A7">
              <w:rPr>
                <w:rFonts w:ascii="Times New Roman" w:hAnsi="Times New Roman" w:cs="Times New Roman"/>
                <w:sz w:val="20"/>
                <w:szCs w:val="20"/>
                <w:lang w:val="en-US"/>
              </w:rPr>
              <w:t>3.2.</w:t>
            </w:r>
          </w:p>
        </w:tc>
        <w:tc>
          <w:tcPr>
            <w:tcW w:w="550" w:type="pct"/>
            <w:tcBorders>
              <w:top w:val="single" w:sz="4" w:space="0" w:color="auto"/>
              <w:left w:val="single" w:sz="4" w:space="0" w:color="auto"/>
              <w:bottom w:val="single" w:sz="4" w:space="0" w:color="auto"/>
              <w:right w:val="single" w:sz="4" w:space="0" w:color="auto"/>
            </w:tcBorders>
          </w:tcPr>
          <w:p w:rsidR="009A6765" w:rsidRPr="003357A7" w:rsidRDefault="009A6765" w:rsidP="009A6765">
            <w:pPr>
              <w:spacing w:after="0" w:line="240" w:lineRule="auto"/>
              <w:rPr>
                <w:rFonts w:ascii="Times New Roman" w:hAnsi="Times New Roman" w:cs="Times New Roman"/>
                <w:sz w:val="20"/>
                <w:szCs w:val="20"/>
                <w:lang w:val="en-US"/>
              </w:rPr>
            </w:pPr>
            <w:r w:rsidRPr="003357A7">
              <w:rPr>
                <w:rFonts w:ascii="Times New Roman" w:hAnsi="Times New Roman" w:cs="Times New Roman"/>
                <w:sz w:val="20"/>
                <w:szCs w:val="20"/>
                <w:lang w:val="en-US"/>
              </w:rPr>
              <w:t>SO 3.b (vii) Îmbunătățirea protecției naturii și a biodiversității, a infrastructurii verzi în special în mediul urban și reducerea poluării</w:t>
            </w:r>
          </w:p>
          <w:p w:rsidR="009A6765" w:rsidRPr="0000318B" w:rsidRDefault="009A6765" w:rsidP="009A6765">
            <w:pPr>
              <w:spacing w:after="0" w:line="240" w:lineRule="auto"/>
              <w:rPr>
                <w:rFonts w:ascii="Times New Roman" w:hAnsi="Times New Roman" w:cs="Times New Roman"/>
                <w:b/>
                <w:sz w:val="20"/>
                <w:szCs w:val="20"/>
                <w:lang w:val="en-US"/>
              </w:rPr>
            </w:pPr>
          </w:p>
        </w:tc>
        <w:tc>
          <w:tcPr>
            <w:tcW w:w="239" w:type="pct"/>
            <w:tcBorders>
              <w:top w:val="single" w:sz="4" w:space="0" w:color="auto"/>
              <w:left w:val="single" w:sz="4" w:space="0" w:color="auto"/>
              <w:bottom w:val="single" w:sz="4" w:space="0" w:color="auto"/>
              <w:right w:val="single" w:sz="4" w:space="0" w:color="auto"/>
            </w:tcBorders>
          </w:tcPr>
          <w:p w:rsidR="009A6765" w:rsidRPr="0000318B" w:rsidRDefault="009A6765" w:rsidP="009A6765">
            <w:pPr>
              <w:spacing w:after="0" w:line="240" w:lineRule="auto"/>
              <w:rPr>
                <w:rFonts w:ascii="Times New Roman" w:hAnsi="Times New Roman" w:cs="Times New Roman"/>
                <w:b/>
                <w:sz w:val="20"/>
                <w:szCs w:val="20"/>
                <w:lang w:val="en-US"/>
              </w:rPr>
            </w:pPr>
            <w:r>
              <w:rPr>
                <w:rFonts w:ascii="Times New Roman" w:hAnsi="Times New Roman" w:cs="Times New Roman"/>
                <w:sz w:val="20"/>
                <w:szCs w:val="20"/>
                <w:lang w:val="en-US"/>
              </w:rPr>
              <w:t>FEDR</w:t>
            </w:r>
          </w:p>
        </w:tc>
        <w:tc>
          <w:tcPr>
            <w:tcW w:w="500" w:type="pct"/>
            <w:tcBorders>
              <w:top w:val="single" w:sz="4" w:space="0" w:color="auto"/>
              <w:left w:val="single" w:sz="4" w:space="0" w:color="auto"/>
              <w:bottom w:val="single" w:sz="4" w:space="0" w:color="auto"/>
              <w:right w:val="single" w:sz="4" w:space="0" w:color="auto"/>
            </w:tcBorders>
          </w:tcPr>
          <w:p w:rsidR="009A6765" w:rsidRPr="0000318B" w:rsidRDefault="009A6765" w:rsidP="009A6765">
            <w:pPr>
              <w:spacing w:after="0" w:line="240" w:lineRule="auto"/>
              <w:rPr>
                <w:rFonts w:ascii="Times New Roman" w:hAnsi="Times New Roman" w:cs="Times New Roman"/>
                <w:b/>
                <w:sz w:val="20"/>
                <w:szCs w:val="20"/>
                <w:lang w:val="en-US"/>
              </w:rPr>
            </w:pPr>
            <w:r w:rsidRPr="003357A7">
              <w:rPr>
                <w:rFonts w:ascii="Times New Roman" w:hAnsi="Times New Roman" w:cs="Times New Roman"/>
                <w:noProof/>
                <w:sz w:val="20"/>
                <w:szCs w:val="20"/>
              </w:rPr>
              <w:t>Mai puțin dezvoltată</w:t>
            </w:r>
          </w:p>
        </w:tc>
        <w:tc>
          <w:tcPr>
            <w:tcW w:w="272" w:type="pct"/>
            <w:tcBorders>
              <w:top w:val="single" w:sz="4" w:space="0" w:color="auto"/>
              <w:left w:val="single" w:sz="4" w:space="0" w:color="auto"/>
              <w:bottom w:val="single" w:sz="4" w:space="0" w:color="auto"/>
              <w:right w:val="single" w:sz="4" w:space="0" w:color="auto"/>
            </w:tcBorders>
          </w:tcPr>
          <w:p w:rsidR="009A6765" w:rsidRPr="00C63148" w:rsidRDefault="009A6765" w:rsidP="009A6765">
            <w:pPr>
              <w:spacing w:after="0" w:line="240" w:lineRule="auto"/>
              <w:rPr>
                <w:rFonts w:ascii="Times New Roman" w:hAnsi="Times New Roman" w:cs="Times New Roman"/>
                <w:sz w:val="20"/>
                <w:szCs w:val="20"/>
                <w:lang w:val="en-US"/>
              </w:rPr>
            </w:pPr>
            <w:r w:rsidRPr="00C63148">
              <w:rPr>
                <w:rFonts w:ascii="Times New Roman" w:hAnsi="Times New Roman" w:cs="Times New Roman"/>
                <w:sz w:val="20"/>
                <w:szCs w:val="20"/>
                <w:lang w:val="en-US"/>
              </w:rPr>
              <w:t>RCR 95</w:t>
            </w:r>
          </w:p>
        </w:tc>
        <w:tc>
          <w:tcPr>
            <w:tcW w:w="500" w:type="pct"/>
            <w:tcBorders>
              <w:top w:val="single" w:sz="4" w:space="0" w:color="auto"/>
              <w:left w:val="single" w:sz="4" w:space="0" w:color="auto"/>
              <w:bottom w:val="single" w:sz="4" w:space="0" w:color="auto"/>
              <w:right w:val="single" w:sz="4" w:space="0" w:color="auto"/>
            </w:tcBorders>
          </w:tcPr>
          <w:p w:rsidR="009A6765" w:rsidRPr="0000318B" w:rsidRDefault="009A6765" w:rsidP="009A6765">
            <w:pPr>
              <w:rPr>
                <w:rFonts w:ascii="Times New Roman" w:hAnsi="Times New Roman" w:cs="Times New Roman"/>
                <w:b/>
                <w:sz w:val="20"/>
                <w:szCs w:val="20"/>
                <w:lang w:val="en-US"/>
              </w:rPr>
            </w:pPr>
            <w:r w:rsidRPr="0000318B">
              <w:rPr>
                <w:rFonts w:ascii="Times New Roman" w:eastAsia="Times New Roman" w:hAnsi="Times New Roman" w:cs="Times New Roman"/>
                <w:i/>
                <w:color w:val="000000"/>
                <w:sz w:val="20"/>
                <w:szCs w:val="20"/>
                <w:lang w:val="en-US" w:eastAsia="en-GB"/>
              </w:rPr>
              <w:t>Populația care are acces la infrastructuri verzi noi sau modernizate în zonele urbane</w:t>
            </w:r>
          </w:p>
        </w:tc>
        <w:tc>
          <w:tcPr>
            <w:tcW w:w="363" w:type="pct"/>
            <w:tcBorders>
              <w:top w:val="single" w:sz="4" w:space="0" w:color="auto"/>
              <w:left w:val="single" w:sz="4" w:space="0" w:color="auto"/>
              <w:bottom w:val="single" w:sz="4" w:space="0" w:color="auto"/>
              <w:right w:val="single" w:sz="4" w:space="0" w:color="auto"/>
            </w:tcBorders>
          </w:tcPr>
          <w:p w:rsidR="009A6765" w:rsidRPr="00C63148" w:rsidRDefault="009A6765" w:rsidP="009A6765">
            <w:pPr>
              <w:spacing w:after="0" w:line="240" w:lineRule="auto"/>
              <w:rPr>
                <w:rFonts w:ascii="Times New Roman" w:hAnsi="Times New Roman" w:cs="Times New Roman"/>
                <w:sz w:val="20"/>
                <w:szCs w:val="20"/>
                <w:lang w:val="en-US"/>
              </w:rPr>
            </w:pPr>
            <w:r w:rsidRPr="00C63148">
              <w:rPr>
                <w:rFonts w:ascii="Times New Roman" w:hAnsi="Times New Roman" w:cs="Times New Roman"/>
                <w:sz w:val="20"/>
                <w:szCs w:val="20"/>
                <w:lang w:val="en-US"/>
              </w:rPr>
              <w:t>persoane</w:t>
            </w:r>
          </w:p>
        </w:tc>
        <w:tc>
          <w:tcPr>
            <w:tcW w:w="409" w:type="pct"/>
            <w:tcBorders>
              <w:top w:val="single" w:sz="4" w:space="0" w:color="auto"/>
              <w:left w:val="single" w:sz="4" w:space="0" w:color="auto"/>
              <w:bottom w:val="single" w:sz="4" w:space="0" w:color="auto"/>
              <w:right w:val="single" w:sz="4" w:space="0" w:color="auto"/>
            </w:tcBorders>
          </w:tcPr>
          <w:p w:rsidR="009A6765" w:rsidRPr="00C63148" w:rsidRDefault="009A6765" w:rsidP="009A6765">
            <w:pPr>
              <w:spacing w:after="0" w:line="240" w:lineRule="auto"/>
              <w:rPr>
                <w:rFonts w:ascii="Times New Roman" w:hAnsi="Times New Roman" w:cs="Times New Roman"/>
                <w:sz w:val="20"/>
                <w:szCs w:val="20"/>
                <w:lang w:val="en-US"/>
              </w:rPr>
            </w:pPr>
            <w:r w:rsidRPr="00C63148">
              <w:rPr>
                <w:rFonts w:ascii="Times New Roman" w:hAnsi="Times New Roman" w:cs="Times New Roman"/>
                <w:sz w:val="20"/>
                <w:szCs w:val="20"/>
                <w:lang w:val="en-US"/>
              </w:rPr>
              <w:t>0</w:t>
            </w:r>
          </w:p>
        </w:tc>
        <w:tc>
          <w:tcPr>
            <w:tcW w:w="364" w:type="pct"/>
            <w:tcBorders>
              <w:top w:val="single" w:sz="4" w:space="0" w:color="auto"/>
              <w:left w:val="single" w:sz="4" w:space="0" w:color="auto"/>
              <w:bottom w:val="single" w:sz="4" w:space="0" w:color="auto"/>
              <w:right w:val="single" w:sz="4" w:space="0" w:color="auto"/>
            </w:tcBorders>
          </w:tcPr>
          <w:p w:rsidR="009A6765" w:rsidRPr="00C63148" w:rsidRDefault="009A6765" w:rsidP="009A6765">
            <w:pPr>
              <w:spacing w:after="0" w:line="240" w:lineRule="auto"/>
              <w:rPr>
                <w:rFonts w:ascii="Times New Roman" w:hAnsi="Times New Roman" w:cs="Times New Roman"/>
                <w:sz w:val="20"/>
                <w:szCs w:val="20"/>
                <w:lang w:val="en-US"/>
              </w:rPr>
            </w:pPr>
            <w:r w:rsidRPr="00C63148">
              <w:rPr>
                <w:rFonts w:ascii="Times New Roman" w:hAnsi="Times New Roman" w:cs="Times New Roman"/>
                <w:sz w:val="20"/>
                <w:szCs w:val="20"/>
                <w:lang w:val="en-US"/>
              </w:rPr>
              <w:t>2020</w:t>
            </w:r>
          </w:p>
        </w:tc>
        <w:tc>
          <w:tcPr>
            <w:tcW w:w="363" w:type="pct"/>
            <w:tcBorders>
              <w:top w:val="single" w:sz="4" w:space="0" w:color="auto"/>
              <w:left w:val="single" w:sz="4" w:space="0" w:color="auto"/>
              <w:bottom w:val="single" w:sz="4" w:space="0" w:color="auto"/>
              <w:right w:val="single" w:sz="4" w:space="0" w:color="auto"/>
            </w:tcBorders>
          </w:tcPr>
          <w:p w:rsidR="009A6765" w:rsidRPr="0000318B" w:rsidRDefault="007C1415" w:rsidP="009A6765">
            <w:pPr>
              <w:spacing w:after="0" w:line="240" w:lineRule="auto"/>
              <w:rPr>
                <w:rFonts w:ascii="Times New Roman" w:hAnsi="Times New Roman" w:cs="Times New Roman"/>
                <w:b/>
                <w:sz w:val="20"/>
                <w:szCs w:val="20"/>
                <w:lang w:val="en-US"/>
              </w:rPr>
            </w:pPr>
            <w:r>
              <w:rPr>
                <w:rFonts w:ascii="Times New Roman" w:hAnsi="Times New Roman" w:cs="Times New Roman"/>
                <w:b/>
                <w:sz w:val="20"/>
                <w:szCs w:val="20"/>
                <w:lang w:val="en-US"/>
              </w:rPr>
              <w:t>159600</w:t>
            </w:r>
          </w:p>
        </w:tc>
        <w:tc>
          <w:tcPr>
            <w:tcW w:w="364" w:type="pct"/>
            <w:tcBorders>
              <w:top w:val="single" w:sz="4" w:space="0" w:color="auto"/>
              <w:left w:val="single" w:sz="4" w:space="0" w:color="auto"/>
              <w:bottom w:val="single" w:sz="4" w:space="0" w:color="auto"/>
              <w:right w:val="single" w:sz="4" w:space="0" w:color="auto"/>
            </w:tcBorders>
          </w:tcPr>
          <w:p w:rsidR="009A6765" w:rsidRDefault="009A6765" w:rsidP="009A6765">
            <w:pPr>
              <w:spacing w:after="0" w:line="240" w:lineRule="auto"/>
              <w:rPr>
                <w:rFonts w:ascii="Times New Roman" w:hAnsi="Times New Roman" w:cs="Times New Roman"/>
                <w:i/>
                <w:sz w:val="20"/>
                <w:szCs w:val="20"/>
                <w:lang w:val="en-US"/>
              </w:rPr>
            </w:pPr>
            <w:r w:rsidRPr="00D27E6F">
              <w:rPr>
                <w:rFonts w:ascii="Times New Roman" w:hAnsi="Times New Roman" w:cs="Times New Roman"/>
                <w:i/>
                <w:sz w:val="20"/>
                <w:szCs w:val="20"/>
                <w:lang w:val="en-US"/>
              </w:rPr>
              <w:t>Rapoarte de monitorizare POR- MYSMIS</w:t>
            </w:r>
          </w:p>
          <w:p w:rsidR="009A6765" w:rsidRPr="0000318B" w:rsidRDefault="009A6765" w:rsidP="009A6765">
            <w:pPr>
              <w:spacing w:after="0" w:line="240" w:lineRule="auto"/>
              <w:rPr>
                <w:rFonts w:ascii="Times New Roman" w:hAnsi="Times New Roman" w:cs="Times New Roman"/>
                <w:b/>
                <w:sz w:val="20"/>
                <w:szCs w:val="20"/>
                <w:lang w:val="en-US"/>
              </w:rPr>
            </w:pPr>
            <w:r>
              <w:rPr>
                <w:rFonts w:ascii="Times New Roman" w:hAnsi="Times New Roman" w:cs="Times New Roman"/>
                <w:i/>
                <w:sz w:val="20"/>
                <w:szCs w:val="20"/>
                <w:lang w:val="en-US"/>
              </w:rPr>
              <w:t>(pe baza numarului de proiecte si a suprafetei reabilitate</w:t>
            </w:r>
          </w:p>
        </w:tc>
        <w:tc>
          <w:tcPr>
            <w:tcW w:w="731" w:type="pct"/>
            <w:tcBorders>
              <w:top w:val="single" w:sz="4" w:space="0" w:color="auto"/>
              <w:left w:val="single" w:sz="4" w:space="0" w:color="auto"/>
              <w:bottom w:val="single" w:sz="4" w:space="0" w:color="auto"/>
              <w:right w:val="single" w:sz="4" w:space="0" w:color="auto"/>
            </w:tcBorders>
          </w:tcPr>
          <w:p w:rsidR="009A6765" w:rsidRPr="00C63148" w:rsidRDefault="009A6765" w:rsidP="009A6765">
            <w:pPr>
              <w:spacing w:after="0" w:line="240" w:lineRule="auto"/>
              <w:rPr>
                <w:rFonts w:ascii="Times New Roman" w:hAnsi="Times New Roman" w:cs="Times New Roman"/>
                <w:i/>
                <w:sz w:val="20"/>
                <w:szCs w:val="20"/>
                <w:lang w:val="en-US"/>
              </w:rPr>
            </w:pPr>
            <w:r w:rsidRPr="00C63148">
              <w:rPr>
                <w:rFonts w:ascii="Times New Roman" w:hAnsi="Times New Roman" w:cs="Times New Roman"/>
                <w:i/>
                <w:sz w:val="20"/>
                <w:szCs w:val="20"/>
                <w:lang w:val="en-US"/>
              </w:rPr>
              <w:t>Population living within a 2 km radius from the public green infrastructure built or significantly ugraded in urban areas and supported by the projects (see COM 2012 in references).</w:t>
            </w:r>
          </w:p>
        </w:tc>
      </w:tr>
    </w:tbl>
    <w:p w:rsidR="009A6765" w:rsidRPr="004B2CCD" w:rsidRDefault="009A6765" w:rsidP="004B2CCD">
      <w:pPr>
        <w:spacing w:after="0" w:line="240" w:lineRule="auto"/>
        <w:rPr>
          <w:rFonts w:ascii="Times New Roman" w:hAnsi="Times New Roman" w:cs="Times New Roman"/>
          <w:i/>
          <w:sz w:val="20"/>
          <w:szCs w:val="20"/>
          <w:lang w:val="en-GB"/>
        </w:rPr>
        <w:sectPr w:rsidR="009A6765" w:rsidRPr="004B2CCD" w:rsidSect="009A6765">
          <w:headerReference w:type="default" r:id="rId12"/>
          <w:footerReference w:type="default" r:id="rId13"/>
          <w:pgSz w:w="16838" w:h="11906" w:orient="landscape"/>
          <w:pgMar w:top="1134" w:right="1134" w:bottom="1134" w:left="1134" w:header="567" w:footer="567" w:gutter="0"/>
          <w:cols w:space="720"/>
          <w:docGrid w:linePitch="326"/>
        </w:sectPr>
      </w:pPr>
      <w:r w:rsidRPr="0000318B">
        <w:rPr>
          <w:rFonts w:ascii="Times New Roman" w:hAnsi="Times New Roman" w:cs="Times New Roman"/>
          <w:i/>
          <w:sz w:val="20"/>
          <w:szCs w:val="20"/>
          <w:lang w:val="en-GB"/>
        </w:rPr>
        <w:t>[Point 2.1.1.3 in the Commission proposal has been moved up following changes in Article 17(3)(c) CPR and it is now point 2.1.1.</w:t>
      </w:r>
      <w:r w:rsidR="004B2CCD">
        <w:rPr>
          <w:rFonts w:ascii="Times New Roman" w:hAnsi="Times New Roman" w:cs="Times New Roman"/>
          <w:i/>
          <w:sz w:val="20"/>
          <w:szCs w:val="20"/>
          <w:lang w:val="en-GB"/>
        </w:rPr>
        <w:t>bis]</w:t>
      </w:r>
    </w:p>
    <w:p w:rsidR="00D02D32" w:rsidRDefault="00D02D32" w:rsidP="00D02D32">
      <w:pPr>
        <w:spacing w:after="0" w:line="240" w:lineRule="auto"/>
        <w:contextualSpacing/>
        <w:rPr>
          <w:rFonts w:ascii="Times New Roman" w:hAnsi="Times New Roman" w:cs="Times New Roman"/>
          <w:b/>
          <w:color w:val="002060"/>
          <w:sz w:val="20"/>
          <w:szCs w:val="20"/>
          <w:lang w:val="en-US"/>
        </w:rPr>
        <w:sectPr w:rsidR="00D02D32" w:rsidSect="00E74716">
          <w:headerReference w:type="default" r:id="rId14"/>
          <w:footerReference w:type="default" r:id="rId15"/>
          <w:pgSz w:w="16838" w:h="11906" w:orient="landscape"/>
          <w:pgMar w:top="1134" w:right="1134" w:bottom="1134" w:left="1134" w:header="567" w:footer="567" w:gutter="0"/>
          <w:cols w:space="720"/>
          <w:docGrid w:linePitch="326"/>
        </w:sectPr>
      </w:pPr>
    </w:p>
    <w:p w:rsidR="009A6765" w:rsidRPr="0000318B" w:rsidRDefault="009A6765" w:rsidP="009A6765">
      <w:pPr>
        <w:spacing w:after="0" w:line="240" w:lineRule="auto"/>
        <w:contextualSpacing/>
        <w:rPr>
          <w:rFonts w:ascii="Times New Roman" w:hAnsi="Times New Roman" w:cs="Times New Roman"/>
          <w:b/>
          <w:color w:val="002060"/>
          <w:sz w:val="20"/>
          <w:szCs w:val="20"/>
          <w:lang w:val="en-US"/>
        </w:rPr>
      </w:pPr>
      <w:r w:rsidRPr="0000318B">
        <w:rPr>
          <w:rFonts w:ascii="Times New Roman" w:hAnsi="Times New Roman" w:cs="Times New Roman"/>
          <w:b/>
          <w:color w:val="002060"/>
          <w:sz w:val="20"/>
          <w:szCs w:val="20"/>
          <w:lang w:val="en-US"/>
        </w:rPr>
        <w:lastRenderedPageBreak/>
        <w:t>SO 4.b (viii) Promovarea mobilității urbane multimodale sustenabile</w:t>
      </w:r>
    </w:p>
    <w:p w:rsidR="009A6765" w:rsidRPr="0000318B" w:rsidRDefault="009A6765" w:rsidP="009A6765">
      <w:pPr>
        <w:spacing w:after="0" w:line="240" w:lineRule="auto"/>
        <w:contextualSpacing/>
        <w:rPr>
          <w:rFonts w:ascii="Times New Roman" w:eastAsia="Times New Roman" w:hAnsi="Times New Roman" w:cs="Times New Roman"/>
          <w:b/>
          <w:iCs/>
          <w:noProof/>
          <w:color w:val="002060"/>
          <w:sz w:val="20"/>
          <w:szCs w:val="20"/>
          <w:lang w:val="en-GB"/>
        </w:rPr>
      </w:pPr>
    </w:p>
    <w:p w:rsidR="009A6765" w:rsidRPr="0000318B" w:rsidRDefault="009A6765" w:rsidP="009A6765">
      <w:pPr>
        <w:spacing w:after="0" w:line="240" w:lineRule="auto"/>
        <w:contextualSpacing/>
        <w:rPr>
          <w:rFonts w:ascii="Times New Roman" w:eastAsia="Times New Roman" w:hAnsi="Times New Roman" w:cs="Times New Roman"/>
          <w:b/>
          <w:iCs/>
          <w:noProof/>
          <w:sz w:val="20"/>
          <w:szCs w:val="20"/>
          <w:lang w:val="en-GB"/>
        </w:rPr>
      </w:pPr>
      <w:r w:rsidRPr="0000318B">
        <w:rPr>
          <w:rFonts w:ascii="Times New Roman" w:eastAsia="Times New Roman" w:hAnsi="Times New Roman" w:cs="Times New Roman"/>
          <w:b/>
          <w:iCs/>
          <w:noProof/>
          <w:sz w:val="20"/>
          <w:szCs w:val="20"/>
          <w:lang w:val="en-GB"/>
        </w:rPr>
        <w:t>2.A.3.1 Interventions of the Funds</w:t>
      </w:r>
    </w:p>
    <w:p w:rsidR="009A6765" w:rsidRPr="0000318B" w:rsidRDefault="009A6765" w:rsidP="009A6765">
      <w:pPr>
        <w:spacing w:after="0" w:line="240" w:lineRule="auto"/>
        <w:contextualSpacing/>
        <w:rPr>
          <w:rFonts w:ascii="Times New Roman" w:eastAsia="Times New Roman" w:hAnsi="Times New Roman" w:cs="Times New Roman"/>
          <w:i/>
          <w:noProof/>
          <w:sz w:val="20"/>
          <w:szCs w:val="20"/>
          <w:lang w:val="en-GB"/>
        </w:rPr>
      </w:pPr>
      <w:r w:rsidRPr="0000318B">
        <w:rPr>
          <w:rFonts w:ascii="Times New Roman" w:eastAsia="Times New Roman" w:hAnsi="Times New Roman" w:cs="Times New Roman"/>
          <w:i/>
          <w:noProof/>
          <w:sz w:val="20"/>
          <w:szCs w:val="20"/>
          <w:lang w:val="en-GB"/>
        </w:rPr>
        <w:t>Reference: Article 17(3)(d)(i),(iii),(iv),(v),(vi);</w:t>
      </w:r>
    </w:p>
    <w:p w:rsidR="009A6765" w:rsidRPr="0000318B" w:rsidRDefault="009A6765" w:rsidP="009A6765">
      <w:pPr>
        <w:bidi/>
        <w:spacing w:after="0" w:line="240" w:lineRule="auto"/>
        <w:contextualSpacing/>
        <w:jc w:val="right"/>
        <w:rPr>
          <w:rFonts w:ascii="Times New Roman" w:eastAsia="Times New Roman" w:hAnsi="Times New Roman" w:cs="Times New Roman"/>
          <w:i/>
          <w:noProof/>
          <w:sz w:val="20"/>
          <w:szCs w:val="20"/>
          <w:lang w:val="en-GB"/>
        </w:rPr>
      </w:pPr>
      <w:r w:rsidRPr="0000318B">
        <w:rPr>
          <w:rFonts w:ascii="Times New Roman" w:eastAsia="Times New Roman" w:hAnsi="Times New Roman" w:cs="Times New Roman"/>
          <w:i/>
          <w:noProof/>
          <w:sz w:val="20"/>
          <w:szCs w:val="20"/>
          <w:lang w:val="en-GB"/>
        </w:rPr>
        <w:t>The related types of actions – Article 17(3)(d)(i) CPR; Article 6(2) ESF+</w:t>
      </w:r>
    </w:p>
    <w:p w:rsidR="009A6765" w:rsidRPr="0000318B" w:rsidRDefault="009A6765" w:rsidP="009A6765">
      <w:pPr>
        <w:bidi/>
        <w:spacing w:after="0" w:line="240" w:lineRule="auto"/>
        <w:contextualSpacing/>
        <w:jc w:val="center"/>
        <w:rPr>
          <w:rFonts w:ascii="Times New Roman" w:hAnsi="Times New Roman" w:cs="Times New Roman"/>
          <w:sz w:val="20"/>
          <w:szCs w:val="20"/>
          <w:rtl/>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tblGrid>
      <w:tr w:rsidR="009A6765" w:rsidRPr="0000318B" w:rsidTr="009A6765">
        <w:tc>
          <w:tcPr>
            <w:tcW w:w="9776" w:type="dxa"/>
            <w:tcBorders>
              <w:top w:val="single" w:sz="4" w:space="0" w:color="auto"/>
              <w:left w:val="single" w:sz="4" w:space="0" w:color="auto"/>
              <w:bottom w:val="single" w:sz="4" w:space="0" w:color="auto"/>
              <w:right w:val="single" w:sz="4" w:space="0" w:color="auto"/>
            </w:tcBorders>
            <w:hideMark/>
          </w:tcPr>
          <w:p w:rsidR="009A6765" w:rsidRPr="0000318B" w:rsidRDefault="009A6765" w:rsidP="009A6765">
            <w:pPr>
              <w:spacing w:after="0" w:line="240" w:lineRule="auto"/>
              <w:contextualSpacing/>
              <w:jc w:val="both"/>
              <w:rPr>
                <w:rFonts w:ascii="Times New Roman" w:hAnsi="Times New Roman" w:cs="Times New Roman"/>
                <w:b/>
                <w:sz w:val="20"/>
                <w:szCs w:val="20"/>
              </w:rPr>
            </w:pPr>
          </w:p>
          <w:p w:rsidR="009A6765" w:rsidRPr="00531DFB" w:rsidRDefault="009A6765" w:rsidP="009A6765">
            <w:pPr>
              <w:spacing w:after="0" w:line="240" w:lineRule="auto"/>
              <w:jc w:val="both"/>
              <w:rPr>
                <w:rFonts w:ascii="Times New Roman" w:eastAsia="Calibri" w:hAnsi="Times New Roman" w:cs="Times New Roman"/>
                <w:bCs/>
                <w:sz w:val="20"/>
                <w:szCs w:val="20"/>
              </w:rPr>
            </w:pPr>
            <w:r w:rsidRPr="00531DFB">
              <w:rPr>
                <w:rFonts w:ascii="Times New Roman" w:eastAsia="Calibri" w:hAnsi="Times New Roman" w:cs="Times New Roman"/>
                <w:bCs/>
                <w:sz w:val="20"/>
                <w:szCs w:val="20"/>
              </w:rPr>
              <w:t xml:space="preserve">Deși s-au făcut investiții importante în mijloace de transport public noi în perioada 2014-2020, </w:t>
            </w:r>
            <w:r w:rsidRPr="00531DFB">
              <w:rPr>
                <w:rFonts w:ascii="Times New Roman" w:eastAsia="Calibri" w:hAnsi="Times New Roman" w:cs="Times New Roman"/>
                <w:b/>
                <w:bCs/>
                <w:i/>
                <w:sz w:val="20"/>
                <w:szCs w:val="20"/>
              </w:rPr>
              <w:t>necesarul de material rulant</w:t>
            </w:r>
            <w:r w:rsidRPr="00531DFB">
              <w:rPr>
                <w:rFonts w:ascii="Times New Roman" w:eastAsia="Calibri" w:hAnsi="Times New Roman" w:cs="Times New Roman"/>
                <w:bCs/>
                <w:i/>
                <w:sz w:val="20"/>
                <w:szCs w:val="20"/>
              </w:rPr>
              <w:t xml:space="preserve"> ecologic </w:t>
            </w:r>
            <w:r w:rsidRPr="00531DFB">
              <w:rPr>
                <w:rFonts w:ascii="Times New Roman" w:eastAsia="Calibri" w:hAnsi="Times New Roman" w:cs="Times New Roman"/>
                <w:bCs/>
                <w:sz w:val="20"/>
                <w:szCs w:val="20"/>
              </w:rPr>
              <w:t>este crescut în continuare la nivelul multor municipalități din Regiune.</w:t>
            </w:r>
          </w:p>
          <w:p w:rsidR="009A6765" w:rsidRDefault="009A6765" w:rsidP="009A6765">
            <w:pPr>
              <w:spacing w:after="0" w:line="240" w:lineRule="auto"/>
              <w:jc w:val="both"/>
              <w:rPr>
                <w:rFonts w:ascii="Times New Roman" w:eastAsia="Calibri" w:hAnsi="Times New Roman" w:cs="Times New Roman"/>
                <w:bCs/>
                <w:sz w:val="20"/>
                <w:szCs w:val="20"/>
              </w:rPr>
            </w:pPr>
            <w:r w:rsidRPr="00531DFB">
              <w:rPr>
                <w:rFonts w:ascii="Times New Roman" w:eastAsia="Calibri" w:hAnsi="Times New Roman" w:cs="Times New Roman"/>
                <w:bCs/>
                <w:sz w:val="20"/>
                <w:szCs w:val="20"/>
              </w:rPr>
              <w:t>În Regiunea Centru există proiecte de bună practică privind mobilitatea urbană, dar sunt și foarte multe situații în care</w:t>
            </w:r>
            <w:r w:rsidRPr="00531DFB">
              <w:rPr>
                <w:rFonts w:ascii="Times New Roman" w:eastAsia="Calibri" w:hAnsi="Times New Roman" w:cs="Times New Roman"/>
                <w:b/>
                <w:bCs/>
                <w:sz w:val="20"/>
                <w:szCs w:val="20"/>
              </w:rPr>
              <w:t xml:space="preserve"> infrastructura de transport local </w:t>
            </w:r>
            <w:r w:rsidRPr="00531DFB">
              <w:rPr>
                <w:rFonts w:ascii="Times New Roman" w:eastAsia="Calibri" w:hAnsi="Times New Roman" w:cs="Times New Roman"/>
                <w:bCs/>
                <w:sz w:val="20"/>
                <w:szCs w:val="20"/>
              </w:rPr>
              <w:t xml:space="preserve">este insuficient dezvoltată și modernizată. În plus, s-a observat o </w:t>
            </w:r>
            <w:r w:rsidRPr="00531DFB">
              <w:rPr>
                <w:rFonts w:ascii="Times New Roman" w:eastAsia="Calibri" w:hAnsi="Times New Roman" w:cs="Times New Roman"/>
                <w:b/>
                <w:bCs/>
                <w:sz w:val="20"/>
                <w:szCs w:val="20"/>
              </w:rPr>
              <w:t>accentuare a problemelor</w:t>
            </w:r>
            <w:r w:rsidRPr="00531DFB">
              <w:rPr>
                <w:rFonts w:ascii="Times New Roman" w:eastAsia="Calibri" w:hAnsi="Times New Roman" w:cs="Times New Roman"/>
                <w:bCs/>
                <w:sz w:val="20"/>
                <w:szCs w:val="20"/>
              </w:rPr>
              <w:t xml:space="preserve"> privind </w:t>
            </w:r>
            <w:r w:rsidRPr="00531DFB">
              <w:rPr>
                <w:rFonts w:ascii="Times New Roman" w:eastAsia="Calibri" w:hAnsi="Times New Roman" w:cs="Times New Roman"/>
                <w:b/>
                <w:bCs/>
                <w:sz w:val="20"/>
                <w:szCs w:val="20"/>
              </w:rPr>
              <w:t xml:space="preserve">mobilitatea urbană durabilă, </w:t>
            </w:r>
            <w:r w:rsidRPr="00531DFB">
              <w:rPr>
                <w:rFonts w:ascii="Times New Roman" w:eastAsia="Calibri" w:hAnsi="Times New Roman" w:cs="Times New Roman"/>
                <w:sz w:val="20"/>
                <w:szCs w:val="20"/>
              </w:rPr>
              <w:t>cum ar fi</w:t>
            </w:r>
            <w:r w:rsidRPr="00531DFB">
              <w:rPr>
                <w:rFonts w:ascii="Times New Roman" w:eastAsia="Calibri" w:hAnsi="Times New Roman" w:cs="Times New Roman"/>
                <w:b/>
                <w:bCs/>
                <w:sz w:val="20"/>
                <w:szCs w:val="20"/>
              </w:rPr>
              <w:t xml:space="preserve">: </w:t>
            </w:r>
            <w:r w:rsidRPr="00531DFB">
              <w:rPr>
                <w:rFonts w:ascii="Times New Roman" w:eastAsia="Calibri" w:hAnsi="Times New Roman" w:cs="Times New Roman"/>
                <w:bCs/>
                <w:sz w:val="20"/>
                <w:szCs w:val="20"/>
              </w:rPr>
              <w:t xml:space="preserve">aglomerație și </w:t>
            </w:r>
            <w:r w:rsidRPr="00531DFB">
              <w:rPr>
                <w:rFonts w:ascii="Times New Roman" w:eastAsia="Calibri" w:hAnsi="Times New Roman" w:cs="Times New Roman"/>
                <w:b/>
                <w:bCs/>
                <w:i/>
                <w:sz w:val="20"/>
                <w:szCs w:val="20"/>
              </w:rPr>
              <w:t>lipsa unui sistem de prioritizare a mijloacelor de transport în comun</w:t>
            </w:r>
            <w:r w:rsidRPr="00531DFB">
              <w:rPr>
                <w:rFonts w:ascii="Times New Roman" w:eastAsia="Calibri" w:hAnsi="Times New Roman" w:cs="Times New Roman"/>
                <w:bCs/>
                <w:sz w:val="20"/>
                <w:szCs w:val="20"/>
              </w:rPr>
              <w:t xml:space="preserve"> pe anumite artere, lipsa </w:t>
            </w:r>
            <w:r w:rsidRPr="00531DFB">
              <w:rPr>
                <w:rFonts w:ascii="Times New Roman" w:eastAsia="Calibri" w:hAnsi="Times New Roman" w:cs="Times New Roman"/>
                <w:b/>
                <w:bCs/>
                <w:i/>
                <w:sz w:val="20"/>
                <w:szCs w:val="20"/>
              </w:rPr>
              <w:t>sistemului de semaforizare inteligentă</w:t>
            </w:r>
            <w:r w:rsidRPr="00531DFB">
              <w:rPr>
                <w:rFonts w:ascii="Times New Roman" w:eastAsia="Calibri" w:hAnsi="Times New Roman" w:cs="Times New Roman"/>
                <w:bCs/>
                <w:sz w:val="20"/>
                <w:szCs w:val="20"/>
              </w:rPr>
              <w:t xml:space="preserve">, </w:t>
            </w:r>
            <w:r w:rsidRPr="00531DFB">
              <w:rPr>
                <w:rFonts w:ascii="Times New Roman" w:eastAsia="Calibri" w:hAnsi="Times New Roman" w:cs="Times New Roman"/>
                <w:b/>
                <w:bCs/>
                <w:i/>
                <w:sz w:val="20"/>
                <w:szCs w:val="20"/>
              </w:rPr>
              <w:t>piste pentru biciclete</w:t>
            </w:r>
            <w:r w:rsidRPr="00531DFB">
              <w:rPr>
                <w:rFonts w:ascii="Times New Roman" w:eastAsia="Calibri" w:hAnsi="Times New Roman" w:cs="Times New Roman"/>
                <w:bCs/>
                <w:sz w:val="20"/>
                <w:szCs w:val="20"/>
              </w:rPr>
              <w:t xml:space="preserve"> insuficiente, </w:t>
            </w:r>
            <w:r w:rsidRPr="00531DFB">
              <w:rPr>
                <w:rFonts w:ascii="Times New Roman" w:eastAsia="Calibri" w:hAnsi="Times New Roman" w:cs="Times New Roman"/>
                <w:b/>
                <w:bCs/>
                <w:i/>
                <w:sz w:val="20"/>
                <w:szCs w:val="20"/>
              </w:rPr>
              <w:t xml:space="preserve">rute pietonale </w:t>
            </w:r>
            <w:r w:rsidRPr="00531DFB">
              <w:rPr>
                <w:rFonts w:ascii="Times New Roman" w:eastAsia="Calibri" w:hAnsi="Times New Roman" w:cs="Times New Roman"/>
                <w:bCs/>
                <w:sz w:val="20"/>
                <w:szCs w:val="20"/>
              </w:rPr>
              <w:t xml:space="preserve">insuficient amenajate, </w:t>
            </w:r>
            <w:r w:rsidRPr="00531DFB">
              <w:rPr>
                <w:rFonts w:ascii="Times New Roman" w:eastAsia="Calibri" w:hAnsi="Times New Roman" w:cs="Times New Roman"/>
                <w:b/>
                <w:bCs/>
                <w:i/>
                <w:sz w:val="20"/>
                <w:szCs w:val="20"/>
              </w:rPr>
              <w:t>centuri rutiere</w:t>
            </w:r>
            <w:r w:rsidRPr="00531DFB">
              <w:rPr>
                <w:rFonts w:ascii="Times New Roman" w:eastAsia="Calibri" w:hAnsi="Times New Roman" w:cs="Times New Roman"/>
                <w:bCs/>
                <w:sz w:val="20"/>
                <w:szCs w:val="20"/>
              </w:rPr>
              <w:t xml:space="preserve"> insuficiente, </w:t>
            </w:r>
            <w:r w:rsidRPr="00531DFB">
              <w:rPr>
                <w:rFonts w:ascii="Times New Roman" w:eastAsia="Calibri" w:hAnsi="Times New Roman" w:cs="Times New Roman"/>
                <w:b/>
                <w:bCs/>
                <w:i/>
                <w:sz w:val="20"/>
                <w:szCs w:val="20"/>
              </w:rPr>
              <w:t>stații și terminale de transport</w:t>
            </w:r>
            <w:r w:rsidRPr="00531DFB">
              <w:rPr>
                <w:rFonts w:ascii="Times New Roman" w:eastAsia="Calibri" w:hAnsi="Times New Roman" w:cs="Times New Roman"/>
                <w:bCs/>
                <w:sz w:val="20"/>
                <w:szCs w:val="20"/>
              </w:rPr>
              <w:t xml:space="preserve"> public nemodernizate etc.)</w:t>
            </w:r>
          </w:p>
          <w:p w:rsidR="009A6765" w:rsidRPr="00531DFB" w:rsidRDefault="009A6765" w:rsidP="009A6765">
            <w:pPr>
              <w:spacing w:after="0" w:line="240" w:lineRule="auto"/>
              <w:jc w:val="both"/>
              <w:rPr>
                <w:rFonts w:ascii="Times New Roman" w:eastAsia="Calibri" w:hAnsi="Times New Roman" w:cs="Times New Roman"/>
                <w:bCs/>
                <w:sz w:val="20"/>
                <w:szCs w:val="20"/>
              </w:rPr>
            </w:pPr>
            <w:r w:rsidRPr="00531DFB">
              <w:rPr>
                <w:rFonts w:ascii="Times New Roman" w:eastAsia="Calibri" w:hAnsi="Times New Roman" w:cs="Times New Roman"/>
                <w:bCs/>
                <w:sz w:val="20"/>
                <w:szCs w:val="20"/>
              </w:rPr>
              <w:t xml:space="preserve">În ce privește infrastructura de </w:t>
            </w:r>
            <w:r w:rsidRPr="00531DFB">
              <w:rPr>
                <w:rFonts w:ascii="Times New Roman" w:eastAsia="Calibri" w:hAnsi="Times New Roman" w:cs="Times New Roman"/>
                <w:b/>
                <w:bCs/>
                <w:i/>
                <w:sz w:val="20"/>
                <w:szCs w:val="20"/>
              </w:rPr>
              <w:t>transport la nivel urban/ metropolitan</w:t>
            </w:r>
            <w:r w:rsidRPr="00531DFB">
              <w:rPr>
                <w:rFonts w:ascii="Times New Roman" w:eastAsia="Calibri" w:hAnsi="Times New Roman" w:cs="Times New Roman"/>
                <w:bCs/>
                <w:sz w:val="20"/>
                <w:szCs w:val="20"/>
              </w:rPr>
              <w:t xml:space="preserve"> este nevoie de construirea de </w:t>
            </w:r>
            <w:r w:rsidRPr="00531DFB">
              <w:rPr>
                <w:rFonts w:ascii="Times New Roman" w:eastAsia="Calibri" w:hAnsi="Times New Roman" w:cs="Times New Roman"/>
                <w:b/>
                <w:bCs/>
                <w:i/>
                <w:sz w:val="20"/>
                <w:szCs w:val="20"/>
              </w:rPr>
              <w:t>centuri rutiere ocolitoare</w:t>
            </w:r>
            <w:r w:rsidRPr="00531DFB">
              <w:rPr>
                <w:rFonts w:ascii="Times New Roman" w:eastAsia="Calibri" w:hAnsi="Times New Roman" w:cs="Times New Roman"/>
                <w:bCs/>
                <w:sz w:val="20"/>
                <w:szCs w:val="20"/>
              </w:rPr>
              <w:t xml:space="preserve">, extinderea, reconstruirea sau modernizarea </w:t>
            </w:r>
            <w:r w:rsidRPr="00531DFB">
              <w:rPr>
                <w:rFonts w:ascii="Times New Roman" w:eastAsia="Calibri" w:hAnsi="Times New Roman" w:cs="Times New Roman"/>
                <w:b/>
                <w:bCs/>
                <w:i/>
                <w:sz w:val="20"/>
                <w:szCs w:val="20"/>
              </w:rPr>
              <w:t>liniilor de troleibuz</w:t>
            </w:r>
            <w:r w:rsidRPr="00531DFB">
              <w:rPr>
                <w:rFonts w:ascii="Times New Roman" w:eastAsia="Calibri" w:hAnsi="Times New Roman" w:cs="Times New Roman"/>
                <w:bCs/>
                <w:sz w:val="20"/>
                <w:szCs w:val="20"/>
              </w:rPr>
              <w:t>,</w:t>
            </w:r>
            <w:r w:rsidR="006823EB">
              <w:rPr>
                <w:rFonts w:ascii="Times New Roman" w:eastAsia="Calibri" w:hAnsi="Times New Roman" w:cs="Times New Roman"/>
                <w:bCs/>
                <w:sz w:val="20"/>
                <w:szCs w:val="20"/>
              </w:rPr>
              <w:t xml:space="preserve"> liniilor dedicate transportului public,</w:t>
            </w:r>
            <w:r w:rsidRPr="00531DFB">
              <w:rPr>
                <w:rFonts w:ascii="Times New Roman" w:eastAsia="Calibri" w:hAnsi="Times New Roman" w:cs="Times New Roman"/>
                <w:bCs/>
                <w:sz w:val="20"/>
                <w:szCs w:val="20"/>
              </w:rPr>
              <w:t xml:space="preserve"> modernizarea de</w:t>
            </w:r>
            <w:r w:rsidRPr="00531DFB">
              <w:rPr>
                <w:rFonts w:ascii="Times New Roman" w:eastAsia="Calibri" w:hAnsi="Times New Roman" w:cs="Times New Roman"/>
                <w:b/>
                <w:bCs/>
                <w:i/>
                <w:sz w:val="20"/>
                <w:szCs w:val="20"/>
              </w:rPr>
              <w:t xml:space="preserve"> material rulant ecologic </w:t>
            </w:r>
            <w:r w:rsidRPr="00531DFB">
              <w:rPr>
                <w:rFonts w:ascii="Times New Roman" w:eastAsia="Calibri" w:hAnsi="Times New Roman" w:cs="Times New Roman"/>
                <w:bCs/>
                <w:sz w:val="20"/>
                <w:szCs w:val="20"/>
              </w:rPr>
              <w:t xml:space="preserve">(autobuze, troleibuze, tren urban), </w:t>
            </w:r>
            <w:r w:rsidRPr="00531DFB">
              <w:rPr>
                <w:rFonts w:ascii="Times New Roman" w:eastAsia="Calibri" w:hAnsi="Times New Roman" w:cs="Times New Roman"/>
                <w:b/>
                <w:bCs/>
                <w:i/>
                <w:sz w:val="20"/>
                <w:szCs w:val="20"/>
              </w:rPr>
              <w:t>reabilitarea/ modernizarea depourilor</w:t>
            </w:r>
            <w:r w:rsidRPr="00531DFB">
              <w:rPr>
                <w:rFonts w:ascii="Times New Roman" w:eastAsia="Calibri" w:hAnsi="Times New Roman" w:cs="Times New Roman"/>
                <w:bCs/>
                <w:sz w:val="20"/>
                <w:szCs w:val="20"/>
              </w:rPr>
              <w:t xml:space="preserve"> societăților de transport public local.</w:t>
            </w:r>
          </w:p>
          <w:p w:rsidR="009A6765" w:rsidRPr="00531DFB" w:rsidRDefault="009A6765" w:rsidP="009A6765">
            <w:pPr>
              <w:spacing w:after="0" w:line="240" w:lineRule="auto"/>
              <w:jc w:val="both"/>
              <w:rPr>
                <w:rFonts w:ascii="Times New Roman" w:eastAsia="Calibri" w:hAnsi="Times New Roman" w:cs="Times New Roman"/>
                <w:bCs/>
                <w:sz w:val="20"/>
                <w:szCs w:val="20"/>
              </w:rPr>
            </w:pPr>
            <w:r w:rsidRPr="00531DFB">
              <w:rPr>
                <w:rFonts w:ascii="Times New Roman" w:eastAsia="Calibri" w:hAnsi="Times New Roman" w:cs="Times New Roman"/>
                <w:bCs/>
                <w:sz w:val="20"/>
                <w:szCs w:val="20"/>
              </w:rPr>
              <w:t xml:space="preserve">O dată cu </w:t>
            </w:r>
            <w:r w:rsidRPr="00531DFB">
              <w:rPr>
                <w:rFonts w:ascii="Times New Roman" w:eastAsia="Calibri" w:hAnsi="Times New Roman" w:cs="Times New Roman"/>
                <w:bCs/>
                <w:i/>
                <w:sz w:val="20"/>
                <w:szCs w:val="20"/>
              </w:rPr>
              <w:t>creșterea transportului ecologic</w:t>
            </w:r>
            <w:r w:rsidRPr="00531DFB">
              <w:rPr>
                <w:rFonts w:ascii="Times New Roman" w:eastAsia="Calibri" w:hAnsi="Times New Roman" w:cs="Times New Roman"/>
                <w:bCs/>
                <w:sz w:val="20"/>
                <w:szCs w:val="20"/>
              </w:rPr>
              <w:t xml:space="preserve"> și utilizarea mijloacelor de transport electrice sau pe bază de biocombustibili, sunt necesare investiții semnificative în </w:t>
            </w:r>
            <w:r w:rsidRPr="00531DFB">
              <w:rPr>
                <w:rFonts w:ascii="Times New Roman" w:eastAsia="Calibri" w:hAnsi="Times New Roman" w:cs="Times New Roman"/>
                <w:b/>
                <w:bCs/>
                <w:i/>
                <w:sz w:val="20"/>
                <w:szCs w:val="20"/>
              </w:rPr>
              <w:t>infrastructuri pentru combustibili alternativi</w:t>
            </w:r>
            <w:r w:rsidRPr="00531DFB">
              <w:rPr>
                <w:rFonts w:ascii="Times New Roman" w:eastAsia="Calibri" w:hAnsi="Times New Roman" w:cs="Times New Roman"/>
                <w:bCs/>
                <w:sz w:val="20"/>
                <w:szCs w:val="20"/>
              </w:rPr>
              <w:t xml:space="preserve">, în special puncte de realimentare sau reîncărcare. Conform datelor colectate, la nivelul Regiunii Centru există doar 49 de stații de încărcare pentru mașinile electrice. </w:t>
            </w:r>
          </w:p>
          <w:p w:rsidR="009A6765" w:rsidRPr="00531DFB" w:rsidRDefault="009A6765" w:rsidP="009A6765">
            <w:pPr>
              <w:spacing w:after="0" w:line="240" w:lineRule="auto"/>
              <w:jc w:val="both"/>
              <w:rPr>
                <w:rFonts w:ascii="Times New Roman" w:eastAsia="Calibri" w:hAnsi="Times New Roman" w:cs="Times New Roman"/>
                <w:bCs/>
                <w:sz w:val="20"/>
                <w:szCs w:val="20"/>
              </w:rPr>
            </w:pPr>
            <w:r w:rsidRPr="00531DFB">
              <w:rPr>
                <w:rFonts w:ascii="Times New Roman" w:eastAsia="Calibri" w:hAnsi="Times New Roman" w:cs="Times New Roman"/>
                <w:bCs/>
                <w:sz w:val="20"/>
                <w:szCs w:val="20"/>
              </w:rPr>
              <w:t xml:space="preserve">De asemenea, este nevoie de extinderea, reconstruirea sau modernizarea </w:t>
            </w:r>
            <w:r w:rsidRPr="00531DFB">
              <w:rPr>
                <w:rFonts w:ascii="Times New Roman" w:eastAsia="Calibri" w:hAnsi="Times New Roman" w:cs="Times New Roman"/>
                <w:b/>
                <w:bCs/>
                <w:i/>
                <w:sz w:val="20"/>
                <w:szCs w:val="20"/>
              </w:rPr>
              <w:t>pistelor ciclabile</w:t>
            </w:r>
            <w:r w:rsidRPr="00531DFB">
              <w:rPr>
                <w:rFonts w:ascii="Times New Roman" w:eastAsia="Calibri" w:hAnsi="Times New Roman" w:cs="Times New Roman"/>
                <w:bCs/>
                <w:sz w:val="20"/>
                <w:szCs w:val="20"/>
              </w:rPr>
              <w:t xml:space="preserve">, preconizându-se o creștere a numărului anual de utilizatori ai acestor tipuri de piste. </w:t>
            </w:r>
          </w:p>
          <w:p w:rsidR="009A6765" w:rsidRPr="00531DFB" w:rsidRDefault="009A6765" w:rsidP="009A6765">
            <w:pPr>
              <w:spacing w:after="0" w:line="240" w:lineRule="auto"/>
              <w:jc w:val="both"/>
              <w:rPr>
                <w:rFonts w:ascii="Times New Roman" w:eastAsia="Calibri" w:hAnsi="Times New Roman" w:cs="Times New Roman"/>
                <w:sz w:val="20"/>
                <w:szCs w:val="20"/>
              </w:rPr>
            </w:pPr>
            <w:r w:rsidRPr="00531DFB">
              <w:rPr>
                <w:rFonts w:ascii="Times New Roman" w:eastAsia="Calibri" w:hAnsi="Times New Roman" w:cs="Times New Roman"/>
                <w:sz w:val="20"/>
                <w:szCs w:val="20"/>
              </w:rPr>
              <w:t xml:space="preserve">Realizarea sistemelor de tip </w:t>
            </w:r>
            <w:r w:rsidRPr="00531DFB">
              <w:rPr>
                <w:rFonts w:ascii="Times New Roman" w:eastAsia="Calibri" w:hAnsi="Times New Roman" w:cs="Times New Roman"/>
                <w:b/>
                <w:i/>
                <w:sz w:val="20"/>
                <w:szCs w:val="20"/>
              </w:rPr>
              <w:t>Park and Ride</w:t>
            </w:r>
            <w:r w:rsidRPr="00531DFB">
              <w:rPr>
                <w:rFonts w:ascii="Times New Roman" w:eastAsia="Calibri" w:hAnsi="Times New Roman" w:cs="Times New Roman"/>
                <w:sz w:val="20"/>
                <w:szCs w:val="20"/>
              </w:rPr>
              <w:t xml:space="preserve"> (parcări la intrarea în marile municipii care permit parcarea autoturismului și continuarea călătoriei cu mijloacele de transport public) va avea rolul de a facilita transferurile de la autoturismul personal la transportul public şi intermodalitatea.</w:t>
            </w:r>
          </w:p>
          <w:p w:rsidR="009A6765" w:rsidRPr="00C51E6D" w:rsidRDefault="009A6765" w:rsidP="009A6765">
            <w:pPr>
              <w:spacing w:after="0" w:line="240" w:lineRule="auto"/>
              <w:jc w:val="both"/>
              <w:rPr>
                <w:rFonts w:ascii="Times New Roman" w:eastAsia="Calibri" w:hAnsi="Times New Roman" w:cs="Times New Roman"/>
                <w:bCs/>
                <w:sz w:val="20"/>
                <w:szCs w:val="20"/>
              </w:rPr>
            </w:pPr>
            <w:r w:rsidRPr="00C51E6D">
              <w:rPr>
                <w:rFonts w:ascii="Times New Roman" w:eastAsia="Calibri" w:hAnsi="Times New Roman" w:cs="Times New Roman"/>
                <w:bCs/>
                <w:sz w:val="20"/>
                <w:szCs w:val="20"/>
              </w:rPr>
              <w:t>Este nevoie de un sistem de măsurare și monitorizare a calității aerului și reducerea zgomotului la nivel local, județean și regional care să permită ulterior luarea celor mai potrivite măsuri privind creșterea calității aerului și reducerea poluării acustice (care mai este denumită și poluare fonică sau poluare sonoră).</w:t>
            </w:r>
          </w:p>
          <w:p w:rsidR="009A6765" w:rsidRDefault="009A6765" w:rsidP="009A6765">
            <w:pPr>
              <w:spacing w:after="0" w:line="240" w:lineRule="auto"/>
              <w:jc w:val="both"/>
              <w:rPr>
                <w:rFonts w:ascii="Times New Roman" w:eastAsia="Calibri" w:hAnsi="Times New Roman" w:cs="Times New Roman"/>
                <w:bCs/>
                <w:sz w:val="20"/>
                <w:szCs w:val="20"/>
              </w:rPr>
            </w:pPr>
            <w:r w:rsidRPr="00531DFB">
              <w:rPr>
                <w:rFonts w:ascii="Times New Roman" w:eastAsia="Calibri" w:hAnsi="Times New Roman" w:cs="Times New Roman"/>
                <w:bCs/>
                <w:sz w:val="20"/>
                <w:szCs w:val="20"/>
              </w:rPr>
              <w:t xml:space="preserve">Este nevoie la nivel regional de o creștere semnificativă a numărului de orașe și localități cu </w:t>
            </w:r>
            <w:r w:rsidRPr="00531DFB">
              <w:rPr>
                <w:rFonts w:ascii="Times New Roman" w:eastAsia="Calibri" w:hAnsi="Times New Roman" w:cs="Times New Roman"/>
                <w:b/>
                <w:bCs/>
                <w:i/>
                <w:sz w:val="20"/>
                <w:szCs w:val="20"/>
              </w:rPr>
              <w:t>sisteme de transport urban digitalizate noi sau modernizate</w:t>
            </w:r>
            <w:r w:rsidRPr="00531DFB">
              <w:rPr>
                <w:rFonts w:ascii="Times New Roman" w:eastAsia="Calibri" w:hAnsi="Times New Roman" w:cs="Times New Roman"/>
                <w:bCs/>
                <w:sz w:val="20"/>
                <w:szCs w:val="20"/>
              </w:rPr>
              <w:t>. Pe termen mediu și lung, acest aspect se poate reflecta într-o creștere vizibilă de la an la an a numărului de pasageri ai transporturilor publice, precum și în reducerea emisiilor poluante.</w:t>
            </w:r>
          </w:p>
          <w:p w:rsidR="00DC56E7" w:rsidRDefault="00DC56E7" w:rsidP="00E95FAC">
            <w:pPr>
              <w:pStyle w:val="Default"/>
              <w:jc w:val="both"/>
              <w:rPr>
                <w:rFonts w:ascii="Times New Roman" w:eastAsia="Calibri" w:hAnsi="Times New Roman" w:cs="Times New Roman"/>
                <w:bCs/>
                <w:color w:val="auto"/>
                <w:sz w:val="20"/>
                <w:szCs w:val="20"/>
                <w:lang w:val="ro-RO" w:eastAsia="en-US"/>
              </w:rPr>
            </w:pPr>
            <w:r w:rsidRPr="00052C11">
              <w:rPr>
                <w:rFonts w:ascii="Times New Roman" w:eastAsia="Calibri" w:hAnsi="Times New Roman" w:cs="Times New Roman"/>
                <w:bCs/>
                <w:color w:val="auto"/>
                <w:sz w:val="20"/>
                <w:szCs w:val="20"/>
                <w:lang w:val="ro-RO" w:eastAsia="en-US"/>
              </w:rPr>
              <w:t xml:space="preserve">Calitatea infrastructurii rutiere, rămâne o provocare, mai ales în orașele mici. Pentru a putea asigura condiții sigure de deplasare în mediul urban dar și pentru a putea dezvolta proiecte de mobilitate urbană este nevoie de susținerea procesului de modernizare a infrastructurii de transport rutier. Acest aspect este valabil mai ales la orașele mici și foarte mici care nu au capacitatea financiară de a realiza investiții majore cum ar fi cele de modernizare a infrastructurii de transport rutier. </w:t>
            </w:r>
          </w:p>
          <w:p w:rsidR="004B2CCD" w:rsidRPr="00F87F2A" w:rsidRDefault="004B2CCD" w:rsidP="004B2CCD">
            <w:pPr>
              <w:spacing w:after="0" w:line="240" w:lineRule="auto"/>
              <w:jc w:val="both"/>
              <w:rPr>
                <w:rFonts w:ascii="Times New Roman" w:hAnsi="Times New Roman" w:cs="Times New Roman"/>
                <w:sz w:val="20"/>
                <w:szCs w:val="20"/>
              </w:rPr>
            </w:pPr>
            <w:r w:rsidRPr="00F87F2A">
              <w:rPr>
                <w:rFonts w:ascii="Times New Roman" w:hAnsi="Times New Roman" w:cs="Times New Roman"/>
                <w:iCs/>
                <w:sz w:val="20"/>
                <w:szCs w:val="20"/>
              </w:rPr>
              <w:t>Pandemia SARS COV 2 ne-a demonstrat că la nivel regional este nevoie de o planificare sustenabila a localităților în baza unor SIDU-uri și  PMUD-uri. La nivel regional s-a identificat necesitatea conectării și extinderii transportului public urban și peri-urban în corelare cu noile zone de dezvoltare urbană și cu efectele de expansiune teritorială a localităților, realizarea nodurilor intermodale pentru eficientizarea transportului public de persoane care să asigure conexiunea transportului metropolitan cu cel urban și transferul facil între diverse moduri de transport descurajând transportul individual în zonele urbane dense, dar și investițiile în infrastructuri durabile de transport, care să crească calitatea și fiabilitatea rețelelor rutiere de la nivelul zonelor urbane funcționale din regiune.</w:t>
            </w:r>
          </w:p>
          <w:p w:rsidR="004B2CCD" w:rsidRPr="00052C11" w:rsidRDefault="004B2CCD" w:rsidP="00E95FAC">
            <w:pPr>
              <w:pStyle w:val="Default"/>
              <w:jc w:val="both"/>
              <w:rPr>
                <w:rFonts w:ascii="Times New Roman" w:eastAsia="Calibri" w:hAnsi="Times New Roman" w:cs="Times New Roman"/>
                <w:bCs/>
                <w:color w:val="auto"/>
                <w:sz w:val="20"/>
                <w:szCs w:val="20"/>
                <w:lang w:val="ro-RO" w:eastAsia="en-US"/>
              </w:rPr>
            </w:pPr>
          </w:p>
          <w:p w:rsidR="009A6765" w:rsidRPr="00052C11" w:rsidRDefault="009A6765" w:rsidP="009A6765">
            <w:pPr>
              <w:spacing w:after="0" w:line="240" w:lineRule="auto"/>
              <w:contextualSpacing/>
              <w:rPr>
                <w:rFonts w:ascii="Times New Roman" w:eastAsia="Calibri" w:hAnsi="Times New Roman" w:cs="Times New Roman"/>
                <w:bCs/>
                <w:sz w:val="20"/>
                <w:szCs w:val="20"/>
              </w:rPr>
            </w:pPr>
            <w:r w:rsidRPr="00052C11">
              <w:rPr>
                <w:rFonts w:ascii="Times New Roman" w:eastAsia="Calibri" w:hAnsi="Times New Roman" w:cs="Times New Roman"/>
                <w:bCs/>
                <w:sz w:val="20"/>
                <w:szCs w:val="20"/>
              </w:rPr>
              <w:t>În acest sens, prin măsurile/ activitățile propuse se va urmări îmbunătățirea eficienței, timpilor de parcurs, accesibilității, transferului către transportul public de călători și modurile nemotorizate de transport, atât la nivelul municipiilor reședință de județ, cât și la nivelul celorlalte municipii și orașe.</w:t>
            </w:r>
          </w:p>
          <w:p w:rsidR="009A6765" w:rsidRDefault="009A6765" w:rsidP="009A6765">
            <w:pPr>
              <w:autoSpaceDE w:val="0"/>
              <w:autoSpaceDN w:val="0"/>
              <w:adjustRightInd w:val="0"/>
              <w:spacing w:after="0" w:line="240" w:lineRule="auto"/>
              <w:contextualSpacing/>
              <w:jc w:val="both"/>
              <w:rPr>
                <w:rFonts w:ascii="Times New Roman" w:hAnsi="Times New Roman" w:cs="Times New Roman"/>
                <w:i/>
                <w:sz w:val="20"/>
                <w:szCs w:val="20"/>
              </w:rPr>
            </w:pPr>
          </w:p>
          <w:p w:rsidR="009A6765" w:rsidRPr="00DE593C" w:rsidRDefault="009A6765" w:rsidP="00DE593C">
            <w:pPr>
              <w:autoSpaceDE w:val="0"/>
              <w:autoSpaceDN w:val="0"/>
              <w:adjustRightInd w:val="0"/>
              <w:spacing w:after="0" w:line="240" w:lineRule="auto"/>
              <w:contextualSpacing/>
              <w:jc w:val="both"/>
              <w:rPr>
                <w:rFonts w:ascii="Times New Roman" w:hAnsi="Times New Roman" w:cs="Times New Roman"/>
                <w:i/>
                <w:sz w:val="20"/>
                <w:szCs w:val="20"/>
              </w:rPr>
            </w:pPr>
            <w:r w:rsidRPr="0000318B">
              <w:rPr>
                <w:rFonts w:ascii="Times New Roman" w:hAnsi="Times New Roman" w:cs="Times New Roman"/>
                <w:i/>
                <w:sz w:val="20"/>
                <w:szCs w:val="20"/>
              </w:rPr>
              <w:t>Ope</w:t>
            </w:r>
            <w:r w:rsidR="00DE593C">
              <w:rPr>
                <w:rFonts w:ascii="Times New Roman" w:hAnsi="Times New Roman" w:cs="Times New Roman"/>
                <w:i/>
                <w:sz w:val="20"/>
                <w:szCs w:val="20"/>
              </w:rPr>
              <w:t>rațiuni cu caracter orientativ:</w:t>
            </w:r>
          </w:p>
          <w:p w:rsidR="00D41BBA" w:rsidRPr="00DE593C" w:rsidRDefault="009A6765" w:rsidP="00E95FAC">
            <w:pPr>
              <w:pStyle w:val="Listparagraf"/>
              <w:numPr>
                <w:ilvl w:val="0"/>
                <w:numId w:val="60"/>
              </w:numPr>
              <w:spacing w:before="0" w:after="0" w:line="240" w:lineRule="auto"/>
              <w:jc w:val="both"/>
              <w:rPr>
                <w:sz w:val="20"/>
                <w:szCs w:val="20"/>
                <w:lang w:val="ro-RO"/>
              </w:rPr>
            </w:pPr>
            <w:r w:rsidRPr="00296564">
              <w:rPr>
                <w:i/>
                <w:sz w:val="20"/>
                <w:szCs w:val="20"/>
                <w:lang w:val="ro-RO"/>
              </w:rPr>
              <w:t>Dezvoltarea infrastructurii urbane curate</w:t>
            </w:r>
            <w:r w:rsidR="00D41BBA" w:rsidRPr="002A7570">
              <w:rPr>
                <w:i/>
                <w:sz w:val="20"/>
                <w:szCs w:val="20"/>
                <w:lang w:val="ro-RO"/>
              </w:rPr>
              <w:t>:</w:t>
            </w:r>
            <w:r w:rsidR="00DE593C">
              <w:rPr>
                <w:i/>
                <w:sz w:val="20"/>
                <w:szCs w:val="20"/>
                <w:lang w:val="ro-RO"/>
              </w:rPr>
              <w:t xml:space="preserve"> </w:t>
            </w:r>
            <w:r w:rsidR="00296564" w:rsidRPr="00DE593C">
              <w:rPr>
                <w:sz w:val="20"/>
                <w:szCs w:val="20"/>
                <w:lang w:val="ro-RO"/>
              </w:rPr>
              <w:t>dezvoltarea unor culoare de mobilitate urbană durabilă</w:t>
            </w:r>
            <w:r w:rsidRPr="00DE593C">
              <w:rPr>
                <w:sz w:val="20"/>
                <w:szCs w:val="20"/>
                <w:lang w:val="ro-RO"/>
              </w:rPr>
              <w:t xml:space="preserve">, </w:t>
            </w:r>
            <w:r w:rsidR="00D41BBA" w:rsidRPr="00DE593C">
              <w:rPr>
                <w:sz w:val="20"/>
                <w:szCs w:val="20"/>
              </w:rPr>
              <w:t xml:space="preserve">infrastructurii pentru mersul cu bicicleta, amenajarea de zone pietonale, introducerea de sisteme de bike-sharing, sisteme de monitorizare </w:t>
            </w:r>
            <w:r w:rsidR="00D41BBA" w:rsidRPr="00052C11">
              <w:rPr>
                <w:sz w:val="20"/>
                <w:szCs w:val="20"/>
              </w:rPr>
              <w:t>etc</w:t>
            </w:r>
            <w:r w:rsidR="00052C11" w:rsidRPr="00052C11">
              <w:rPr>
                <w:sz w:val="20"/>
                <w:szCs w:val="20"/>
              </w:rPr>
              <w:t>, inclusiv infrastructura de utilități existente aflată în proprietate publică</w:t>
            </w:r>
            <w:r w:rsidR="00D41BBA" w:rsidRPr="00052C11">
              <w:rPr>
                <w:sz w:val="20"/>
                <w:szCs w:val="20"/>
              </w:rPr>
              <w:t xml:space="preserve">. </w:t>
            </w:r>
          </w:p>
          <w:p w:rsidR="00296564" w:rsidRPr="00DE593C" w:rsidRDefault="009A6765" w:rsidP="00DE593C">
            <w:pPr>
              <w:pStyle w:val="Listparagraf"/>
              <w:numPr>
                <w:ilvl w:val="0"/>
                <w:numId w:val="60"/>
              </w:numPr>
              <w:spacing w:before="0" w:after="0" w:line="240" w:lineRule="auto"/>
              <w:jc w:val="both"/>
              <w:rPr>
                <w:i/>
                <w:sz w:val="20"/>
                <w:szCs w:val="20"/>
                <w:lang w:val="ro-RO"/>
              </w:rPr>
            </w:pPr>
            <w:r w:rsidRPr="00DE593C">
              <w:rPr>
                <w:i/>
                <w:sz w:val="20"/>
                <w:szCs w:val="20"/>
                <w:lang w:val="ro-RO"/>
              </w:rPr>
              <w:t xml:space="preserve">Dezvoltarea </w:t>
            </w:r>
            <w:r w:rsidR="00D41BBA" w:rsidRPr="00DE593C">
              <w:rPr>
                <w:i/>
                <w:sz w:val="20"/>
                <w:szCs w:val="20"/>
                <w:lang w:val="ro-RO"/>
              </w:rPr>
              <w:t xml:space="preserve">și optimizarea </w:t>
            </w:r>
            <w:r w:rsidRPr="00DE593C">
              <w:rPr>
                <w:i/>
                <w:sz w:val="20"/>
                <w:szCs w:val="20"/>
                <w:lang w:val="ro-RO"/>
              </w:rPr>
              <w:t>transport</w:t>
            </w:r>
            <w:r w:rsidR="00D41BBA" w:rsidRPr="00DE593C">
              <w:rPr>
                <w:i/>
                <w:sz w:val="20"/>
                <w:szCs w:val="20"/>
                <w:lang w:val="ro-RO"/>
              </w:rPr>
              <w:t xml:space="preserve">ului </w:t>
            </w:r>
            <w:r w:rsidRPr="00DE593C">
              <w:rPr>
                <w:i/>
                <w:sz w:val="20"/>
                <w:szCs w:val="20"/>
                <w:lang w:val="ro-RO"/>
              </w:rPr>
              <w:t xml:space="preserve">public prin </w:t>
            </w:r>
            <w:r w:rsidR="00D41BBA" w:rsidRPr="00DE593C">
              <w:rPr>
                <w:i/>
                <w:sz w:val="20"/>
                <w:szCs w:val="20"/>
                <w:lang w:val="ro-RO"/>
              </w:rPr>
              <w:t>investiții în material rulant și infrastructura de transport aferentă;</w:t>
            </w:r>
          </w:p>
          <w:p w:rsidR="00296564" w:rsidRPr="00E95FAC" w:rsidRDefault="00296564" w:rsidP="00E95FAC">
            <w:pPr>
              <w:pStyle w:val="Listparagraf"/>
              <w:numPr>
                <w:ilvl w:val="0"/>
                <w:numId w:val="60"/>
              </w:numPr>
              <w:spacing w:before="0" w:after="0" w:line="240" w:lineRule="auto"/>
              <w:jc w:val="both"/>
              <w:rPr>
                <w:i/>
                <w:sz w:val="20"/>
                <w:szCs w:val="20"/>
                <w:lang w:val="ro-RO"/>
              </w:rPr>
            </w:pPr>
            <w:r w:rsidRPr="00E95FAC">
              <w:rPr>
                <w:sz w:val="20"/>
                <w:szCs w:val="20"/>
              </w:rPr>
              <w:t xml:space="preserve">Dezvoltarea de infrastructuri pentru combustibili alternativi; </w:t>
            </w:r>
          </w:p>
          <w:p w:rsidR="00296564" w:rsidRPr="00E95FAC" w:rsidRDefault="00296564" w:rsidP="00E95FAC">
            <w:pPr>
              <w:pStyle w:val="Listparagraf"/>
              <w:numPr>
                <w:ilvl w:val="0"/>
                <w:numId w:val="60"/>
              </w:numPr>
              <w:spacing w:before="0" w:after="0" w:line="240" w:lineRule="auto"/>
              <w:jc w:val="both"/>
              <w:rPr>
                <w:i/>
                <w:sz w:val="20"/>
                <w:szCs w:val="20"/>
                <w:lang w:val="ro-RO"/>
              </w:rPr>
            </w:pPr>
            <w:r w:rsidRPr="00E95FAC">
              <w:rPr>
                <w:sz w:val="20"/>
                <w:szCs w:val="20"/>
              </w:rPr>
              <w:t xml:space="preserve">Dezvoltarea sistemelor de management a mobilității urbane, cum ar fi sisteme de management traffic, aplicații </w:t>
            </w:r>
            <w:r w:rsidR="002A7570">
              <w:rPr>
                <w:sz w:val="20"/>
                <w:szCs w:val="20"/>
              </w:rPr>
              <w:t>de mobilitate</w:t>
            </w:r>
            <w:r w:rsidRPr="00E95FAC">
              <w:rPr>
                <w:sz w:val="20"/>
                <w:szCs w:val="20"/>
              </w:rPr>
              <w:t xml:space="preserve">, sisteme park &amp; ride, etc. </w:t>
            </w:r>
          </w:p>
          <w:p w:rsidR="009A6765" w:rsidRPr="0000318B" w:rsidRDefault="009A6765" w:rsidP="009A6765">
            <w:pPr>
              <w:spacing w:after="0" w:line="240" w:lineRule="auto"/>
              <w:contextualSpacing/>
              <w:rPr>
                <w:rFonts w:ascii="Times New Roman" w:hAnsi="Times New Roman" w:cs="Times New Roman"/>
                <w:sz w:val="20"/>
                <w:szCs w:val="20"/>
              </w:rPr>
            </w:pPr>
          </w:p>
          <w:p w:rsidR="009A6765" w:rsidRPr="00DE593C" w:rsidRDefault="009A6765" w:rsidP="00DE593C">
            <w:pPr>
              <w:spacing w:after="0" w:line="240" w:lineRule="auto"/>
              <w:jc w:val="both"/>
              <w:rPr>
                <w:rFonts w:ascii="Times New Roman" w:hAnsi="Times New Roman" w:cs="Times New Roman"/>
                <w:sz w:val="20"/>
                <w:szCs w:val="20"/>
              </w:rPr>
            </w:pPr>
            <w:r w:rsidRPr="00DE593C">
              <w:rPr>
                <w:rFonts w:ascii="Times New Roman" w:hAnsi="Times New Roman" w:cs="Times New Roman"/>
                <w:sz w:val="20"/>
                <w:szCs w:val="20"/>
              </w:rPr>
              <w:lastRenderedPageBreak/>
              <w:t>Acțiunile prevăzute vor contribui la dezvoltarea unui transport modern, eficient și accesibil la nivel urban sau de zonă urbană funcțională</w:t>
            </w:r>
            <w:r w:rsidR="006823EB" w:rsidRPr="00DE593C">
              <w:rPr>
                <w:rFonts w:ascii="Times New Roman" w:hAnsi="Times New Roman" w:cs="Times New Roman"/>
                <w:sz w:val="20"/>
                <w:szCs w:val="20"/>
              </w:rPr>
              <w:t xml:space="preserve"> / metropolitană</w:t>
            </w:r>
            <w:r w:rsidRPr="00DE593C">
              <w:rPr>
                <w:rFonts w:ascii="Times New Roman" w:hAnsi="Times New Roman" w:cs="Times New Roman"/>
                <w:sz w:val="20"/>
                <w:szCs w:val="20"/>
              </w:rPr>
              <w:t>, cu accent pe infrastructuri de transport, ciclism, material rulant, combustibili alternativi și spații pietonale.</w:t>
            </w:r>
          </w:p>
          <w:p w:rsidR="009A6765" w:rsidRPr="0000318B" w:rsidRDefault="009A6765" w:rsidP="009A6765">
            <w:pPr>
              <w:spacing w:after="0" w:line="240" w:lineRule="auto"/>
              <w:contextualSpacing/>
              <w:jc w:val="both"/>
              <w:rPr>
                <w:rFonts w:ascii="Times New Roman" w:hAnsi="Times New Roman" w:cs="Times New Roman"/>
                <w:sz w:val="20"/>
                <w:szCs w:val="20"/>
              </w:rPr>
            </w:pPr>
          </w:p>
          <w:p w:rsidR="009A6765" w:rsidRPr="0000318B" w:rsidRDefault="009A6765" w:rsidP="009A6765">
            <w:pPr>
              <w:spacing w:after="0" w:line="240" w:lineRule="auto"/>
              <w:contextualSpacing/>
              <w:jc w:val="both"/>
              <w:rPr>
                <w:rFonts w:ascii="Times New Roman" w:hAnsi="Times New Roman" w:cs="Times New Roman"/>
                <w:b/>
                <w:sz w:val="20"/>
                <w:szCs w:val="20"/>
              </w:rPr>
            </w:pPr>
            <w:r w:rsidRPr="0000318B">
              <w:rPr>
                <w:rFonts w:ascii="Times New Roman" w:hAnsi="Times New Roman" w:cs="Times New Roman"/>
                <w:b/>
                <w:sz w:val="20"/>
                <w:szCs w:val="20"/>
              </w:rPr>
              <w:t>Contribuția preconizată la realizarea strategiilor macroregionale și strategiilor privind bazinele maritime, precum și planurilor teritoriale pentru o tranziție justă, prevăzute la articolul [7] din Regulamentul (UE) [Regulamentul FTJ] sprijinite de FTJ, după caz:</w:t>
            </w:r>
          </w:p>
          <w:p w:rsidR="009A6765" w:rsidRDefault="009A6765" w:rsidP="009A6765">
            <w:pPr>
              <w:pStyle w:val="Default"/>
              <w:contextualSpacing/>
              <w:jc w:val="both"/>
              <w:rPr>
                <w:rFonts w:ascii="Times New Roman" w:hAnsi="Times New Roman" w:cs="Times New Roman"/>
                <w:sz w:val="20"/>
                <w:szCs w:val="20"/>
                <w:lang w:val="ro-RO"/>
              </w:rPr>
            </w:pPr>
            <w:r w:rsidRPr="0000318B">
              <w:rPr>
                <w:rFonts w:ascii="Times New Roman" w:eastAsiaTheme="minorHAnsi" w:hAnsi="Times New Roman" w:cs="Times New Roman"/>
                <w:color w:val="auto"/>
                <w:sz w:val="20"/>
                <w:szCs w:val="20"/>
                <w:lang w:val="ro-RO" w:eastAsia="en-US"/>
              </w:rPr>
              <w:t xml:space="preserve">Acțiunile indicate </w:t>
            </w:r>
            <w:r w:rsidRPr="0000318B">
              <w:rPr>
                <w:rFonts w:ascii="Times New Roman" w:hAnsi="Times New Roman" w:cs="Times New Roman"/>
                <w:sz w:val="20"/>
                <w:szCs w:val="20"/>
                <w:lang w:val="ro-RO"/>
              </w:rPr>
              <w:t>vor</w:t>
            </w:r>
            <w:r w:rsidRPr="0000318B">
              <w:rPr>
                <w:rFonts w:ascii="Times New Roman" w:hAnsi="Times New Roman" w:cs="Times New Roman"/>
                <w:b/>
                <w:sz w:val="20"/>
                <w:szCs w:val="20"/>
                <w:lang w:val="ro-RO"/>
              </w:rPr>
              <w:t xml:space="preserve"> </w:t>
            </w:r>
            <w:r w:rsidRPr="0000318B">
              <w:rPr>
                <w:rFonts w:ascii="Times New Roman" w:eastAsiaTheme="minorHAnsi" w:hAnsi="Times New Roman" w:cs="Times New Roman"/>
                <w:color w:val="auto"/>
                <w:sz w:val="20"/>
                <w:szCs w:val="20"/>
                <w:lang w:val="ro-RO" w:eastAsia="en-US"/>
              </w:rPr>
              <w:t xml:space="preserve">contribui la implementarea Strategiei Uniunii Europene pentru Regiunea Dunării (SUERD), prin promovarea unor investiții în conformitate cu ariile prioritare SUERD în scopul maximizării impactului acesteia la nivel regional. Aceste operațiuni sunt în concordanță cu ariile prioritare SUERD, definite în </w:t>
            </w:r>
            <w:r w:rsidRPr="0000318B">
              <w:rPr>
                <w:rFonts w:ascii="Times New Roman" w:hAnsi="Times New Roman" w:cs="Times New Roman"/>
                <w:sz w:val="20"/>
                <w:szCs w:val="20"/>
                <w:lang w:val="ro-RO"/>
              </w:rPr>
              <w:t>Planul de acțiune ce însoțește</w:t>
            </w:r>
            <w:r w:rsidRPr="0000318B">
              <w:rPr>
                <w:rFonts w:ascii="Times New Roman" w:hAnsi="Times New Roman" w:cs="Times New Roman"/>
                <w:b/>
                <w:sz w:val="20"/>
                <w:szCs w:val="20"/>
                <w:lang w:val="ro-RO"/>
              </w:rPr>
              <w:t xml:space="preserve"> </w:t>
            </w:r>
            <w:r w:rsidRPr="0000318B">
              <w:rPr>
                <w:rFonts w:ascii="Times New Roman" w:hAnsi="Times New Roman" w:cs="Times New Roman"/>
                <w:sz w:val="20"/>
                <w:szCs w:val="20"/>
                <w:lang w:val="ro-RO"/>
              </w:rPr>
              <w:t>Comunicarea Comisiei către Parlamentul European, Consiliu, Comitetul Economic și Social European și Comitetul Regiunilor</w:t>
            </w:r>
            <w:r w:rsidRPr="0000318B">
              <w:rPr>
                <w:rStyle w:val="Referinnotdesubsol"/>
                <w:rFonts w:ascii="Times New Roman" w:hAnsi="Times New Roman" w:cs="Times New Roman"/>
                <w:b w:val="0"/>
                <w:sz w:val="20"/>
                <w:szCs w:val="20"/>
                <w:lang w:val="ro-RO"/>
              </w:rPr>
              <w:footnoteReference w:id="43"/>
            </w:r>
            <w:r w:rsidRPr="0000318B">
              <w:rPr>
                <w:rFonts w:ascii="Times New Roman" w:hAnsi="Times New Roman" w:cs="Times New Roman"/>
                <w:sz w:val="20"/>
                <w:szCs w:val="20"/>
                <w:lang w:val="ro-RO"/>
              </w:rPr>
              <w:t xml:space="preserve">, respectiv aria prioritară 1.B „Îmbunătățirea mobilității și a multimodalităţii - legături rutiere, feroviare și aeriene” pentru OS. 3.4. </w:t>
            </w:r>
          </w:p>
          <w:p w:rsidR="001434F2" w:rsidRDefault="001434F2" w:rsidP="001434F2">
            <w:pPr>
              <w:pStyle w:val="Default"/>
              <w:tabs>
                <w:tab w:val="left" w:pos="311"/>
              </w:tabs>
              <w:contextualSpacing/>
              <w:jc w:val="both"/>
              <w:rPr>
                <w:rFonts w:ascii="Times New Roman" w:eastAsiaTheme="minorHAnsi" w:hAnsi="Times New Roman" w:cs="Times New Roman"/>
                <w:b/>
                <w:color w:val="auto"/>
                <w:sz w:val="20"/>
                <w:szCs w:val="20"/>
                <w:lang w:val="ro-RO" w:eastAsia="en-US"/>
              </w:rPr>
            </w:pPr>
            <w:r w:rsidRPr="00F423A8">
              <w:rPr>
                <w:rFonts w:ascii="Times New Roman" w:eastAsiaTheme="minorHAnsi" w:hAnsi="Times New Roman" w:cs="Times New Roman"/>
                <w:b/>
                <w:color w:val="auto"/>
                <w:sz w:val="20"/>
                <w:szCs w:val="20"/>
                <w:lang w:val="ro-RO" w:eastAsia="en-US"/>
              </w:rPr>
              <w:t>Complementaritati cu alte programe operaționale</w:t>
            </w:r>
          </w:p>
          <w:p w:rsidR="001434F2" w:rsidRPr="0000318B" w:rsidRDefault="001434F2" w:rsidP="001434F2">
            <w:pPr>
              <w:pStyle w:val="Default"/>
              <w:contextualSpacing/>
              <w:jc w:val="both"/>
              <w:rPr>
                <w:rFonts w:ascii="Times New Roman" w:hAnsi="Times New Roman" w:cs="Times New Roman"/>
                <w:sz w:val="20"/>
                <w:szCs w:val="20"/>
                <w:lang w:val="ro-RO"/>
              </w:rPr>
            </w:pPr>
            <w:r w:rsidRPr="00083CE1">
              <w:rPr>
                <w:rFonts w:ascii="Times New Roman" w:eastAsiaTheme="minorHAnsi" w:hAnsi="Times New Roman" w:cs="Times New Roman"/>
                <w:b/>
                <w:color w:val="auto"/>
                <w:sz w:val="20"/>
                <w:szCs w:val="20"/>
                <w:lang w:val="ro-RO" w:eastAsia="en-US"/>
              </w:rPr>
              <w:t>•</w:t>
            </w:r>
            <w:r w:rsidRPr="00083CE1">
              <w:rPr>
                <w:rFonts w:ascii="Times New Roman" w:eastAsiaTheme="minorHAnsi" w:hAnsi="Times New Roman" w:cs="Times New Roman"/>
                <w:b/>
                <w:color w:val="auto"/>
                <w:sz w:val="20"/>
                <w:szCs w:val="20"/>
                <w:lang w:val="ro-RO" w:eastAsia="en-US"/>
              </w:rPr>
              <w:tab/>
            </w:r>
            <w:r w:rsidRPr="007351CE">
              <w:rPr>
                <w:rFonts w:ascii="Times New Roman" w:eastAsiaTheme="minorHAnsi" w:hAnsi="Times New Roman" w:cs="Times New Roman"/>
                <w:color w:val="auto"/>
                <w:sz w:val="20"/>
                <w:szCs w:val="20"/>
                <w:lang w:val="ro-RO" w:eastAsia="en-US"/>
              </w:rPr>
              <w:t>Intervențiile privind îmbunătățirea mobilitatii urbane din Regiunea Centru sunt complementare interventiilor finantate prin Programul Operațional Transport 2021/2027</w:t>
            </w:r>
            <w:r w:rsidR="00F44614">
              <w:rPr>
                <w:rFonts w:ascii="Times New Roman" w:eastAsiaTheme="minorHAnsi" w:hAnsi="Times New Roman" w:cs="Times New Roman"/>
                <w:color w:val="auto"/>
                <w:sz w:val="20"/>
                <w:szCs w:val="20"/>
                <w:lang w:val="ro-RO" w:eastAsia="en-US"/>
              </w:rPr>
              <w:t xml:space="preserve"> </w:t>
            </w:r>
            <w:r w:rsidRPr="007351CE">
              <w:rPr>
                <w:rFonts w:ascii="Times New Roman" w:eastAsiaTheme="minorHAnsi" w:hAnsi="Times New Roman" w:cs="Times New Roman"/>
                <w:color w:val="auto"/>
                <w:sz w:val="20"/>
                <w:szCs w:val="20"/>
                <w:lang w:val="ro-RO" w:eastAsia="en-US"/>
              </w:rPr>
              <w:t>(investitii ce vizeaza material rulant).</w:t>
            </w:r>
          </w:p>
          <w:p w:rsidR="009A6765" w:rsidRPr="0000318B" w:rsidRDefault="009A6765" w:rsidP="009A6765">
            <w:pPr>
              <w:spacing w:after="0" w:line="240" w:lineRule="auto"/>
              <w:contextualSpacing/>
              <w:jc w:val="both"/>
              <w:rPr>
                <w:rFonts w:ascii="Times New Roman" w:hAnsi="Times New Roman" w:cs="Times New Roman"/>
                <w:sz w:val="20"/>
                <w:szCs w:val="20"/>
              </w:rPr>
            </w:pPr>
          </w:p>
        </w:tc>
      </w:tr>
    </w:tbl>
    <w:p w:rsidR="009A6765" w:rsidRPr="0000318B" w:rsidRDefault="009A6765" w:rsidP="009A6765">
      <w:pPr>
        <w:spacing w:after="0" w:line="240" w:lineRule="auto"/>
        <w:rPr>
          <w:rFonts w:ascii="Times New Roman" w:eastAsia="Times New Roman" w:hAnsi="Times New Roman" w:cs="Times New Roman"/>
          <w:i/>
          <w:noProof/>
          <w:sz w:val="20"/>
          <w:szCs w:val="20"/>
          <w:lang w:val="en-GB"/>
        </w:rPr>
      </w:pPr>
    </w:p>
    <w:p w:rsidR="009A6765" w:rsidRPr="0000318B" w:rsidRDefault="009A6765" w:rsidP="009A6765">
      <w:pPr>
        <w:spacing w:after="0" w:line="240" w:lineRule="auto"/>
        <w:rPr>
          <w:rFonts w:ascii="Times New Roman" w:eastAsia="Times New Roman" w:hAnsi="Times New Roman" w:cs="Times New Roman"/>
          <w:b/>
          <w:i/>
          <w:iCs/>
          <w:noProof/>
          <w:sz w:val="20"/>
          <w:szCs w:val="20"/>
          <w:lang w:val="en-GB"/>
        </w:rPr>
      </w:pPr>
      <w:r w:rsidRPr="0000318B">
        <w:rPr>
          <w:rFonts w:ascii="Times New Roman" w:eastAsia="Times New Roman" w:hAnsi="Times New Roman" w:cs="Times New Roman"/>
          <w:i/>
          <w:noProof/>
          <w:sz w:val="20"/>
          <w:szCs w:val="20"/>
          <w:lang w:val="en-GB"/>
        </w:rPr>
        <w:t>The main target groups - Article 17(3)(d)(iii):</w:t>
      </w:r>
    </w:p>
    <w:p w:rsidR="009A6765" w:rsidRPr="0000318B" w:rsidRDefault="009A6765" w:rsidP="009A6765">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color w:val="000000"/>
          <w:sz w:val="20"/>
          <w:szCs w:val="20"/>
          <w:lang w:eastAsia="en-GB"/>
        </w:rPr>
      </w:pPr>
      <w:r w:rsidRPr="0000318B">
        <w:rPr>
          <w:rFonts w:ascii="Times New Roman" w:eastAsia="Times New Roman" w:hAnsi="Times New Roman" w:cs="Times New Roman"/>
          <w:color w:val="000000"/>
          <w:sz w:val="20"/>
          <w:szCs w:val="20"/>
          <w:lang w:eastAsia="en-GB"/>
        </w:rPr>
        <w:t>comunitățile locale din mediul urban</w:t>
      </w:r>
      <w:r w:rsidR="00DE593C">
        <w:rPr>
          <w:rFonts w:ascii="Times New Roman" w:eastAsia="Times New Roman" w:hAnsi="Times New Roman" w:cs="Times New Roman"/>
          <w:color w:val="000000"/>
          <w:sz w:val="20"/>
          <w:szCs w:val="20"/>
          <w:lang w:eastAsia="en-GB"/>
        </w:rPr>
        <w:t xml:space="preserve"> si ZUF, ZM vizate – locuitori, autoritati, mediul social si de afaceri</w:t>
      </w:r>
    </w:p>
    <w:p w:rsidR="009A6765" w:rsidRPr="0000318B" w:rsidRDefault="009A6765" w:rsidP="009A6765">
      <w:pPr>
        <w:spacing w:before="120" w:after="120" w:line="360" w:lineRule="auto"/>
        <w:jc w:val="both"/>
        <w:rPr>
          <w:rFonts w:ascii="Times New Roman" w:eastAsia="Times New Roman" w:hAnsi="Times New Roman" w:cs="Times New Roman"/>
          <w:i/>
          <w:noProof/>
          <w:sz w:val="20"/>
          <w:szCs w:val="20"/>
          <w:lang w:val="en-GB"/>
        </w:rPr>
      </w:pPr>
      <w:r w:rsidRPr="0000318B">
        <w:rPr>
          <w:rFonts w:ascii="Times New Roman" w:eastAsia="Times New Roman" w:hAnsi="Times New Roman" w:cs="Times New Roman"/>
          <w:i/>
          <w:noProof/>
          <w:sz w:val="20"/>
          <w:szCs w:val="20"/>
          <w:lang w:val="en-GB"/>
        </w:rPr>
        <w:t>Specific territories tageted, including the planned use of territorial tools – Article 17(3)(d)(iv)</w:t>
      </w:r>
    </w:p>
    <w:p w:rsidR="009A6765" w:rsidRPr="0000318B" w:rsidRDefault="009A6765" w:rsidP="009A6765">
      <w:pPr>
        <w:pBdr>
          <w:top w:val="single" w:sz="4" w:space="1" w:color="auto"/>
          <w:left w:val="single" w:sz="4" w:space="4" w:color="auto"/>
          <w:bottom w:val="single" w:sz="4" w:space="1" w:color="auto"/>
          <w:right w:val="single" w:sz="4" w:space="4" w:color="auto"/>
        </w:pBdr>
        <w:spacing w:before="120" w:after="120" w:line="360" w:lineRule="auto"/>
        <w:jc w:val="both"/>
        <w:rPr>
          <w:rFonts w:ascii="Times New Roman" w:eastAsia="Times New Roman" w:hAnsi="Times New Roman" w:cs="Times New Roman"/>
          <w:i/>
          <w:iCs/>
          <w:noProof/>
          <w:sz w:val="20"/>
          <w:szCs w:val="20"/>
          <w:lang w:val="en-GB"/>
        </w:rPr>
      </w:pPr>
      <w:r w:rsidRPr="0000318B">
        <w:rPr>
          <w:rFonts w:ascii="Times New Roman" w:eastAsia="Times New Roman" w:hAnsi="Times New Roman" w:cs="Times New Roman"/>
          <w:i/>
          <w:iCs/>
          <w:noProof/>
          <w:sz w:val="20"/>
          <w:szCs w:val="20"/>
          <w:lang w:val="en-GB"/>
        </w:rPr>
        <w:t>Text field [2 000]</w:t>
      </w:r>
    </w:p>
    <w:p w:rsidR="00DE593C" w:rsidRPr="005C75DF" w:rsidRDefault="00DE593C">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Cs/>
          <w:noProof/>
          <w:sz w:val="20"/>
          <w:szCs w:val="20"/>
          <w:lang w:val="en-GB"/>
        </w:rPr>
      </w:pPr>
      <w:r w:rsidRPr="005C75DF">
        <w:rPr>
          <w:rFonts w:ascii="Times New Roman" w:eastAsia="Times New Roman" w:hAnsi="Times New Roman" w:cs="Times New Roman"/>
          <w:iCs/>
          <w:noProof/>
          <w:sz w:val="20"/>
          <w:szCs w:val="20"/>
          <w:lang w:val="en-GB"/>
        </w:rPr>
        <w:t>Regiunea Centru, mediul urban și mediul rural aferent ZUF si zonelor metropolitane (ZM). Interventiile vor trebui justificate din perspectiva includerii in SIDU.</w:t>
      </w:r>
    </w:p>
    <w:p w:rsidR="00DE593C" w:rsidRPr="005C75DF" w:rsidRDefault="00DE593C" w:rsidP="005C75DF">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Cs/>
          <w:noProof/>
          <w:sz w:val="20"/>
          <w:szCs w:val="20"/>
          <w:lang w:val="en-GB"/>
        </w:rPr>
      </w:pPr>
      <w:r w:rsidRPr="005C75DF">
        <w:rPr>
          <w:rFonts w:ascii="Times New Roman" w:eastAsia="Times New Roman" w:hAnsi="Times New Roman" w:cs="Times New Roman"/>
          <w:iCs/>
          <w:noProof/>
          <w:sz w:val="20"/>
          <w:szCs w:val="20"/>
          <w:lang w:val="en-GB"/>
        </w:rPr>
        <w:t xml:space="preserve">Aceasta prioritate de investitii va contribui la dezvoltarea urbana durabila. </w:t>
      </w:r>
    </w:p>
    <w:p w:rsidR="00DE593C" w:rsidRPr="005C75DF" w:rsidRDefault="00DE593C" w:rsidP="005C75DF">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Cs/>
          <w:noProof/>
          <w:sz w:val="20"/>
          <w:szCs w:val="20"/>
          <w:lang w:val="en-GB"/>
        </w:rPr>
      </w:pPr>
      <w:r w:rsidRPr="005C75DF">
        <w:rPr>
          <w:rFonts w:ascii="Times New Roman" w:eastAsia="Times New Roman" w:hAnsi="Times New Roman" w:cs="Times New Roman"/>
          <w:iCs/>
          <w:noProof/>
          <w:sz w:val="20"/>
          <w:szCs w:val="20"/>
          <w:lang w:val="en-GB"/>
        </w:rPr>
        <w:t xml:space="preserve">In conformitate cu OUG 156/2020 privind unele măsuri pentru sustinerea dezvoltarii teritoriale a localitatilor urbane si rurale din Romania cu finantare din fonduri externe nerambursabile, art. 6, fondurile destinate dezvoltării urbane durabile sunt impartite intre categoriile de municipii si orase orase in functie de ponderea pe care oreprezinta populatia categoriilor respective de municipii si orase in total populatie urbana la nivel regional. Astfel fondurile sunt impartite pe 3 categorii de municipii si orase: </w:t>
      </w:r>
    </w:p>
    <w:p w:rsidR="00DE593C" w:rsidRPr="005C75DF" w:rsidRDefault="00DE593C" w:rsidP="005C75DF">
      <w:pPr>
        <w:pBdr>
          <w:top w:val="single" w:sz="4" w:space="1" w:color="auto"/>
          <w:left w:val="single" w:sz="4" w:space="4" w:color="auto"/>
          <w:bottom w:val="single" w:sz="4" w:space="1" w:color="auto"/>
          <w:right w:val="single" w:sz="4" w:space="4" w:color="auto"/>
        </w:pBdr>
        <w:spacing w:after="0" w:line="240" w:lineRule="auto"/>
        <w:jc w:val="both"/>
        <w:rPr>
          <w:rFonts w:eastAsia="Times New Roman"/>
          <w:iCs/>
          <w:noProof/>
          <w:sz w:val="20"/>
          <w:szCs w:val="20"/>
        </w:rPr>
      </w:pPr>
      <w:r w:rsidRPr="005C75DF">
        <w:rPr>
          <w:rFonts w:eastAsia="Times New Roman"/>
          <w:iCs/>
          <w:noProof/>
          <w:sz w:val="20"/>
          <w:szCs w:val="20"/>
        </w:rPr>
        <w:t>Municipiile resedinta de judet  - 50,1</w:t>
      </w:r>
      <w:r w:rsidR="00E62193" w:rsidRPr="005C75DF">
        <w:rPr>
          <w:rFonts w:eastAsia="Times New Roman"/>
          <w:iCs/>
          <w:noProof/>
          <w:sz w:val="20"/>
          <w:szCs w:val="20"/>
        </w:rPr>
        <w:t>4</w:t>
      </w:r>
      <w:r w:rsidRPr="005C75DF">
        <w:rPr>
          <w:rFonts w:eastAsia="Times New Roman"/>
          <w:iCs/>
          <w:noProof/>
          <w:sz w:val="20"/>
          <w:szCs w:val="20"/>
        </w:rPr>
        <w:t>% din fondurile alocate la nivel regional pentru dezvoltare urbana</w:t>
      </w:r>
    </w:p>
    <w:p w:rsidR="00DE593C" w:rsidRPr="005C75DF" w:rsidRDefault="00DE593C" w:rsidP="005C75DF">
      <w:pPr>
        <w:pBdr>
          <w:top w:val="single" w:sz="4" w:space="1" w:color="auto"/>
          <w:left w:val="single" w:sz="4" w:space="4" w:color="auto"/>
          <w:bottom w:val="single" w:sz="4" w:space="1" w:color="auto"/>
          <w:right w:val="single" w:sz="4" w:space="4" w:color="auto"/>
        </w:pBdr>
        <w:spacing w:after="0" w:line="240" w:lineRule="auto"/>
        <w:jc w:val="both"/>
        <w:rPr>
          <w:rFonts w:eastAsia="Times New Roman"/>
          <w:iCs/>
          <w:noProof/>
          <w:sz w:val="20"/>
          <w:szCs w:val="20"/>
        </w:rPr>
      </w:pPr>
      <w:r w:rsidRPr="005C75DF">
        <w:rPr>
          <w:rFonts w:eastAsia="Times New Roman"/>
          <w:iCs/>
          <w:noProof/>
          <w:sz w:val="20"/>
          <w:szCs w:val="20"/>
        </w:rPr>
        <w:t>Municipii – 27.</w:t>
      </w:r>
      <w:r w:rsidR="00E62193" w:rsidRPr="005C75DF">
        <w:rPr>
          <w:rFonts w:eastAsia="Times New Roman"/>
          <w:iCs/>
          <w:noProof/>
          <w:sz w:val="20"/>
          <w:szCs w:val="20"/>
        </w:rPr>
        <w:t xml:space="preserve"> </w:t>
      </w:r>
      <w:r w:rsidRPr="005C75DF">
        <w:rPr>
          <w:rFonts w:eastAsia="Times New Roman"/>
          <w:iCs/>
          <w:noProof/>
          <w:sz w:val="20"/>
          <w:szCs w:val="20"/>
        </w:rPr>
        <w:t>3% din fondurile alocate la nivel regional pentru dezvoltare urbana</w:t>
      </w:r>
    </w:p>
    <w:p w:rsidR="00DE593C" w:rsidRPr="005C75DF" w:rsidRDefault="00DE593C" w:rsidP="005C75DF">
      <w:pPr>
        <w:pBdr>
          <w:top w:val="single" w:sz="4" w:space="1" w:color="auto"/>
          <w:left w:val="single" w:sz="4" w:space="4" w:color="auto"/>
          <w:bottom w:val="single" w:sz="4" w:space="1" w:color="auto"/>
          <w:right w:val="single" w:sz="4" w:space="4" w:color="auto"/>
        </w:pBdr>
        <w:spacing w:after="0" w:line="240" w:lineRule="auto"/>
        <w:jc w:val="both"/>
        <w:rPr>
          <w:rFonts w:eastAsia="Times New Roman"/>
          <w:iCs/>
          <w:noProof/>
          <w:sz w:val="20"/>
          <w:szCs w:val="20"/>
        </w:rPr>
      </w:pPr>
      <w:r w:rsidRPr="005C75DF">
        <w:rPr>
          <w:rFonts w:eastAsia="Times New Roman"/>
          <w:iCs/>
          <w:noProof/>
          <w:sz w:val="20"/>
          <w:szCs w:val="20"/>
        </w:rPr>
        <w:t>Orase – 22,</w:t>
      </w:r>
      <w:r w:rsidR="00E62193" w:rsidRPr="005C75DF">
        <w:rPr>
          <w:rFonts w:eastAsia="Times New Roman"/>
          <w:iCs/>
          <w:noProof/>
          <w:sz w:val="20"/>
          <w:szCs w:val="20"/>
        </w:rPr>
        <w:t>5</w:t>
      </w:r>
      <w:r w:rsidRPr="005C75DF">
        <w:rPr>
          <w:rFonts w:eastAsia="Times New Roman"/>
          <w:iCs/>
          <w:noProof/>
          <w:sz w:val="20"/>
          <w:szCs w:val="20"/>
        </w:rPr>
        <w:t>6% din fondurile alocate la nive regional pentru dezvoltare urbana</w:t>
      </w:r>
    </w:p>
    <w:p w:rsidR="00DE593C" w:rsidRPr="005C75DF" w:rsidRDefault="00DE593C" w:rsidP="005C75DF">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Cs/>
          <w:noProof/>
          <w:sz w:val="20"/>
          <w:szCs w:val="20"/>
          <w:lang w:val="en-GB"/>
        </w:rPr>
      </w:pPr>
      <w:r w:rsidRPr="005C75DF">
        <w:rPr>
          <w:rFonts w:ascii="Times New Roman" w:eastAsia="Times New Roman" w:hAnsi="Times New Roman" w:cs="Times New Roman"/>
          <w:iCs/>
          <w:noProof/>
          <w:sz w:val="20"/>
          <w:szCs w:val="20"/>
          <w:lang w:val="en-GB"/>
        </w:rPr>
        <w:t>Pentru municipiile resedinta de judet si municipii va exista o alocare predefinita care va avea la bază un procent de 35% din fondurile totale repeartizat in mod egal si 65% va fi repartizat in functie de numarul total al populatiei.</w:t>
      </w:r>
    </w:p>
    <w:p w:rsidR="0009117E" w:rsidRPr="00DE593C" w:rsidRDefault="00DE593C" w:rsidP="005C75DF">
      <w:pPr>
        <w:pBdr>
          <w:top w:val="single" w:sz="4" w:space="1" w:color="auto"/>
          <w:left w:val="single" w:sz="4" w:space="4" w:color="auto"/>
          <w:bottom w:val="single" w:sz="4" w:space="1" w:color="auto"/>
          <w:right w:val="single" w:sz="4" w:space="4" w:color="auto"/>
        </w:pBdr>
        <w:spacing w:after="0" w:line="240" w:lineRule="auto"/>
        <w:jc w:val="both"/>
        <w:rPr>
          <w:rFonts w:eastAsia="Times New Roman"/>
          <w:i/>
          <w:iCs/>
          <w:noProof/>
          <w:sz w:val="20"/>
          <w:szCs w:val="20"/>
        </w:rPr>
      </w:pPr>
      <w:r w:rsidRPr="005C75DF">
        <w:rPr>
          <w:rFonts w:ascii="Times New Roman" w:eastAsia="Times New Roman" w:hAnsi="Times New Roman" w:cs="Times New Roman"/>
          <w:iCs/>
          <w:noProof/>
          <w:sz w:val="20"/>
          <w:szCs w:val="20"/>
          <w:lang w:val="en-GB"/>
        </w:rPr>
        <w:t>Investitiile de la nivelul oraselor vor fi selectate pentru finantare in baza unui apel competitiv la nivel regional</w:t>
      </w:r>
    </w:p>
    <w:p w:rsidR="009A6765" w:rsidRPr="0000318B" w:rsidRDefault="009A6765" w:rsidP="009A6765">
      <w:pPr>
        <w:spacing w:before="120" w:after="120" w:line="360" w:lineRule="auto"/>
        <w:jc w:val="both"/>
        <w:rPr>
          <w:rFonts w:ascii="Times New Roman" w:eastAsia="Times New Roman" w:hAnsi="Times New Roman" w:cs="Times New Roman"/>
          <w:i/>
          <w:noProof/>
          <w:sz w:val="20"/>
          <w:szCs w:val="20"/>
          <w:lang w:val="en-GB"/>
        </w:rPr>
      </w:pPr>
      <w:r w:rsidRPr="0000318B">
        <w:rPr>
          <w:rFonts w:ascii="Times New Roman" w:eastAsia="Times New Roman" w:hAnsi="Times New Roman" w:cs="Times New Roman"/>
          <w:i/>
          <w:noProof/>
          <w:sz w:val="20"/>
          <w:szCs w:val="20"/>
          <w:lang w:val="en-GB"/>
        </w:rPr>
        <w:t>The interregional and transnational actions  –Article – 17(3)(d)(v)</w:t>
      </w:r>
    </w:p>
    <w:p w:rsidR="009A6765" w:rsidRPr="0000318B" w:rsidRDefault="009A6765" w:rsidP="009A6765">
      <w:pPr>
        <w:pStyle w:val="Default"/>
        <w:jc w:val="both"/>
        <w:rPr>
          <w:rFonts w:ascii="Times New Roman" w:hAnsi="Times New Roman" w:cs="Times New Roman"/>
          <w:i/>
          <w:color w:val="1F497D" w:themeColor="text2"/>
          <w:sz w:val="20"/>
          <w:szCs w:val="20"/>
          <w:lang w:val="ro-RO"/>
        </w:rPr>
      </w:pPr>
      <w:r w:rsidRPr="0000318B">
        <w:rPr>
          <w:rFonts w:ascii="Times New Roman" w:hAnsi="Times New Roman" w:cs="Times New Roman"/>
          <w:i/>
          <w:color w:val="1F497D" w:themeColor="text2"/>
          <w:sz w:val="20"/>
          <w:szCs w:val="20"/>
          <w:lang w:val="ro-RO"/>
        </w:rPr>
        <w:t xml:space="preserve">Articolul 17(3)(d ) Fiecare program stabilește pentru fiecare obiectiv specific: </w:t>
      </w:r>
    </w:p>
    <w:p w:rsidR="009A6765" w:rsidRPr="0000318B" w:rsidRDefault="009A6765" w:rsidP="009A6765">
      <w:pPr>
        <w:pStyle w:val="Default"/>
        <w:ind w:left="720"/>
        <w:jc w:val="both"/>
        <w:rPr>
          <w:rFonts w:ascii="Times New Roman" w:hAnsi="Times New Roman" w:cs="Times New Roman"/>
          <w:i/>
          <w:color w:val="1F497D" w:themeColor="text2"/>
          <w:sz w:val="20"/>
          <w:szCs w:val="20"/>
          <w:lang w:val="ro-RO"/>
        </w:rPr>
      </w:pPr>
      <w:r w:rsidRPr="0000318B">
        <w:rPr>
          <w:rFonts w:ascii="Times New Roman" w:hAnsi="Times New Roman" w:cs="Times New Roman"/>
          <w:i/>
          <w:color w:val="1F497D" w:themeColor="text2"/>
          <w:sz w:val="20"/>
          <w:szCs w:val="20"/>
          <w:lang w:val="ro-RO"/>
        </w:rPr>
        <w:t xml:space="preserve"> (v) acțiunile interregionale și transnaționale ai căror beneficiari se află în cel puțin un alt stat membru; </w:t>
      </w:r>
    </w:p>
    <w:p w:rsidR="009A6765" w:rsidRPr="0000318B" w:rsidRDefault="009A6765" w:rsidP="009A6765">
      <w:pPr>
        <w:pBdr>
          <w:top w:val="single" w:sz="4" w:space="0"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iCs/>
          <w:noProof/>
          <w:sz w:val="20"/>
          <w:szCs w:val="20"/>
          <w:lang w:val="en-GB"/>
        </w:rPr>
      </w:pPr>
      <w:r w:rsidRPr="0000318B">
        <w:rPr>
          <w:rFonts w:ascii="Times New Roman" w:eastAsia="Times New Roman" w:hAnsi="Times New Roman" w:cs="Times New Roman"/>
          <w:i/>
          <w:iCs/>
          <w:noProof/>
          <w:sz w:val="20"/>
          <w:szCs w:val="20"/>
          <w:lang w:val="en-GB"/>
        </w:rPr>
        <w:t>Text field [2 000]</w:t>
      </w:r>
    </w:p>
    <w:p w:rsidR="009A6765" w:rsidRPr="0000318B" w:rsidRDefault="009A6765" w:rsidP="009A6765">
      <w:pPr>
        <w:spacing w:before="120" w:after="120" w:line="360" w:lineRule="auto"/>
        <w:rPr>
          <w:rFonts w:ascii="Times New Roman" w:eastAsia="Times New Roman" w:hAnsi="Times New Roman" w:cs="Times New Roman"/>
          <w:b/>
          <w:i/>
          <w:iCs/>
          <w:noProof/>
          <w:sz w:val="20"/>
          <w:szCs w:val="20"/>
          <w:lang w:val="en-GB"/>
        </w:rPr>
      </w:pPr>
      <w:r w:rsidRPr="0000318B">
        <w:rPr>
          <w:rFonts w:ascii="Times New Roman" w:eastAsia="Times New Roman" w:hAnsi="Times New Roman" w:cs="Times New Roman"/>
          <w:i/>
          <w:noProof/>
          <w:sz w:val="20"/>
          <w:szCs w:val="20"/>
          <w:lang w:val="en-GB"/>
        </w:rPr>
        <w:t>The planned use of financial instruments – Article – 17(3)(d)(vi)</w:t>
      </w:r>
    </w:p>
    <w:p w:rsidR="009A6765" w:rsidRPr="0000318B" w:rsidRDefault="00DE593C" w:rsidP="009A6765">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iCs/>
          <w:noProof/>
          <w:sz w:val="20"/>
          <w:szCs w:val="20"/>
          <w:lang w:val="en-GB"/>
        </w:rPr>
      </w:pPr>
      <w:r>
        <w:rPr>
          <w:rFonts w:ascii="Times New Roman" w:eastAsia="Times New Roman" w:hAnsi="Times New Roman" w:cs="Times New Roman"/>
          <w:i/>
          <w:iCs/>
          <w:noProof/>
          <w:sz w:val="20"/>
          <w:szCs w:val="20"/>
          <w:lang w:val="en-GB"/>
        </w:rPr>
        <w:t>Text field [1 000]</w:t>
      </w:r>
    </w:p>
    <w:p w:rsidR="009A6765" w:rsidRPr="0000318B" w:rsidRDefault="009A6765" w:rsidP="009A6765">
      <w:pPr>
        <w:spacing w:after="0" w:line="240" w:lineRule="auto"/>
        <w:rPr>
          <w:rFonts w:ascii="Times New Roman" w:hAnsi="Times New Roman" w:cs="Times New Roman"/>
          <w:b/>
          <w:iCs/>
          <w:sz w:val="20"/>
          <w:szCs w:val="20"/>
          <w:lang w:val="en-GB"/>
        </w:rPr>
      </w:pPr>
      <w:r w:rsidRPr="0000318B">
        <w:rPr>
          <w:rFonts w:ascii="Times New Roman" w:hAnsi="Times New Roman" w:cs="Times New Roman"/>
          <w:b/>
          <w:iCs/>
          <w:sz w:val="20"/>
          <w:szCs w:val="20"/>
          <w:lang w:val="en-GB"/>
        </w:rPr>
        <w:t>2.A.3.2 Indicators</w:t>
      </w:r>
    </w:p>
    <w:p w:rsidR="009A6765" w:rsidRDefault="009A6765" w:rsidP="009A6765">
      <w:pPr>
        <w:spacing w:after="0" w:line="240" w:lineRule="auto"/>
        <w:rPr>
          <w:rFonts w:ascii="Times New Roman" w:hAnsi="Times New Roman" w:cs="Times New Roman"/>
          <w:i/>
          <w:sz w:val="20"/>
          <w:szCs w:val="20"/>
          <w:lang w:val="en-GB"/>
        </w:rPr>
      </w:pPr>
      <w:r w:rsidRPr="0000318B">
        <w:rPr>
          <w:rFonts w:ascii="Times New Roman" w:hAnsi="Times New Roman" w:cs="Times New Roman"/>
          <w:i/>
          <w:sz w:val="20"/>
          <w:szCs w:val="20"/>
          <w:lang w:val="en-GB"/>
        </w:rPr>
        <w:t xml:space="preserve">Reference: Article 17(3)(d)(ii) CPR </w:t>
      </w:r>
    </w:p>
    <w:tbl>
      <w:tblPr>
        <w:tblW w:w="52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1739"/>
        <w:gridCol w:w="727"/>
        <w:gridCol w:w="1161"/>
        <w:gridCol w:w="869"/>
        <w:gridCol w:w="2322"/>
        <w:gridCol w:w="873"/>
        <w:gridCol w:w="1011"/>
        <w:gridCol w:w="1019"/>
      </w:tblGrid>
      <w:tr w:rsidR="00DD4F8B" w:rsidRPr="0000318B" w:rsidTr="0067003D">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rsidR="00DD4F8B" w:rsidRPr="0000318B" w:rsidRDefault="00DD4F8B" w:rsidP="0067003D">
            <w:pPr>
              <w:spacing w:after="0" w:line="240" w:lineRule="auto"/>
              <w:rPr>
                <w:rFonts w:ascii="Times New Roman" w:hAnsi="Times New Roman" w:cs="Times New Roman"/>
                <w:b/>
                <w:sz w:val="20"/>
                <w:szCs w:val="20"/>
                <w:lang w:val="en-US"/>
              </w:rPr>
            </w:pPr>
            <w:r w:rsidRPr="0000318B">
              <w:rPr>
                <w:rFonts w:ascii="Times New Roman" w:hAnsi="Times New Roman" w:cs="Times New Roman"/>
                <w:b/>
                <w:iCs/>
                <w:sz w:val="20"/>
                <w:szCs w:val="20"/>
                <w:lang w:val="en-US"/>
              </w:rPr>
              <w:t>Table 2: Output indicators</w:t>
            </w:r>
          </w:p>
        </w:tc>
      </w:tr>
      <w:tr w:rsidR="00DD4F8B" w:rsidRPr="0000318B" w:rsidTr="0067003D">
        <w:trPr>
          <w:trHeight w:val="1807"/>
        </w:trPr>
        <w:tc>
          <w:tcPr>
            <w:tcW w:w="345" w:type="pct"/>
            <w:tcBorders>
              <w:top w:val="single" w:sz="4" w:space="0" w:color="auto"/>
              <w:left w:val="single" w:sz="4" w:space="0" w:color="auto"/>
              <w:bottom w:val="single" w:sz="4" w:space="0" w:color="auto"/>
              <w:right w:val="single" w:sz="4" w:space="0" w:color="auto"/>
            </w:tcBorders>
            <w:hideMark/>
          </w:tcPr>
          <w:p w:rsidR="00DD4F8B" w:rsidRPr="0000318B" w:rsidRDefault="00DD4F8B" w:rsidP="0067003D">
            <w:pPr>
              <w:spacing w:after="0" w:line="240" w:lineRule="auto"/>
              <w:rPr>
                <w:rFonts w:ascii="Times New Roman" w:hAnsi="Times New Roman" w:cs="Times New Roman"/>
                <w:b/>
                <w:sz w:val="20"/>
                <w:szCs w:val="20"/>
                <w:lang w:val="en-US"/>
              </w:rPr>
            </w:pPr>
            <w:r w:rsidRPr="0000318B">
              <w:rPr>
                <w:rFonts w:ascii="Times New Roman" w:hAnsi="Times New Roman" w:cs="Times New Roman"/>
                <w:b/>
                <w:sz w:val="20"/>
                <w:szCs w:val="20"/>
                <w:lang w:val="en-US"/>
              </w:rPr>
              <w:lastRenderedPageBreak/>
              <w:t xml:space="preserve">Priority </w:t>
            </w:r>
          </w:p>
        </w:tc>
        <w:tc>
          <w:tcPr>
            <w:tcW w:w="833" w:type="pct"/>
            <w:tcBorders>
              <w:top w:val="single" w:sz="4" w:space="0" w:color="auto"/>
              <w:left w:val="single" w:sz="4" w:space="0" w:color="auto"/>
              <w:bottom w:val="single" w:sz="4" w:space="0" w:color="auto"/>
              <w:right w:val="single" w:sz="4" w:space="0" w:color="auto"/>
            </w:tcBorders>
            <w:hideMark/>
          </w:tcPr>
          <w:p w:rsidR="00DD4F8B" w:rsidRPr="0000318B" w:rsidRDefault="00DD4F8B" w:rsidP="0067003D">
            <w:pPr>
              <w:spacing w:after="0" w:line="240" w:lineRule="auto"/>
              <w:rPr>
                <w:rFonts w:ascii="Times New Roman" w:hAnsi="Times New Roman" w:cs="Times New Roman"/>
                <w:b/>
                <w:sz w:val="20"/>
                <w:szCs w:val="20"/>
                <w:lang w:val="en-US"/>
              </w:rPr>
            </w:pPr>
            <w:r w:rsidRPr="0000318B">
              <w:rPr>
                <w:rFonts w:ascii="Times New Roman" w:hAnsi="Times New Roman" w:cs="Times New Roman"/>
                <w:b/>
                <w:sz w:val="20"/>
                <w:szCs w:val="20"/>
                <w:lang w:val="en-US"/>
              </w:rPr>
              <w:t>Specific objective (Investment for Jobs and Growth goal or EMFF)</w:t>
            </w:r>
          </w:p>
        </w:tc>
        <w:tc>
          <w:tcPr>
            <w:tcW w:w="348" w:type="pct"/>
            <w:tcBorders>
              <w:top w:val="single" w:sz="4" w:space="0" w:color="auto"/>
              <w:left w:val="single" w:sz="4" w:space="0" w:color="auto"/>
              <w:bottom w:val="single" w:sz="4" w:space="0" w:color="auto"/>
              <w:right w:val="single" w:sz="4" w:space="0" w:color="auto"/>
            </w:tcBorders>
            <w:hideMark/>
          </w:tcPr>
          <w:p w:rsidR="00DD4F8B" w:rsidRPr="0000318B" w:rsidRDefault="00DD4F8B" w:rsidP="0067003D">
            <w:pPr>
              <w:spacing w:after="0" w:line="240" w:lineRule="auto"/>
              <w:rPr>
                <w:rFonts w:ascii="Times New Roman" w:hAnsi="Times New Roman" w:cs="Times New Roman"/>
                <w:b/>
                <w:sz w:val="20"/>
                <w:szCs w:val="20"/>
                <w:lang w:val="en-US"/>
              </w:rPr>
            </w:pPr>
            <w:r w:rsidRPr="0000318B">
              <w:rPr>
                <w:rFonts w:ascii="Times New Roman" w:hAnsi="Times New Roman" w:cs="Times New Roman"/>
                <w:b/>
                <w:sz w:val="20"/>
                <w:szCs w:val="20"/>
                <w:lang w:val="en-US"/>
              </w:rPr>
              <w:t>Fund</w:t>
            </w:r>
          </w:p>
        </w:tc>
        <w:tc>
          <w:tcPr>
            <w:tcW w:w="556" w:type="pct"/>
            <w:tcBorders>
              <w:top w:val="single" w:sz="4" w:space="0" w:color="auto"/>
              <w:left w:val="single" w:sz="4" w:space="0" w:color="auto"/>
              <w:bottom w:val="single" w:sz="4" w:space="0" w:color="auto"/>
              <w:right w:val="single" w:sz="4" w:space="0" w:color="auto"/>
            </w:tcBorders>
            <w:hideMark/>
          </w:tcPr>
          <w:p w:rsidR="00DD4F8B" w:rsidRPr="00B71F13" w:rsidRDefault="00DD4F8B" w:rsidP="0067003D">
            <w:pPr>
              <w:spacing w:after="0" w:line="240" w:lineRule="auto"/>
              <w:rPr>
                <w:rFonts w:ascii="Times New Roman" w:hAnsi="Times New Roman" w:cs="Times New Roman"/>
                <w:b/>
                <w:sz w:val="20"/>
                <w:szCs w:val="20"/>
                <w:lang w:val="en-US"/>
              </w:rPr>
            </w:pPr>
            <w:r w:rsidRPr="00B71F13">
              <w:rPr>
                <w:rFonts w:ascii="Times New Roman" w:hAnsi="Times New Roman" w:cs="Times New Roman"/>
                <w:b/>
                <w:sz w:val="20"/>
                <w:szCs w:val="20"/>
                <w:lang w:val="en-US"/>
              </w:rPr>
              <w:t>Category of region</w:t>
            </w:r>
          </w:p>
        </w:tc>
        <w:tc>
          <w:tcPr>
            <w:tcW w:w="416" w:type="pct"/>
            <w:tcBorders>
              <w:top w:val="single" w:sz="4" w:space="0" w:color="auto"/>
              <w:left w:val="single" w:sz="4" w:space="0" w:color="auto"/>
              <w:bottom w:val="single" w:sz="4" w:space="0" w:color="auto"/>
              <w:right w:val="single" w:sz="4" w:space="0" w:color="auto"/>
            </w:tcBorders>
            <w:hideMark/>
          </w:tcPr>
          <w:p w:rsidR="00DD4F8B" w:rsidRPr="00B71F13" w:rsidRDefault="00DD4F8B" w:rsidP="0067003D">
            <w:pPr>
              <w:spacing w:after="0" w:line="240" w:lineRule="auto"/>
              <w:jc w:val="center"/>
              <w:rPr>
                <w:rFonts w:ascii="Times New Roman" w:hAnsi="Times New Roman" w:cs="Times New Roman"/>
                <w:b/>
                <w:sz w:val="20"/>
                <w:szCs w:val="20"/>
                <w:lang w:val="en-US"/>
              </w:rPr>
            </w:pPr>
            <w:r w:rsidRPr="00B71F13">
              <w:rPr>
                <w:rFonts w:ascii="Times New Roman" w:hAnsi="Times New Roman" w:cs="Times New Roman"/>
                <w:b/>
                <w:sz w:val="20"/>
                <w:szCs w:val="20"/>
                <w:lang w:val="en-US"/>
              </w:rPr>
              <w:t>ID [5]</w:t>
            </w:r>
          </w:p>
        </w:tc>
        <w:tc>
          <w:tcPr>
            <w:tcW w:w="1112" w:type="pct"/>
            <w:tcBorders>
              <w:top w:val="single" w:sz="4" w:space="0" w:color="auto"/>
              <w:left w:val="single" w:sz="4" w:space="0" w:color="auto"/>
              <w:bottom w:val="single" w:sz="4" w:space="0" w:color="auto"/>
              <w:right w:val="single" w:sz="4" w:space="0" w:color="auto"/>
            </w:tcBorders>
            <w:hideMark/>
          </w:tcPr>
          <w:p w:rsidR="00DD4F8B" w:rsidRPr="00B71F13" w:rsidRDefault="00DD4F8B" w:rsidP="0067003D">
            <w:pPr>
              <w:spacing w:after="0" w:line="240" w:lineRule="auto"/>
              <w:rPr>
                <w:rFonts w:ascii="Times New Roman" w:hAnsi="Times New Roman" w:cs="Times New Roman"/>
                <w:b/>
                <w:sz w:val="20"/>
                <w:szCs w:val="20"/>
                <w:lang w:val="en-US"/>
              </w:rPr>
            </w:pPr>
            <w:r w:rsidRPr="00B71F13">
              <w:rPr>
                <w:rFonts w:ascii="Times New Roman" w:hAnsi="Times New Roman" w:cs="Times New Roman"/>
                <w:b/>
                <w:sz w:val="20"/>
                <w:szCs w:val="20"/>
                <w:lang w:val="en-US"/>
              </w:rPr>
              <w:t xml:space="preserve">Indicator [255] </w:t>
            </w:r>
          </w:p>
        </w:tc>
        <w:tc>
          <w:tcPr>
            <w:tcW w:w="418" w:type="pct"/>
            <w:tcBorders>
              <w:top w:val="single" w:sz="4" w:space="0" w:color="auto"/>
              <w:left w:val="single" w:sz="4" w:space="0" w:color="auto"/>
              <w:bottom w:val="single" w:sz="4" w:space="0" w:color="auto"/>
              <w:right w:val="single" w:sz="4" w:space="0" w:color="auto"/>
            </w:tcBorders>
            <w:hideMark/>
          </w:tcPr>
          <w:p w:rsidR="00DD4F8B" w:rsidRPr="0000318B" w:rsidRDefault="00DD4F8B" w:rsidP="0067003D">
            <w:pPr>
              <w:spacing w:after="0" w:line="240" w:lineRule="auto"/>
              <w:rPr>
                <w:rFonts w:ascii="Times New Roman" w:hAnsi="Times New Roman" w:cs="Times New Roman"/>
                <w:b/>
                <w:sz w:val="20"/>
                <w:szCs w:val="20"/>
                <w:lang w:val="en-US"/>
              </w:rPr>
            </w:pPr>
            <w:r w:rsidRPr="0000318B">
              <w:rPr>
                <w:rFonts w:ascii="Times New Roman" w:hAnsi="Times New Roman" w:cs="Times New Roman"/>
                <w:b/>
                <w:sz w:val="20"/>
                <w:szCs w:val="20"/>
                <w:lang w:val="en-US"/>
              </w:rPr>
              <w:t>Measurement unit</w:t>
            </w:r>
          </w:p>
        </w:tc>
        <w:tc>
          <w:tcPr>
            <w:tcW w:w="484" w:type="pct"/>
            <w:tcBorders>
              <w:top w:val="single" w:sz="4" w:space="0" w:color="auto"/>
              <w:left w:val="single" w:sz="4" w:space="0" w:color="auto"/>
              <w:bottom w:val="single" w:sz="4" w:space="0" w:color="auto"/>
              <w:right w:val="single" w:sz="4" w:space="0" w:color="auto"/>
            </w:tcBorders>
          </w:tcPr>
          <w:p w:rsidR="00DD4F8B" w:rsidRPr="0000318B" w:rsidRDefault="00DD4F8B" w:rsidP="0067003D">
            <w:pPr>
              <w:spacing w:after="0" w:line="240" w:lineRule="auto"/>
              <w:rPr>
                <w:rFonts w:ascii="Times New Roman" w:hAnsi="Times New Roman" w:cs="Times New Roman"/>
                <w:b/>
                <w:sz w:val="20"/>
                <w:szCs w:val="20"/>
                <w:lang w:val="en-US"/>
              </w:rPr>
            </w:pPr>
            <w:r w:rsidRPr="0000318B">
              <w:rPr>
                <w:rFonts w:ascii="Times New Roman" w:hAnsi="Times New Roman" w:cs="Times New Roman"/>
                <w:b/>
                <w:sz w:val="20"/>
                <w:szCs w:val="20"/>
                <w:lang w:val="en-US"/>
              </w:rPr>
              <w:t>Milestone (2024)</w:t>
            </w:r>
          </w:p>
          <w:p w:rsidR="00DD4F8B" w:rsidRPr="0000318B" w:rsidRDefault="00DD4F8B" w:rsidP="0067003D">
            <w:pPr>
              <w:spacing w:after="0" w:line="240" w:lineRule="auto"/>
              <w:rPr>
                <w:rFonts w:ascii="Times New Roman" w:hAnsi="Times New Roman" w:cs="Times New Roman"/>
                <w:b/>
                <w:sz w:val="20"/>
                <w:szCs w:val="20"/>
                <w:lang w:val="en-US"/>
              </w:rPr>
            </w:pPr>
          </w:p>
        </w:tc>
        <w:tc>
          <w:tcPr>
            <w:tcW w:w="487" w:type="pct"/>
            <w:tcBorders>
              <w:top w:val="single" w:sz="4" w:space="0" w:color="auto"/>
              <w:left w:val="single" w:sz="4" w:space="0" w:color="auto"/>
              <w:bottom w:val="single" w:sz="4" w:space="0" w:color="auto"/>
              <w:right w:val="single" w:sz="4" w:space="0" w:color="auto"/>
            </w:tcBorders>
          </w:tcPr>
          <w:p w:rsidR="00DD4F8B" w:rsidRPr="0000318B" w:rsidRDefault="00DD4F8B" w:rsidP="0067003D">
            <w:pPr>
              <w:spacing w:after="0" w:line="240" w:lineRule="auto"/>
              <w:rPr>
                <w:rFonts w:ascii="Times New Roman" w:hAnsi="Times New Roman" w:cs="Times New Roman"/>
                <w:b/>
                <w:sz w:val="20"/>
                <w:szCs w:val="20"/>
                <w:lang w:val="en-US"/>
              </w:rPr>
            </w:pPr>
            <w:r w:rsidRPr="0000318B">
              <w:rPr>
                <w:rFonts w:ascii="Times New Roman" w:hAnsi="Times New Roman" w:cs="Times New Roman"/>
                <w:b/>
                <w:sz w:val="20"/>
                <w:szCs w:val="20"/>
                <w:lang w:val="en-US"/>
              </w:rPr>
              <w:t>Target (2029)</w:t>
            </w:r>
          </w:p>
          <w:p w:rsidR="00DD4F8B" w:rsidRPr="0000318B" w:rsidRDefault="00DD4F8B" w:rsidP="0067003D">
            <w:pPr>
              <w:spacing w:after="0" w:line="240" w:lineRule="auto"/>
              <w:rPr>
                <w:rFonts w:ascii="Times New Roman" w:hAnsi="Times New Roman" w:cs="Times New Roman"/>
                <w:b/>
                <w:sz w:val="20"/>
                <w:szCs w:val="20"/>
                <w:lang w:val="en-US"/>
              </w:rPr>
            </w:pPr>
          </w:p>
        </w:tc>
      </w:tr>
      <w:tr w:rsidR="00DD4F8B" w:rsidRPr="0000318B" w:rsidTr="0067003D">
        <w:trPr>
          <w:trHeight w:val="841"/>
        </w:trPr>
        <w:tc>
          <w:tcPr>
            <w:tcW w:w="345" w:type="pct"/>
            <w:tcBorders>
              <w:top w:val="single" w:sz="4" w:space="0" w:color="auto"/>
              <w:left w:val="single" w:sz="4" w:space="0" w:color="auto"/>
              <w:bottom w:val="single" w:sz="4" w:space="0" w:color="auto"/>
              <w:right w:val="single" w:sz="4" w:space="0" w:color="auto"/>
            </w:tcBorders>
          </w:tcPr>
          <w:p w:rsidR="00DD4F8B" w:rsidRPr="0000318B" w:rsidRDefault="00DD4F8B" w:rsidP="0067003D">
            <w:pPr>
              <w:spacing w:after="0" w:line="240" w:lineRule="auto"/>
              <w:jc w:val="both"/>
              <w:rPr>
                <w:rFonts w:ascii="Times New Roman" w:hAnsi="Times New Roman" w:cs="Times New Roman"/>
                <w:sz w:val="20"/>
                <w:szCs w:val="20"/>
              </w:rPr>
            </w:pPr>
            <w:r w:rsidRPr="0000318B">
              <w:rPr>
                <w:rFonts w:ascii="Times New Roman" w:hAnsi="Times New Roman" w:cs="Times New Roman"/>
                <w:sz w:val="20"/>
                <w:szCs w:val="20"/>
              </w:rPr>
              <w:t>3.3</w:t>
            </w:r>
          </w:p>
        </w:tc>
        <w:tc>
          <w:tcPr>
            <w:tcW w:w="833" w:type="pct"/>
            <w:tcBorders>
              <w:top w:val="single" w:sz="4" w:space="0" w:color="auto"/>
              <w:left w:val="single" w:sz="4" w:space="0" w:color="auto"/>
              <w:bottom w:val="single" w:sz="4" w:space="0" w:color="auto"/>
              <w:right w:val="single" w:sz="4" w:space="0" w:color="auto"/>
            </w:tcBorders>
          </w:tcPr>
          <w:p w:rsidR="00DD4F8B" w:rsidRPr="0000318B" w:rsidRDefault="00DD4F8B" w:rsidP="0067003D">
            <w:pPr>
              <w:spacing w:after="0" w:line="240" w:lineRule="auto"/>
              <w:jc w:val="center"/>
              <w:rPr>
                <w:rFonts w:ascii="Times New Roman" w:hAnsi="Times New Roman" w:cs="Times New Roman"/>
                <w:i/>
                <w:sz w:val="20"/>
                <w:szCs w:val="20"/>
                <w:lang w:val="en-US"/>
              </w:rPr>
            </w:pPr>
            <w:r w:rsidRPr="0000318B">
              <w:rPr>
                <w:rFonts w:ascii="Times New Roman" w:hAnsi="Times New Roman" w:cs="Times New Roman"/>
                <w:i/>
                <w:sz w:val="20"/>
                <w:szCs w:val="20"/>
                <w:lang w:val="en-US"/>
              </w:rPr>
              <w:t>b (viii) Promovarea mobilității urbane multimodale sustenabile</w:t>
            </w:r>
          </w:p>
        </w:tc>
        <w:tc>
          <w:tcPr>
            <w:tcW w:w="348" w:type="pct"/>
            <w:tcBorders>
              <w:top w:val="single" w:sz="4" w:space="0" w:color="auto"/>
              <w:left w:val="single" w:sz="4" w:space="0" w:color="auto"/>
              <w:bottom w:val="single" w:sz="4" w:space="0" w:color="auto"/>
              <w:right w:val="single" w:sz="4" w:space="0" w:color="auto"/>
            </w:tcBorders>
          </w:tcPr>
          <w:p w:rsidR="00DD4F8B" w:rsidRPr="0000318B" w:rsidRDefault="00DD4F8B" w:rsidP="0067003D">
            <w:pPr>
              <w:spacing w:after="0" w:line="240" w:lineRule="auto"/>
              <w:rPr>
                <w:rFonts w:ascii="Times New Roman" w:hAnsi="Times New Roman" w:cs="Times New Roman"/>
                <w:b/>
                <w:i/>
                <w:sz w:val="20"/>
                <w:szCs w:val="20"/>
                <w:lang w:val="en-US"/>
              </w:rPr>
            </w:pPr>
            <w:r w:rsidRPr="0000318B">
              <w:rPr>
                <w:rFonts w:ascii="Times New Roman" w:hAnsi="Times New Roman" w:cs="Times New Roman"/>
                <w:b/>
                <w:i/>
                <w:sz w:val="20"/>
                <w:szCs w:val="20"/>
                <w:lang w:val="en-US"/>
              </w:rPr>
              <w:t>FEDR</w:t>
            </w:r>
          </w:p>
        </w:tc>
        <w:tc>
          <w:tcPr>
            <w:tcW w:w="556" w:type="pct"/>
            <w:tcBorders>
              <w:top w:val="single" w:sz="4" w:space="0" w:color="auto"/>
              <w:left w:val="single" w:sz="4" w:space="0" w:color="auto"/>
              <w:bottom w:val="single" w:sz="4" w:space="0" w:color="auto"/>
              <w:right w:val="single" w:sz="4" w:space="0" w:color="auto"/>
            </w:tcBorders>
          </w:tcPr>
          <w:p w:rsidR="00DD4F8B" w:rsidRPr="00B71F13" w:rsidRDefault="00DD4F8B" w:rsidP="0067003D">
            <w:pPr>
              <w:spacing w:after="0" w:line="240" w:lineRule="auto"/>
              <w:rPr>
                <w:rFonts w:ascii="Times New Roman" w:hAnsi="Times New Roman" w:cs="Times New Roman"/>
                <w:b/>
                <w:i/>
                <w:sz w:val="20"/>
                <w:szCs w:val="20"/>
                <w:lang w:val="en-US"/>
              </w:rPr>
            </w:pPr>
            <w:r w:rsidRPr="00B71F13">
              <w:rPr>
                <w:rFonts w:ascii="Times New Roman" w:hAnsi="Times New Roman" w:cs="Times New Roman"/>
                <w:b/>
                <w:i/>
                <w:sz w:val="20"/>
                <w:szCs w:val="20"/>
                <w:lang w:val="en-US"/>
              </w:rPr>
              <w:t xml:space="preserve">Mai puțin dezvoltată </w:t>
            </w:r>
          </w:p>
        </w:tc>
        <w:tc>
          <w:tcPr>
            <w:tcW w:w="416" w:type="pct"/>
            <w:tcBorders>
              <w:top w:val="single" w:sz="4" w:space="0" w:color="auto"/>
              <w:left w:val="single" w:sz="4" w:space="0" w:color="auto"/>
              <w:bottom w:val="single" w:sz="4" w:space="0" w:color="auto"/>
              <w:right w:val="single" w:sz="4" w:space="0" w:color="auto"/>
            </w:tcBorders>
          </w:tcPr>
          <w:p w:rsidR="00DD4F8B" w:rsidRPr="007351CE" w:rsidRDefault="00DD4F8B" w:rsidP="0067003D">
            <w:pPr>
              <w:spacing w:after="0" w:line="240" w:lineRule="auto"/>
              <w:rPr>
                <w:rFonts w:ascii="Times New Roman" w:hAnsi="Times New Roman" w:cs="Times New Roman"/>
                <w:noProof/>
                <w:color w:val="000000"/>
                <w:sz w:val="20"/>
                <w:szCs w:val="20"/>
              </w:rPr>
            </w:pPr>
            <w:r w:rsidRPr="007351CE">
              <w:rPr>
                <w:rFonts w:ascii="Times New Roman" w:hAnsi="Times New Roman" w:cs="Times New Roman"/>
                <w:noProof/>
                <w:color w:val="000000"/>
                <w:sz w:val="20"/>
                <w:szCs w:val="20"/>
              </w:rPr>
              <w:t>RCO 44</w:t>
            </w:r>
          </w:p>
          <w:p w:rsidR="00DD4F8B" w:rsidRPr="007351CE" w:rsidRDefault="00DD4F8B" w:rsidP="0067003D">
            <w:pPr>
              <w:spacing w:after="0" w:line="240" w:lineRule="auto"/>
              <w:rPr>
                <w:rFonts w:ascii="Times New Roman" w:hAnsi="Times New Roman" w:cs="Times New Roman"/>
                <w:noProof/>
                <w:color w:val="000000"/>
                <w:sz w:val="20"/>
                <w:szCs w:val="20"/>
              </w:rPr>
            </w:pPr>
          </w:p>
          <w:p w:rsidR="00DD4F8B" w:rsidRPr="00B71F13" w:rsidRDefault="00DD4F8B" w:rsidP="0067003D">
            <w:pPr>
              <w:spacing w:after="0" w:line="240" w:lineRule="auto"/>
              <w:rPr>
                <w:rFonts w:ascii="Times New Roman" w:hAnsi="Times New Roman" w:cs="Times New Roman"/>
                <w:noProof/>
                <w:color w:val="000000"/>
                <w:sz w:val="20"/>
                <w:szCs w:val="20"/>
              </w:rPr>
            </w:pPr>
          </w:p>
        </w:tc>
        <w:tc>
          <w:tcPr>
            <w:tcW w:w="1112" w:type="pct"/>
            <w:tcBorders>
              <w:top w:val="single" w:sz="4" w:space="0" w:color="auto"/>
              <w:left w:val="single" w:sz="4" w:space="0" w:color="auto"/>
              <w:bottom w:val="single" w:sz="4" w:space="0" w:color="auto"/>
              <w:right w:val="single" w:sz="4" w:space="0" w:color="auto"/>
            </w:tcBorders>
          </w:tcPr>
          <w:p w:rsidR="00DD4F8B" w:rsidRPr="007351CE" w:rsidRDefault="00DD4F8B" w:rsidP="0067003D">
            <w:pPr>
              <w:spacing w:after="0" w:line="240" w:lineRule="auto"/>
              <w:rPr>
                <w:rFonts w:ascii="Times New Roman" w:hAnsi="Times New Roman" w:cs="Times New Roman"/>
                <w:noProof/>
                <w:color w:val="000000"/>
                <w:sz w:val="20"/>
                <w:szCs w:val="20"/>
              </w:rPr>
            </w:pPr>
            <w:r w:rsidRPr="007351CE">
              <w:rPr>
                <w:rFonts w:ascii="Times New Roman" w:hAnsi="Times New Roman" w:cs="Times New Roman"/>
                <w:noProof/>
                <w:color w:val="000000"/>
                <w:sz w:val="20"/>
                <w:szCs w:val="20"/>
              </w:rPr>
              <w:t>Lungimea drumurilor noi sau reabi</w:t>
            </w:r>
            <w:r w:rsidR="0009117E">
              <w:rPr>
                <w:rFonts w:ascii="Times New Roman" w:hAnsi="Times New Roman" w:cs="Times New Roman"/>
                <w:noProof/>
                <w:color w:val="000000"/>
                <w:sz w:val="20"/>
                <w:szCs w:val="20"/>
              </w:rPr>
              <w:t>l</w:t>
            </w:r>
            <w:r w:rsidRPr="007351CE">
              <w:rPr>
                <w:rFonts w:ascii="Times New Roman" w:hAnsi="Times New Roman" w:cs="Times New Roman"/>
                <w:noProof/>
                <w:color w:val="000000"/>
                <w:sz w:val="20"/>
                <w:szCs w:val="20"/>
              </w:rPr>
              <w:t>itate – altele (non TEN-T)</w:t>
            </w:r>
          </w:p>
          <w:p w:rsidR="00DD4F8B" w:rsidRPr="00B71F13" w:rsidRDefault="00DD4F8B" w:rsidP="0067003D">
            <w:pPr>
              <w:spacing w:after="0" w:line="240" w:lineRule="auto"/>
              <w:rPr>
                <w:rFonts w:ascii="Times New Roman" w:hAnsi="Times New Roman" w:cs="Times New Roman"/>
                <w:noProof/>
                <w:color w:val="000000"/>
                <w:sz w:val="20"/>
                <w:szCs w:val="20"/>
              </w:rPr>
            </w:pPr>
          </w:p>
        </w:tc>
        <w:tc>
          <w:tcPr>
            <w:tcW w:w="418" w:type="pct"/>
            <w:tcBorders>
              <w:top w:val="single" w:sz="4" w:space="0" w:color="auto"/>
              <w:left w:val="single" w:sz="4" w:space="0" w:color="auto"/>
              <w:bottom w:val="single" w:sz="4" w:space="0" w:color="auto"/>
              <w:right w:val="single" w:sz="4" w:space="0" w:color="auto"/>
            </w:tcBorders>
          </w:tcPr>
          <w:p w:rsidR="00DD4F8B" w:rsidRPr="00DE593C" w:rsidRDefault="00DD4F8B" w:rsidP="0067003D">
            <w:pPr>
              <w:spacing w:after="0" w:line="240" w:lineRule="auto"/>
              <w:rPr>
                <w:rFonts w:ascii="Times New Roman" w:hAnsi="Times New Roman" w:cs="Times New Roman"/>
                <w:noProof/>
                <w:sz w:val="20"/>
                <w:szCs w:val="20"/>
              </w:rPr>
            </w:pPr>
            <w:r w:rsidRPr="00DE593C">
              <w:rPr>
                <w:rFonts w:ascii="Times New Roman" w:hAnsi="Times New Roman" w:cs="Times New Roman"/>
                <w:noProof/>
                <w:sz w:val="20"/>
                <w:szCs w:val="20"/>
              </w:rPr>
              <w:t>km</w:t>
            </w:r>
          </w:p>
          <w:p w:rsidR="00DD4F8B" w:rsidRPr="00DE593C" w:rsidRDefault="00DD4F8B" w:rsidP="0067003D">
            <w:pPr>
              <w:spacing w:after="0" w:line="240" w:lineRule="auto"/>
              <w:rPr>
                <w:rFonts w:ascii="Times New Roman" w:hAnsi="Times New Roman" w:cs="Times New Roman"/>
                <w:noProof/>
                <w:sz w:val="20"/>
                <w:szCs w:val="20"/>
              </w:rPr>
            </w:pPr>
          </w:p>
          <w:p w:rsidR="00DD4F8B" w:rsidRPr="00DE593C" w:rsidRDefault="00DD4F8B" w:rsidP="0067003D">
            <w:pPr>
              <w:spacing w:after="0" w:line="240" w:lineRule="auto"/>
              <w:rPr>
                <w:rFonts w:ascii="Times New Roman" w:hAnsi="Times New Roman" w:cs="Times New Roman"/>
                <w:noProof/>
                <w:sz w:val="20"/>
                <w:szCs w:val="20"/>
              </w:rPr>
            </w:pPr>
          </w:p>
          <w:p w:rsidR="00DD4F8B" w:rsidRPr="00DE593C" w:rsidRDefault="00DD4F8B" w:rsidP="0067003D">
            <w:pPr>
              <w:spacing w:after="0" w:line="240" w:lineRule="auto"/>
              <w:rPr>
                <w:rFonts w:ascii="Times New Roman" w:hAnsi="Times New Roman" w:cs="Times New Roman"/>
                <w:sz w:val="20"/>
                <w:szCs w:val="20"/>
                <w:lang w:val="en-US"/>
              </w:rPr>
            </w:pPr>
          </w:p>
        </w:tc>
        <w:tc>
          <w:tcPr>
            <w:tcW w:w="484" w:type="pct"/>
            <w:tcBorders>
              <w:top w:val="single" w:sz="4" w:space="0" w:color="auto"/>
              <w:left w:val="single" w:sz="4" w:space="0" w:color="auto"/>
              <w:bottom w:val="single" w:sz="4" w:space="0" w:color="auto"/>
              <w:right w:val="single" w:sz="4" w:space="0" w:color="auto"/>
            </w:tcBorders>
          </w:tcPr>
          <w:p w:rsidR="00DD4F8B" w:rsidRDefault="00DD4F8B" w:rsidP="0067003D">
            <w:pPr>
              <w:spacing w:after="0" w:line="240" w:lineRule="auto"/>
              <w:rPr>
                <w:rFonts w:ascii="Times New Roman" w:hAnsi="Times New Roman" w:cs="Times New Roman"/>
                <w:b/>
                <w:sz w:val="20"/>
                <w:szCs w:val="20"/>
                <w:lang w:val="en-US"/>
              </w:rPr>
            </w:pPr>
            <w:r>
              <w:rPr>
                <w:rFonts w:ascii="Times New Roman" w:hAnsi="Times New Roman" w:cs="Times New Roman"/>
                <w:b/>
                <w:sz w:val="20"/>
                <w:szCs w:val="20"/>
                <w:lang w:val="en-US"/>
              </w:rPr>
              <w:t>15</w:t>
            </w:r>
          </w:p>
          <w:p w:rsidR="00DD4F8B" w:rsidRDefault="00DD4F8B" w:rsidP="0067003D">
            <w:pPr>
              <w:spacing w:after="0" w:line="240" w:lineRule="auto"/>
              <w:rPr>
                <w:rFonts w:ascii="Times New Roman" w:hAnsi="Times New Roman" w:cs="Times New Roman"/>
                <w:b/>
                <w:sz w:val="20"/>
                <w:szCs w:val="20"/>
                <w:lang w:val="en-US"/>
              </w:rPr>
            </w:pPr>
          </w:p>
          <w:p w:rsidR="00DD4F8B" w:rsidRPr="0000318B" w:rsidRDefault="00DD4F8B" w:rsidP="0067003D">
            <w:pPr>
              <w:spacing w:after="0" w:line="240" w:lineRule="auto"/>
              <w:rPr>
                <w:rFonts w:ascii="Times New Roman" w:hAnsi="Times New Roman" w:cs="Times New Roman"/>
                <w:b/>
                <w:sz w:val="20"/>
                <w:szCs w:val="20"/>
                <w:lang w:val="en-US"/>
              </w:rPr>
            </w:pPr>
          </w:p>
        </w:tc>
        <w:tc>
          <w:tcPr>
            <w:tcW w:w="487" w:type="pct"/>
            <w:tcBorders>
              <w:top w:val="single" w:sz="4" w:space="0" w:color="auto"/>
              <w:left w:val="single" w:sz="4" w:space="0" w:color="auto"/>
              <w:bottom w:val="single" w:sz="4" w:space="0" w:color="auto"/>
              <w:right w:val="single" w:sz="4" w:space="0" w:color="auto"/>
            </w:tcBorders>
          </w:tcPr>
          <w:p w:rsidR="00DD4F8B" w:rsidRDefault="00DD4F8B" w:rsidP="0067003D">
            <w:pPr>
              <w:spacing w:after="0" w:line="240" w:lineRule="auto"/>
              <w:rPr>
                <w:rFonts w:ascii="Times New Roman" w:hAnsi="Times New Roman" w:cs="Times New Roman"/>
                <w:b/>
                <w:sz w:val="20"/>
                <w:szCs w:val="20"/>
                <w:lang w:val="en-US"/>
              </w:rPr>
            </w:pPr>
            <w:r>
              <w:rPr>
                <w:rFonts w:ascii="Times New Roman" w:hAnsi="Times New Roman" w:cs="Times New Roman"/>
                <w:b/>
                <w:sz w:val="20"/>
                <w:szCs w:val="20"/>
                <w:lang w:val="en-US"/>
              </w:rPr>
              <w:t>50</w:t>
            </w:r>
          </w:p>
          <w:p w:rsidR="00DD4F8B" w:rsidRDefault="00DD4F8B" w:rsidP="0067003D">
            <w:pPr>
              <w:spacing w:after="0" w:line="240" w:lineRule="auto"/>
              <w:rPr>
                <w:rFonts w:ascii="Times New Roman" w:hAnsi="Times New Roman" w:cs="Times New Roman"/>
                <w:b/>
                <w:sz w:val="20"/>
                <w:szCs w:val="20"/>
                <w:lang w:val="en-US"/>
              </w:rPr>
            </w:pPr>
          </w:p>
          <w:p w:rsidR="00DD4F8B" w:rsidRPr="0000318B" w:rsidRDefault="00DD4F8B" w:rsidP="0067003D">
            <w:pPr>
              <w:spacing w:after="0" w:line="240" w:lineRule="auto"/>
              <w:rPr>
                <w:rFonts w:ascii="Times New Roman" w:hAnsi="Times New Roman" w:cs="Times New Roman"/>
                <w:b/>
                <w:sz w:val="20"/>
                <w:szCs w:val="20"/>
                <w:lang w:val="en-US"/>
              </w:rPr>
            </w:pPr>
          </w:p>
        </w:tc>
      </w:tr>
      <w:tr w:rsidR="00DD4F8B" w:rsidTr="0067003D">
        <w:trPr>
          <w:trHeight w:val="332"/>
        </w:trPr>
        <w:tc>
          <w:tcPr>
            <w:tcW w:w="345" w:type="pct"/>
            <w:tcBorders>
              <w:top w:val="single" w:sz="4" w:space="0" w:color="auto"/>
              <w:left w:val="single" w:sz="4" w:space="0" w:color="auto"/>
              <w:bottom w:val="single" w:sz="4" w:space="0" w:color="auto"/>
              <w:right w:val="single" w:sz="4" w:space="0" w:color="auto"/>
            </w:tcBorders>
          </w:tcPr>
          <w:p w:rsidR="00DD4F8B" w:rsidRPr="0000318B" w:rsidRDefault="00DD4F8B" w:rsidP="0067003D">
            <w:pPr>
              <w:spacing w:after="0" w:line="240" w:lineRule="auto"/>
              <w:jc w:val="both"/>
              <w:rPr>
                <w:rFonts w:ascii="Times New Roman" w:hAnsi="Times New Roman" w:cs="Times New Roman"/>
                <w:sz w:val="20"/>
                <w:szCs w:val="20"/>
              </w:rPr>
            </w:pPr>
          </w:p>
        </w:tc>
        <w:tc>
          <w:tcPr>
            <w:tcW w:w="833" w:type="pct"/>
            <w:tcBorders>
              <w:top w:val="single" w:sz="4" w:space="0" w:color="auto"/>
              <w:left w:val="single" w:sz="4" w:space="0" w:color="auto"/>
              <w:bottom w:val="single" w:sz="4" w:space="0" w:color="auto"/>
              <w:right w:val="single" w:sz="4" w:space="0" w:color="auto"/>
            </w:tcBorders>
          </w:tcPr>
          <w:p w:rsidR="00DD4F8B" w:rsidRPr="0000318B" w:rsidRDefault="00DD4F8B" w:rsidP="0067003D">
            <w:pPr>
              <w:spacing w:after="0" w:line="240" w:lineRule="auto"/>
              <w:jc w:val="center"/>
              <w:rPr>
                <w:rFonts w:ascii="Times New Roman" w:hAnsi="Times New Roman" w:cs="Times New Roman"/>
                <w:i/>
                <w:sz w:val="20"/>
                <w:szCs w:val="20"/>
                <w:lang w:val="en-US"/>
              </w:rPr>
            </w:pPr>
          </w:p>
        </w:tc>
        <w:tc>
          <w:tcPr>
            <w:tcW w:w="348" w:type="pct"/>
            <w:tcBorders>
              <w:top w:val="single" w:sz="4" w:space="0" w:color="auto"/>
              <w:left w:val="single" w:sz="4" w:space="0" w:color="auto"/>
              <w:bottom w:val="single" w:sz="4" w:space="0" w:color="auto"/>
              <w:right w:val="single" w:sz="4" w:space="0" w:color="auto"/>
            </w:tcBorders>
          </w:tcPr>
          <w:p w:rsidR="00DD4F8B" w:rsidRPr="0000318B" w:rsidRDefault="00DD4F8B" w:rsidP="0067003D">
            <w:pPr>
              <w:spacing w:after="0" w:line="240" w:lineRule="auto"/>
              <w:rPr>
                <w:rFonts w:ascii="Times New Roman" w:hAnsi="Times New Roman" w:cs="Times New Roman"/>
                <w:b/>
                <w:i/>
                <w:sz w:val="20"/>
                <w:szCs w:val="20"/>
                <w:lang w:val="en-US"/>
              </w:rPr>
            </w:pPr>
          </w:p>
        </w:tc>
        <w:tc>
          <w:tcPr>
            <w:tcW w:w="556" w:type="pct"/>
            <w:tcBorders>
              <w:top w:val="single" w:sz="4" w:space="0" w:color="auto"/>
              <w:left w:val="single" w:sz="4" w:space="0" w:color="auto"/>
              <w:bottom w:val="single" w:sz="4" w:space="0" w:color="auto"/>
              <w:right w:val="single" w:sz="4" w:space="0" w:color="auto"/>
            </w:tcBorders>
          </w:tcPr>
          <w:p w:rsidR="00DD4F8B" w:rsidRPr="00B71F13" w:rsidRDefault="00DD4F8B" w:rsidP="0067003D">
            <w:pPr>
              <w:spacing w:after="0" w:line="240" w:lineRule="auto"/>
              <w:rPr>
                <w:rFonts w:ascii="Times New Roman" w:hAnsi="Times New Roman" w:cs="Times New Roman"/>
                <w:b/>
                <w:i/>
                <w:sz w:val="20"/>
                <w:szCs w:val="20"/>
                <w:lang w:val="en-US"/>
              </w:rPr>
            </w:pPr>
          </w:p>
        </w:tc>
        <w:tc>
          <w:tcPr>
            <w:tcW w:w="416" w:type="pct"/>
            <w:tcBorders>
              <w:top w:val="single" w:sz="4" w:space="0" w:color="auto"/>
              <w:left w:val="single" w:sz="4" w:space="0" w:color="auto"/>
              <w:bottom w:val="single" w:sz="4" w:space="0" w:color="auto"/>
              <w:right w:val="single" w:sz="4" w:space="0" w:color="auto"/>
            </w:tcBorders>
          </w:tcPr>
          <w:p w:rsidR="00DD4F8B" w:rsidRPr="00B71F13" w:rsidRDefault="00DD4F8B" w:rsidP="0067003D">
            <w:pPr>
              <w:spacing w:after="0" w:line="240" w:lineRule="auto"/>
              <w:rPr>
                <w:rFonts w:ascii="Times New Roman" w:hAnsi="Times New Roman" w:cs="Times New Roman"/>
                <w:noProof/>
                <w:color w:val="000000"/>
                <w:sz w:val="20"/>
                <w:szCs w:val="20"/>
              </w:rPr>
            </w:pPr>
            <w:r w:rsidRPr="007351CE">
              <w:rPr>
                <w:rFonts w:ascii="Times New Roman" w:hAnsi="Times New Roman" w:cs="Times New Roman"/>
                <w:noProof/>
                <w:color w:val="000000"/>
                <w:sz w:val="20"/>
                <w:szCs w:val="20"/>
              </w:rPr>
              <w:t xml:space="preserve">RCO </w:t>
            </w:r>
            <w:r w:rsidRPr="00B71F13">
              <w:rPr>
                <w:rFonts w:ascii="Times New Roman" w:hAnsi="Times New Roman" w:cs="Times New Roman"/>
                <w:noProof/>
                <w:color w:val="000000"/>
                <w:sz w:val="20"/>
                <w:szCs w:val="20"/>
              </w:rPr>
              <w:t>46</w:t>
            </w:r>
          </w:p>
          <w:p w:rsidR="00DD4F8B" w:rsidRPr="007351CE" w:rsidRDefault="00DD4F8B" w:rsidP="0067003D">
            <w:pPr>
              <w:spacing w:after="0" w:line="240" w:lineRule="auto"/>
              <w:rPr>
                <w:rFonts w:ascii="Times New Roman" w:hAnsi="Times New Roman" w:cs="Times New Roman"/>
                <w:noProof/>
                <w:color w:val="000000"/>
                <w:sz w:val="20"/>
                <w:szCs w:val="20"/>
              </w:rPr>
            </w:pPr>
          </w:p>
        </w:tc>
        <w:tc>
          <w:tcPr>
            <w:tcW w:w="1112" w:type="pct"/>
            <w:tcBorders>
              <w:top w:val="single" w:sz="4" w:space="0" w:color="auto"/>
              <w:left w:val="single" w:sz="4" w:space="0" w:color="auto"/>
              <w:bottom w:val="single" w:sz="4" w:space="0" w:color="auto"/>
              <w:right w:val="single" w:sz="4" w:space="0" w:color="auto"/>
            </w:tcBorders>
          </w:tcPr>
          <w:p w:rsidR="00DD4F8B" w:rsidRPr="007351CE" w:rsidRDefault="00DD4F8B" w:rsidP="0067003D">
            <w:pPr>
              <w:spacing w:after="0" w:line="240" w:lineRule="auto"/>
              <w:rPr>
                <w:rFonts w:ascii="Times New Roman" w:hAnsi="Times New Roman" w:cs="Times New Roman"/>
                <w:noProof/>
                <w:color w:val="000000"/>
                <w:sz w:val="20"/>
                <w:szCs w:val="20"/>
              </w:rPr>
            </w:pPr>
            <w:r w:rsidRPr="00B71F13">
              <w:rPr>
                <w:rFonts w:ascii="Times New Roman" w:hAnsi="Times New Roman" w:cs="Times New Roman"/>
                <w:noProof/>
                <w:color w:val="000000"/>
                <w:sz w:val="20"/>
                <w:szCs w:val="20"/>
              </w:rPr>
              <w:t xml:space="preserve">RCO 46 – Lungimea drumurilor reconstruite sau modernizate – altele </w:t>
            </w:r>
            <w:r w:rsidRPr="007351CE">
              <w:rPr>
                <w:rFonts w:ascii="Times New Roman" w:hAnsi="Times New Roman" w:cs="Times New Roman"/>
                <w:noProof/>
                <w:color w:val="000000"/>
                <w:sz w:val="20"/>
                <w:szCs w:val="20"/>
              </w:rPr>
              <w:t>(non TEN-T)</w:t>
            </w:r>
          </w:p>
        </w:tc>
        <w:tc>
          <w:tcPr>
            <w:tcW w:w="418" w:type="pct"/>
            <w:tcBorders>
              <w:top w:val="single" w:sz="4" w:space="0" w:color="auto"/>
              <w:left w:val="single" w:sz="4" w:space="0" w:color="auto"/>
              <w:bottom w:val="single" w:sz="4" w:space="0" w:color="auto"/>
              <w:right w:val="single" w:sz="4" w:space="0" w:color="auto"/>
            </w:tcBorders>
          </w:tcPr>
          <w:p w:rsidR="00DD4F8B" w:rsidRPr="00DE593C" w:rsidRDefault="00DD4F8B" w:rsidP="0067003D">
            <w:pPr>
              <w:spacing w:after="0" w:line="240" w:lineRule="auto"/>
              <w:rPr>
                <w:rFonts w:ascii="Times New Roman" w:hAnsi="Times New Roman" w:cs="Times New Roman"/>
                <w:noProof/>
                <w:sz w:val="20"/>
                <w:szCs w:val="20"/>
              </w:rPr>
            </w:pPr>
            <w:r w:rsidRPr="00DE593C">
              <w:rPr>
                <w:rFonts w:ascii="Times New Roman" w:hAnsi="Times New Roman" w:cs="Times New Roman"/>
                <w:noProof/>
                <w:sz w:val="20"/>
                <w:szCs w:val="20"/>
              </w:rPr>
              <w:t>km</w:t>
            </w:r>
          </w:p>
          <w:p w:rsidR="00DD4F8B" w:rsidRPr="00DE593C" w:rsidRDefault="00DD4F8B" w:rsidP="0067003D">
            <w:pPr>
              <w:spacing w:after="0" w:line="240" w:lineRule="auto"/>
              <w:rPr>
                <w:rFonts w:ascii="Times New Roman" w:hAnsi="Times New Roman" w:cs="Times New Roman"/>
                <w:noProof/>
                <w:sz w:val="20"/>
                <w:szCs w:val="20"/>
              </w:rPr>
            </w:pPr>
          </w:p>
        </w:tc>
        <w:tc>
          <w:tcPr>
            <w:tcW w:w="484" w:type="pct"/>
            <w:tcBorders>
              <w:top w:val="single" w:sz="4" w:space="0" w:color="auto"/>
              <w:left w:val="single" w:sz="4" w:space="0" w:color="auto"/>
              <w:bottom w:val="single" w:sz="4" w:space="0" w:color="auto"/>
              <w:right w:val="single" w:sz="4" w:space="0" w:color="auto"/>
            </w:tcBorders>
          </w:tcPr>
          <w:p w:rsidR="00DD4F8B" w:rsidRDefault="00DD4F8B" w:rsidP="0067003D">
            <w:pPr>
              <w:spacing w:after="0" w:line="240" w:lineRule="auto"/>
              <w:rPr>
                <w:rFonts w:ascii="Times New Roman" w:hAnsi="Times New Roman" w:cs="Times New Roman"/>
                <w:b/>
                <w:sz w:val="20"/>
                <w:szCs w:val="20"/>
                <w:lang w:val="en-US"/>
              </w:rPr>
            </w:pPr>
            <w:r>
              <w:rPr>
                <w:rFonts w:ascii="Times New Roman" w:hAnsi="Times New Roman" w:cs="Times New Roman"/>
                <w:b/>
                <w:sz w:val="20"/>
                <w:szCs w:val="20"/>
                <w:lang w:val="en-US"/>
              </w:rPr>
              <w:t>17</w:t>
            </w:r>
          </w:p>
        </w:tc>
        <w:tc>
          <w:tcPr>
            <w:tcW w:w="487" w:type="pct"/>
            <w:tcBorders>
              <w:top w:val="single" w:sz="4" w:space="0" w:color="auto"/>
              <w:left w:val="single" w:sz="4" w:space="0" w:color="auto"/>
              <w:bottom w:val="single" w:sz="4" w:space="0" w:color="auto"/>
              <w:right w:val="single" w:sz="4" w:space="0" w:color="auto"/>
            </w:tcBorders>
          </w:tcPr>
          <w:p w:rsidR="00DD4F8B" w:rsidRDefault="00DD4F8B" w:rsidP="0067003D">
            <w:pPr>
              <w:spacing w:after="0" w:line="240" w:lineRule="auto"/>
              <w:rPr>
                <w:rFonts w:ascii="Times New Roman" w:hAnsi="Times New Roman" w:cs="Times New Roman"/>
                <w:b/>
                <w:sz w:val="20"/>
                <w:szCs w:val="20"/>
                <w:lang w:val="en-US"/>
              </w:rPr>
            </w:pPr>
            <w:r>
              <w:rPr>
                <w:rFonts w:ascii="Times New Roman" w:hAnsi="Times New Roman" w:cs="Times New Roman"/>
                <w:b/>
                <w:sz w:val="20"/>
                <w:szCs w:val="20"/>
                <w:lang w:val="en-US"/>
              </w:rPr>
              <w:t>57</w:t>
            </w:r>
          </w:p>
          <w:p w:rsidR="00DD4F8B" w:rsidRDefault="00DD4F8B" w:rsidP="0067003D">
            <w:pPr>
              <w:spacing w:after="0" w:line="240" w:lineRule="auto"/>
              <w:rPr>
                <w:rFonts w:ascii="Times New Roman" w:hAnsi="Times New Roman" w:cs="Times New Roman"/>
                <w:b/>
                <w:sz w:val="20"/>
                <w:szCs w:val="20"/>
                <w:lang w:val="en-US"/>
              </w:rPr>
            </w:pPr>
          </w:p>
        </w:tc>
      </w:tr>
      <w:tr w:rsidR="00DD4F8B" w:rsidTr="0067003D">
        <w:trPr>
          <w:trHeight w:val="332"/>
        </w:trPr>
        <w:tc>
          <w:tcPr>
            <w:tcW w:w="345" w:type="pct"/>
            <w:tcBorders>
              <w:top w:val="single" w:sz="4" w:space="0" w:color="auto"/>
              <w:left w:val="single" w:sz="4" w:space="0" w:color="auto"/>
              <w:bottom w:val="single" w:sz="4" w:space="0" w:color="auto"/>
              <w:right w:val="single" w:sz="4" w:space="0" w:color="auto"/>
            </w:tcBorders>
          </w:tcPr>
          <w:p w:rsidR="00DD4F8B" w:rsidRPr="0000318B" w:rsidRDefault="00DD4F8B" w:rsidP="0067003D">
            <w:pPr>
              <w:spacing w:after="0" w:line="240" w:lineRule="auto"/>
              <w:jc w:val="both"/>
              <w:rPr>
                <w:rFonts w:ascii="Times New Roman" w:hAnsi="Times New Roman" w:cs="Times New Roman"/>
                <w:sz w:val="20"/>
                <w:szCs w:val="20"/>
              </w:rPr>
            </w:pPr>
          </w:p>
        </w:tc>
        <w:tc>
          <w:tcPr>
            <w:tcW w:w="833" w:type="pct"/>
            <w:tcBorders>
              <w:top w:val="single" w:sz="4" w:space="0" w:color="auto"/>
              <w:left w:val="single" w:sz="4" w:space="0" w:color="auto"/>
              <w:bottom w:val="single" w:sz="4" w:space="0" w:color="auto"/>
              <w:right w:val="single" w:sz="4" w:space="0" w:color="auto"/>
            </w:tcBorders>
          </w:tcPr>
          <w:p w:rsidR="00DD4F8B" w:rsidRPr="0000318B" w:rsidRDefault="00DD4F8B" w:rsidP="0067003D">
            <w:pPr>
              <w:spacing w:after="0" w:line="240" w:lineRule="auto"/>
              <w:jc w:val="center"/>
              <w:rPr>
                <w:rFonts w:ascii="Times New Roman" w:hAnsi="Times New Roman" w:cs="Times New Roman"/>
                <w:i/>
                <w:sz w:val="20"/>
                <w:szCs w:val="20"/>
                <w:lang w:val="en-US"/>
              </w:rPr>
            </w:pPr>
          </w:p>
        </w:tc>
        <w:tc>
          <w:tcPr>
            <w:tcW w:w="348" w:type="pct"/>
            <w:tcBorders>
              <w:top w:val="single" w:sz="4" w:space="0" w:color="auto"/>
              <w:left w:val="single" w:sz="4" w:space="0" w:color="auto"/>
              <w:bottom w:val="single" w:sz="4" w:space="0" w:color="auto"/>
              <w:right w:val="single" w:sz="4" w:space="0" w:color="auto"/>
            </w:tcBorders>
          </w:tcPr>
          <w:p w:rsidR="00DD4F8B" w:rsidRPr="0000318B" w:rsidRDefault="00DD4F8B" w:rsidP="0067003D">
            <w:pPr>
              <w:spacing w:after="0" w:line="240" w:lineRule="auto"/>
              <w:rPr>
                <w:rFonts w:ascii="Times New Roman" w:hAnsi="Times New Roman" w:cs="Times New Roman"/>
                <w:b/>
                <w:i/>
                <w:sz w:val="20"/>
                <w:szCs w:val="20"/>
                <w:lang w:val="en-US"/>
              </w:rPr>
            </w:pPr>
          </w:p>
        </w:tc>
        <w:tc>
          <w:tcPr>
            <w:tcW w:w="556" w:type="pct"/>
            <w:tcBorders>
              <w:top w:val="single" w:sz="4" w:space="0" w:color="auto"/>
              <w:left w:val="single" w:sz="4" w:space="0" w:color="auto"/>
              <w:bottom w:val="single" w:sz="4" w:space="0" w:color="auto"/>
              <w:right w:val="single" w:sz="4" w:space="0" w:color="auto"/>
            </w:tcBorders>
          </w:tcPr>
          <w:p w:rsidR="00DD4F8B" w:rsidRPr="00B71F13" w:rsidRDefault="00DD4F8B" w:rsidP="0067003D">
            <w:pPr>
              <w:spacing w:after="0" w:line="240" w:lineRule="auto"/>
              <w:rPr>
                <w:rFonts w:ascii="Times New Roman" w:hAnsi="Times New Roman" w:cs="Times New Roman"/>
                <w:b/>
                <w:i/>
                <w:sz w:val="20"/>
                <w:szCs w:val="20"/>
                <w:lang w:val="en-US"/>
              </w:rPr>
            </w:pPr>
          </w:p>
        </w:tc>
        <w:tc>
          <w:tcPr>
            <w:tcW w:w="416" w:type="pct"/>
            <w:tcBorders>
              <w:top w:val="single" w:sz="4" w:space="0" w:color="auto"/>
              <w:left w:val="single" w:sz="4" w:space="0" w:color="auto"/>
              <w:bottom w:val="single" w:sz="4" w:space="0" w:color="auto"/>
              <w:right w:val="single" w:sz="4" w:space="0" w:color="auto"/>
            </w:tcBorders>
          </w:tcPr>
          <w:p w:rsidR="00DD4F8B" w:rsidRPr="007351CE" w:rsidRDefault="00DD4F8B" w:rsidP="0067003D">
            <w:pPr>
              <w:spacing w:after="0" w:line="240" w:lineRule="auto"/>
              <w:rPr>
                <w:rFonts w:ascii="Times New Roman" w:hAnsi="Times New Roman" w:cs="Times New Roman"/>
                <w:noProof/>
                <w:color w:val="000000"/>
                <w:sz w:val="20"/>
                <w:szCs w:val="20"/>
              </w:rPr>
            </w:pPr>
            <w:r w:rsidRPr="007351CE">
              <w:rPr>
                <w:rFonts w:ascii="Times New Roman" w:hAnsi="Times New Roman" w:cs="Times New Roman"/>
                <w:noProof/>
                <w:color w:val="000000"/>
                <w:sz w:val="20"/>
                <w:szCs w:val="20"/>
              </w:rPr>
              <w:t>RCO 57</w:t>
            </w:r>
          </w:p>
        </w:tc>
        <w:tc>
          <w:tcPr>
            <w:tcW w:w="1112" w:type="pct"/>
            <w:tcBorders>
              <w:top w:val="single" w:sz="4" w:space="0" w:color="auto"/>
              <w:left w:val="single" w:sz="4" w:space="0" w:color="auto"/>
              <w:bottom w:val="single" w:sz="4" w:space="0" w:color="auto"/>
              <w:right w:val="single" w:sz="4" w:space="0" w:color="auto"/>
            </w:tcBorders>
          </w:tcPr>
          <w:p w:rsidR="00DD4F8B" w:rsidRPr="00B71F13" w:rsidRDefault="00DD4F8B" w:rsidP="0067003D">
            <w:pPr>
              <w:spacing w:after="0" w:line="240" w:lineRule="auto"/>
              <w:rPr>
                <w:rFonts w:ascii="Times New Roman" w:hAnsi="Times New Roman" w:cs="Times New Roman"/>
                <w:noProof/>
                <w:color w:val="000000"/>
                <w:sz w:val="20"/>
                <w:szCs w:val="20"/>
              </w:rPr>
            </w:pPr>
            <w:r w:rsidRPr="00B71F13">
              <w:rPr>
                <w:rFonts w:ascii="Times New Roman" w:hAnsi="Times New Roman" w:cs="Times New Roman"/>
                <w:noProof/>
                <w:color w:val="000000"/>
                <w:sz w:val="20"/>
                <w:szCs w:val="20"/>
              </w:rPr>
              <w:t xml:space="preserve">Material rulant ecologic pentru transportul public </w:t>
            </w:r>
          </w:p>
          <w:p w:rsidR="00DD4F8B" w:rsidRPr="00B71F13" w:rsidRDefault="00DD4F8B" w:rsidP="0067003D">
            <w:pPr>
              <w:spacing w:after="0" w:line="240" w:lineRule="auto"/>
              <w:rPr>
                <w:rFonts w:ascii="Times New Roman" w:hAnsi="Times New Roman" w:cs="Times New Roman"/>
                <w:noProof/>
                <w:color w:val="000000"/>
                <w:sz w:val="20"/>
                <w:szCs w:val="20"/>
              </w:rPr>
            </w:pPr>
          </w:p>
        </w:tc>
        <w:tc>
          <w:tcPr>
            <w:tcW w:w="418" w:type="pct"/>
            <w:tcBorders>
              <w:top w:val="single" w:sz="4" w:space="0" w:color="auto"/>
              <w:left w:val="single" w:sz="4" w:space="0" w:color="auto"/>
              <w:bottom w:val="single" w:sz="4" w:space="0" w:color="auto"/>
              <w:right w:val="single" w:sz="4" w:space="0" w:color="auto"/>
            </w:tcBorders>
          </w:tcPr>
          <w:p w:rsidR="00DD4F8B" w:rsidRPr="00DE593C" w:rsidRDefault="00DD4F8B" w:rsidP="0067003D">
            <w:pPr>
              <w:spacing w:after="0" w:line="240" w:lineRule="auto"/>
              <w:rPr>
                <w:rFonts w:ascii="Times New Roman" w:hAnsi="Times New Roman" w:cs="Times New Roman"/>
                <w:noProof/>
                <w:sz w:val="20"/>
                <w:szCs w:val="20"/>
              </w:rPr>
            </w:pPr>
            <w:r w:rsidRPr="00DE593C">
              <w:rPr>
                <w:rFonts w:ascii="Times New Roman" w:hAnsi="Times New Roman" w:cs="Times New Roman"/>
                <w:noProof/>
                <w:sz w:val="20"/>
                <w:szCs w:val="20"/>
              </w:rPr>
              <w:t>numar de pasageri</w:t>
            </w:r>
          </w:p>
          <w:p w:rsidR="00DD4F8B" w:rsidRPr="00DE593C" w:rsidRDefault="00DD4F8B" w:rsidP="0067003D">
            <w:pPr>
              <w:spacing w:after="0" w:line="240" w:lineRule="auto"/>
              <w:rPr>
                <w:rFonts w:ascii="Times New Roman" w:hAnsi="Times New Roman" w:cs="Times New Roman"/>
                <w:noProof/>
                <w:sz w:val="20"/>
                <w:szCs w:val="20"/>
              </w:rPr>
            </w:pPr>
          </w:p>
        </w:tc>
        <w:tc>
          <w:tcPr>
            <w:tcW w:w="484" w:type="pct"/>
            <w:tcBorders>
              <w:top w:val="single" w:sz="4" w:space="0" w:color="auto"/>
              <w:left w:val="single" w:sz="4" w:space="0" w:color="auto"/>
              <w:bottom w:val="single" w:sz="4" w:space="0" w:color="auto"/>
              <w:right w:val="single" w:sz="4" w:space="0" w:color="auto"/>
            </w:tcBorders>
          </w:tcPr>
          <w:p w:rsidR="00DD4F8B" w:rsidRDefault="00DD4F8B" w:rsidP="0067003D">
            <w:pPr>
              <w:spacing w:after="0" w:line="240" w:lineRule="auto"/>
              <w:rPr>
                <w:rFonts w:ascii="Times New Roman" w:hAnsi="Times New Roman" w:cs="Times New Roman"/>
                <w:b/>
                <w:sz w:val="20"/>
                <w:szCs w:val="20"/>
                <w:lang w:val="en-US"/>
              </w:rPr>
            </w:pPr>
            <w:r>
              <w:rPr>
                <w:rFonts w:ascii="Times New Roman" w:hAnsi="Times New Roman" w:cs="Times New Roman"/>
                <w:b/>
                <w:sz w:val="20"/>
                <w:szCs w:val="20"/>
                <w:lang w:val="en-US"/>
              </w:rPr>
              <w:t>0</w:t>
            </w:r>
          </w:p>
        </w:tc>
        <w:tc>
          <w:tcPr>
            <w:tcW w:w="487" w:type="pct"/>
            <w:tcBorders>
              <w:top w:val="single" w:sz="4" w:space="0" w:color="auto"/>
              <w:left w:val="single" w:sz="4" w:space="0" w:color="auto"/>
              <w:bottom w:val="single" w:sz="4" w:space="0" w:color="auto"/>
              <w:right w:val="single" w:sz="4" w:space="0" w:color="auto"/>
            </w:tcBorders>
          </w:tcPr>
          <w:p w:rsidR="00DD4F8B" w:rsidRDefault="00DD4F8B" w:rsidP="0067003D">
            <w:pPr>
              <w:spacing w:after="0" w:line="240" w:lineRule="auto"/>
              <w:rPr>
                <w:rFonts w:ascii="Times New Roman" w:hAnsi="Times New Roman" w:cs="Times New Roman"/>
                <w:b/>
                <w:sz w:val="20"/>
                <w:szCs w:val="20"/>
                <w:lang w:val="en-US"/>
              </w:rPr>
            </w:pPr>
            <w:r w:rsidRPr="002E0A39">
              <w:rPr>
                <w:rFonts w:ascii="Times New Roman" w:hAnsi="Times New Roman" w:cs="Times New Roman"/>
                <w:b/>
                <w:sz w:val="20"/>
                <w:szCs w:val="20"/>
                <w:lang w:val="en-US"/>
              </w:rPr>
              <w:t xml:space="preserve">9.660.000,00     </w:t>
            </w:r>
          </w:p>
        </w:tc>
      </w:tr>
      <w:tr w:rsidR="00DD4F8B" w:rsidTr="0067003D">
        <w:trPr>
          <w:trHeight w:val="332"/>
        </w:trPr>
        <w:tc>
          <w:tcPr>
            <w:tcW w:w="345" w:type="pct"/>
            <w:tcBorders>
              <w:top w:val="single" w:sz="4" w:space="0" w:color="auto"/>
              <w:left w:val="single" w:sz="4" w:space="0" w:color="auto"/>
              <w:bottom w:val="single" w:sz="4" w:space="0" w:color="auto"/>
              <w:right w:val="single" w:sz="4" w:space="0" w:color="auto"/>
            </w:tcBorders>
          </w:tcPr>
          <w:p w:rsidR="00DD4F8B" w:rsidRPr="0000318B" w:rsidRDefault="00DD4F8B" w:rsidP="0067003D">
            <w:pPr>
              <w:spacing w:after="0" w:line="240" w:lineRule="auto"/>
              <w:jc w:val="both"/>
              <w:rPr>
                <w:rFonts w:ascii="Times New Roman" w:hAnsi="Times New Roman" w:cs="Times New Roman"/>
                <w:sz w:val="20"/>
                <w:szCs w:val="20"/>
              </w:rPr>
            </w:pPr>
          </w:p>
        </w:tc>
        <w:tc>
          <w:tcPr>
            <w:tcW w:w="833" w:type="pct"/>
            <w:tcBorders>
              <w:top w:val="single" w:sz="4" w:space="0" w:color="auto"/>
              <w:left w:val="single" w:sz="4" w:space="0" w:color="auto"/>
              <w:bottom w:val="single" w:sz="4" w:space="0" w:color="auto"/>
              <w:right w:val="single" w:sz="4" w:space="0" w:color="auto"/>
            </w:tcBorders>
          </w:tcPr>
          <w:p w:rsidR="00DD4F8B" w:rsidRPr="0000318B" w:rsidRDefault="00DD4F8B" w:rsidP="0067003D">
            <w:pPr>
              <w:spacing w:after="0" w:line="240" w:lineRule="auto"/>
              <w:jc w:val="center"/>
              <w:rPr>
                <w:rFonts w:ascii="Times New Roman" w:hAnsi="Times New Roman" w:cs="Times New Roman"/>
                <w:i/>
                <w:sz w:val="20"/>
                <w:szCs w:val="20"/>
                <w:lang w:val="en-US"/>
              </w:rPr>
            </w:pPr>
          </w:p>
        </w:tc>
        <w:tc>
          <w:tcPr>
            <w:tcW w:w="348" w:type="pct"/>
            <w:tcBorders>
              <w:top w:val="single" w:sz="4" w:space="0" w:color="auto"/>
              <w:left w:val="single" w:sz="4" w:space="0" w:color="auto"/>
              <w:bottom w:val="single" w:sz="4" w:space="0" w:color="auto"/>
              <w:right w:val="single" w:sz="4" w:space="0" w:color="auto"/>
            </w:tcBorders>
          </w:tcPr>
          <w:p w:rsidR="00DD4F8B" w:rsidRPr="0000318B" w:rsidRDefault="00DD4F8B" w:rsidP="0067003D">
            <w:pPr>
              <w:spacing w:after="0" w:line="240" w:lineRule="auto"/>
              <w:rPr>
                <w:rFonts w:ascii="Times New Roman" w:hAnsi="Times New Roman" w:cs="Times New Roman"/>
                <w:b/>
                <w:i/>
                <w:sz w:val="20"/>
                <w:szCs w:val="20"/>
                <w:lang w:val="en-US"/>
              </w:rPr>
            </w:pPr>
          </w:p>
        </w:tc>
        <w:tc>
          <w:tcPr>
            <w:tcW w:w="556" w:type="pct"/>
            <w:tcBorders>
              <w:top w:val="single" w:sz="4" w:space="0" w:color="auto"/>
              <w:left w:val="single" w:sz="4" w:space="0" w:color="auto"/>
              <w:bottom w:val="single" w:sz="4" w:space="0" w:color="auto"/>
              <w:right w:val="single" w:sz="4" w:space="0" w:color="auto"/>
            </w:tcBorders>
          </w:tcPr>
          <w:p w:rsidR="00DD4F8B" w:rsidRPr="00B71F13" w:rsidRDefault="00DD4F8B" w:rsidP="0067003D">
            <w:pPr>
              <w:spacing w:after="0" w:line="240" w:lineRule="auto"/>
              <w:rPr>
                <w:rFonts w:ascii="Times New Roman" w:hAnsi="Times New Roman" w:cs="Times New Roman"/>
                <w:b/>
                <w:i/>
                <w:sz w:val="20"/>
                <w:szCs w:val="20"/>
                <w:lang w:val="en-US"/>
              </w:rPr>
            </w:pPr>
          </w:p>
        </w:tc>
        <w:tc>
          <w:tcPr>
            <w:tcW w:w="416" w:type="pct"/>
            <w:tcBorders>
              <w:top w:val="single" w:sz="4" w:space="0" w:color="auto"/>
              <w:left w:val="single" w:sz="4" w:space="0" w:color="auto"/>
              <w:bottom w:val="single" w:sz="4" w:space="0" w:color="auto"/>
              <w:right w:val="single" w:sz="4" w:space="0" w:color="auto"/>
            </w:tcBorders>
          </w:tcPr>
          <w:p w:rsidR="00DD4F8B" w:rsidRPr="007351CE" w:rsidRDefault="00DD4F8B" w:rsidP="0067003D">
            <w:pPr>
              <w:spacing w:after="0" w:line="240" w:lineRule="auto"/>
              <w:rPr>
                <w:rFonts w:ascii="Times New Roman" w:hAnsi="Times New Roman" w:cs="Times New Roman"/>
                <w:noProof/>
                <w:color w:val="000000"/>
                <w:sz w:val="20"/>
                <w:szCs w:val="20"/>
              </w:rPr>
            </w:pPr>
            <w:r w:rsidRPr="007351CE">
              <w:rPr>
                <w:rFonts w:ascii="Times New Roman" w:hAnsi="Times New Roman" w:cs="Times New Roman"/>
                <w:noProof/>
                <w:color w:val="000000"/>
                <w:sz w:val="20"/>
                <w:szCs w:val="20"/>
              </w:rPr>
              <w:t>RCO 58</w:t>
            </w:r>
          </w:p>
        </w:tc>
        <w:tc>
          <w:tcPr>
            <w:tcW w:w="1112" w:type="pct"/>
            <w:tcBorders>
              <w:top w:val="single" w:sz="4" w:space="0" w:color="auto"/>
              <w:left w:val="single" w:sz="4" w:space="0" w:color="auto"/>
              <w:bottom w:val="single" w:sz="4" w:space="0" w:color="auto"/>
              <w:right w:val="single" w:sz="4" w:space="0" w:color="auto"/>
            </w:tcBorders>
          </w:tcPr>
          <w:p w:rsidR="00DD4F8B" w:rsidRPr="00B71F13" w:rsidRDefault="00DD4F8B" w:rsidP="0067003D">
            <w:pPr>
              <w:spacing w:after="0" w:line="240" w:lineRule="auto"/>
              <w:rPr>
                <w:rFonts w:ascii="Times New Roman" w:hAnsi="Times New Roman" w:cs="Times New Roman"/>
                <w:noProof/>
                <w:color w:val="000000"/>
                <w:sz w:val="20"/>
                <w:szCs w:val="20"/>
              </w:rPr>
            </w:pPr>
            <w:r w:rsidRPr="00B71F13">
              <w:rPr>
                <w:rFonts w:ascii="Times New Roman" w:hAnsi="Times New Roman" w:cs="Times New Roman"/>
                <w:noProof/>
                <w:color w:val="000000"/>
                <w:sz w:val="20"/>
                <w:szCs w:val="20"/>
              </w:rPr>
              <w:t>Piste ciclabile care beneficiază de sprijin</w:t>
            </w:r>
          </w:p>
          <w:p w:rsidR="00DD4F8B" w:rsidRPr="00B71F13" w:rsidRDefault="00DD4F8B" w:rsidP="0067003D">
            <w:pPr>
              <w:spacing w:after="0" w:line="240" w:lineRule="auto"/>
              <w:rPr>
                <w:rFonts w:ascii="Times New Roman" w:hAnsi="Times New Roman" w:cs="Times New Roman"/>
                <w:noProof/>
                <w:color w:val="000000"/>
                <w:sz w:val="20"/>
                <w:szCs w:val="20"/>
              </w:rPr>
            </w:pPr>
          </w:p>
        </w:tc>
        <w:tc>
          <w:tcPr>
            <w:tcW w:w="418" w:type="pct"/>
            <w:tcBorders>
              <w:top w:val="single" w:sz="4" w:space="0" w:color="auto"/>
              <w:left w:val="single" w:sz="4" w:space="0" w:color="auto"/>
              <w:bottom w:val="single" w:sz="4" w:space="0" w:color="auto"/>
              <w:right w:val="single" w:sz="4" w:space="0" w:color="auto"/>
            </w:tcBorders>
          </w:tcPr>
          <w:p w:rsidR="00DD4F8B" w:rsidRPr="00DE593C" w:rsidRDefault="00DD4F8B" w:rsidP="0067003D">
            <w:pPr>
              <w:spacing w:after="0" w:line="240" w:lineRule="auto"/>
              <w:rPr>
                <w:rFonts w:ascii="Times New Roman" w:hAnsi="Times New Roman" w:cs="Times New Roman"/>
                <w:noProof/>
                <w:sz w:val="20"/>
                <w:szCs w:val="20"/>
              </w:rPr>
            </w:pPr>
            <w:r w:rsidRPr="00DE593C">
              <w:rPr>
                <w:rFonts w:ascii="Times New Roman" w:hAnsi="Times New Roman" w:cs="Times New Roman"/>
                <w:noProof/>
                <w:sz w:val="20"/>
                <w:szCs w:val="20"/>
              </w:rPr>
              <w:t>km</w:t>
            </w:r>
          </w:p>
        </w:tc>
        <w:tc>
          <w:tcPr>
            <w:tcW w:w="484" w:type="pct"/>
            <w:tcBorders>
              <w:top w:val="single" w:sz="4" w:space="0" w:color="auto"/>
              <w:left w:val="single" w:sz="4" w:space="0" w:color="auto"/>
              <w:bottom w:val="single" w:sz="4" w:space="0" w:color="auto"/>
              <w:right w:val="single" w:sz="4" w:space="0" w:color="auto"/>
            </w:tcBorders>
          </w:tcPr>
          <w:p w:rsidR="00DD4F8B" w:rsidRDefault="00DD4F8B" w:rsidP="0067003D">
            <w:pPr>
              <w:spacing w:after="0" w:line="240" w:lineRule="auto"/>
              <w:rPr>
                <w:rFonts w:ascii="Times New Roman" w:hAnsi="Times New Roman" w:cs="Times New Roman"/>
                <w:b/>
                <w:sz w:val="20"/>
                <w:szCs w:val="20"/>
                <w:lang w:val="en-US"/>
              </w:rPr>
            </w:pPr>
            <w:r>
              <w:rPr>
                <w:rFonts w:ascii="Times New Roman" w:hAnsi="Times New Roman" w:cs="Times New Roman"/>
                <w:b/>
                <w:sz w:val="20"/>
                <w:szCs w:val="20"/>
                <w:lang w:val="en-US"/>
              </w:rPr>
              <w:t>26</w:t>
            </w:r>
          </w:p>
        </w:tc>
        <w:tc>
          <w:tcPr>
            <w:tcW w:w="487" w:type="pct"/>
            <w:tcBorders>
              <w:top w:val="single" w:sz="4" w:space="0" w:color="auto"/>
              <w:left w:val="single" w:sz="4" w:space="0" w:color="auto"/>
              <w:bottom w:val="single" w:sz="4" w:space="0" w:color="auto"/>
              <w:right w:val="single" w:sz="4" w:space="0" w:color="auto"/>
            </w:tcBorders>
          </w:tcPr>
          <w:p w:rsidR="00DD4F8B" w:rsidRDefault="00DD4F8B" w:rsidP="0067003D">
            <w:pPr>
              <w:spacing w:after="0" w:line="240" w:lineRule="auto"/>
              <w:rPr>
                <w:rFonts w:ascii="Times New Roman" w:hAnsi="Times New Roman" w:cs="Times New Roman"/>
                <w:b/>
                <w:sz w:val="20"/>
                <w:szCs w:val="20"/>
                <w:lang w:val="en-US"/>
              </w:rPr>
            </w:pPr>
            <w:r>
              <w:rPr>
                <w:rFonts w:ascii="Times New Roman" w:hAnsi="Times New Roman" w:cs="Times New Roman"/>
                <w:b/>
                <w:sz w:val="20"/>
                <w:szCs w:val="20"/>
                <w:lang w:val="en-US"/>
              </w:rPr>
              <w:t>130</w:t>
            </w:r>
          </w:p>
        </w:tc>
      </w:tr>
      <w:tr w:rsidR="00DD4F8B" w:rsidTr="0067003D">
        <w:trPr>
          <w:trHeight w:val="332"/>
        </w:trPr>
        <w:tc>
          <w:tcPr>
            <w:tcW w:w="345" w:type="pct"/>
            <w:tcBorders>
              <w:top w:val="single" w:sz="4" w:space="0" w:color="auto"/>
              <w:left w:val="single" w:sz="4" w:space="0" w:color="auto"/>
              <w:bottom w:val="single" w:sz="4" w:space="0" w:color="auto"/>
              <w:right w:val="single" w:sz="4" w:space="0" w:color="auto"/>
            </w:tcBorders>
          </w:tcPr>
          <w:p w:rsidR="00DD4F8B" w:rsidRPr="0000318B" w:rsidRDefault="00DD4F8B" w:rsidP="0067003D">
            <w:pPr>
              <w:spacing w:after="0" w:line="240" w:lineRule="auto"/>
              <w:jc w:val="both"/>
              <w:rPr>
                <w:rFonts w:ascii="Times New Roman" w:hAnsi="Times New Roman" w:cs="Times New Roman"/>
                <w:sz w:val="20"/>
                <w:szCs w:val="20"/>
              </w:rPr>
            </w:pPr>
          </w:p>
        </w:tc>
        <w:tc>
          <w:tcPr>
            <w:tcW w:w="833" w:type="pct"/>
            <w:tcBorders>
              <w:top w:val="single" w:sz="4" w:space="0" w:color="auto"/>
              <w:left w:val="single" w:sz="4" w:space="0" w:color="auto"/>
              <w:bottom w:val="single" w:sz="4" w:space="0" w:color="auto"/>
              <w:right w:val="single" w:sz="4" w:space="0" w:color="auto"/>
            </w:tcBorders>
          </w:tcPr>
          <w:p w:rsidR="00DD4F8B" w:rsidRPr="0000318B" w:rsidRDefault="00DD4F8B" w:rsidP="0067003D">
            <w:pPr>
              <w:spacing w:after="0" w:line="240" w:lineRule="auto"/>
              <w:jc w:val="center"/>
              <w:rPr>
                <w:rFonts w:ascii="Times New Roman" w:hAnsi="Times New Roman" w:cs="Times New Roman"/>
                <w:i/>
                <w:sz w:val="20"/>
                <w:szCs w:val="20"/>
                <w:lang w:val="en-US"/>
              </w:rPr>
            </w:pPr>
          </w:p>
        </w:tc>
        <w:tc>
          <w:tcPr>
            <w:tcW w:w="348" w:type="pct"/>
            <w:tcBorders>
              <w:top w:val="single" w:sz="4" w:space="0" w:color="auto"/>
              <w:left w:val="single" w:sz="4" w:space="0" w:color="auto"/>
              <w:bottom w:val="single" w:sz="4" w:space="0" w:color="auto"/>
              <w:right w:val="single" w:sz="4" w:space="0" w:color="auto"/>
            </w:tcBorders>
          </w:tcPr>
          <w:p w:rsidR="00DD4F8B" w:rsidRPr="0000318B" w:rsidRDefault="00DD4F8B" w:rsidP="0067003D">
            <w:pPr>
              <w:spacing w:after="0" w:line="240" w:lineRule="auto"/>
              <w:rPr>
                <w:rFonts w:ascii="Times New Roman" w:hAnsi="Times New Roman" w:cs="Times New Roman"/>
                <w:b/>
                <w:i/>
                <w:sz w:val="20"/>
                <w:szCs w:val="20"/>
                <w:lang w:val="en-US"/>
              </w:rPr>
            </w:pPr>
          </w:p>
        </w:tc>
        <w:tc>
          <w:tcPr>
            <w:tcW w:w="556" w:type="pct"/>
            <w:tcBorders>
              <w:top w:val="single" w:sz="4" w:space="0" w:color="auto"/>
              <w:left w:val="single" w:sz="4" w:space="0" w:color="auto"/>
              <w:bottom w:val="single" w:sz="4" w:space="0" w:color="auto"/>
              <w:right w:val="single" w:sz="4" w:space="0" w:color="auto"/>
            </w:tcBorders>
          </w:tcPr>
          <w:p w:rsidR="00DD4F8B" w:rsidRPr="00B71F13" w:rsidRDefault="00DD4F8B" w:rsidP="0067003D">
            <w:pPr>
              <w:spacing w:after="0" w:line="240" w:lineRule="auto"/>
              <w:rPr>
                <w:rFonts w:ascii="Times New Roman" w:hAnsi="Times New Roman" w:cs="Times New Roman"/>
                <w:b/>
                <w:i/>
                <w:sz w:val="20"/>
                <w:szCs w:val="20"/>
                <w:lang w:val="en-US"/>
              </w:rPr>
            </w:pPr>
          </w:p>
        </w:tc>
        <w:tc>
          <w:tcPr>
            <w:tcW w:w="416" w:type="pct"/>
            <w:tcBorders>
              <w:top w:val="single" w:sz="4" w:space="0" w:color="auto"/>
              <w:left w:val="single" w:sz="4" w:space="0" w:color="auto"/>
              <w:bottom w:val="single" w:sz="4" w:space="0" w:color="auto"/>
              <w:right w:val="single" w:sz="4" w:space="0" w:color="auto"/>
            </w:tcBorders>
          </w:tcPr>
          <w:p w:rsidR="00DD4F8B" w:rsidRPr="007351CE" w:rsidRDefault="00DD4F8B" w:rsidP="0067003D">
            <w:pPr>
              <w:spacing w:after="0" w:line="240" w:lineRule="auto"/>
              <w:rPr>
                <w:rFonts w:ascii="Times New Roman" w:hAnsi="Times New Roman" w:cs="Times New Roman"/>
                <w:noProof/>
                <w:color w:val="000000"/>
                <w:sz w:val="20"/>
                <w:szCs w:val="20"/>
              </w:rPr>
            </w:pPr>
            <w:r w:rsidRPr="007351CE">
              <w:rPr>
                <w:rFonts w:ascii="Times New Roman" w:hAnsi="Times New Roman" w:cs="Times New Roman"/>
                <w:noProof/>
                <w:color w:val="000000"/>
                <w:sz w:val="20"/>
                <w:szCs w:val="20"/>
              </w:rPr>
              <w:t>RCO 59</w:t>
            </w:r>
          </w:p>
        </w:tc>
        <w:tc>
          <w:tcPr>
            <w:tcW w:w="1112" w:type="pct"/>
            <w:tcBorders>
              <w:top w:val="single" w:sz="4" w:space="0" w:color="auto"/>
              <w:left w:val="single" w:sz="4" w:space="0" w:color="auto"/>
              <w:bottom w:val="single" w:sz="4" w:space="0" w:color="auto"/>
              <w:right w:val="single" w:sz="4" w:space="0" w:color="auto"/>
            </w:tcBorders>
          </w:tcPr>
          <w:p w:rsidR="00DD4F8B" w:rsidRPr="00B71F13" w:rsidRDefault="00DD4F8B" w:rsidP="0067003D">
            <w:pPr>
              <w:spacing w:after="0" w:line="240" w:lineRule="auto"/>
              <w:rPr>
                <w:rFonts w:ascii="Times New Roman" w:hAnsi="Times New Roman" w:cs="Times New Roman"/>
                <w:noProof/>
                <w:color w:val="000000"/>
                <w:sz w:val="20"/>
                <w:szCs w:val="20"/>
              </w:rPr>
            </w:pPr>
            <w:r w:rsidRPr="00B71F13">
              <w:rPr>
                <w:rFonts w:ascii="Times New Roman" w:hAnsi="Times New Roman" w:cs="Times New Roman"/>
                <w:noProof/>
                <w:color w:val="000000"/>
                <w:sz w:val="20"/>
                <w:szCs w:val="20"/>
              </w:rPr>
              <w:t>Infrastructuri pentru carburanți alternativi (puncte de realimentare/ reîncărcare) care beneficiază de sprijin</w:t>
            </w:r>
          </w:p>
          <w:p w:rsidR="00DD4F8B" w:rsidRPr="00B71F13" w:rsidRDefault="00DD4F8B" w:rsidP="0067003D">
            <w:pPr>
              <w:spacing w:after="0" w:line="240" w:lineRule="auto"/>
              <w:rPr>
                <w:rFonts w:ascii="Times New Roman" w:hAnsi="Times New Roman" w:cs="Times New Roman"/>
                <w:noProof/>
                <w:color w:val="000000"/>
                <w:sz w:val="20"/>
                <w:szCs w:val="20"/>
              </w:rPr>
            </w:pPr>
          </w:p>
          <w:p w:rsidR="00DD4F8B" w:rsidRPr="00B71F13" w:rsidRDefault="00DD4F8B" w:rsidP="0067003D">
            <w:pPr>
              <w:spacing w:after="0" w:line="240" w:lineRule="auto"/>
              <w:rPr>
                <w:rFonts w:ascii="Times New Roman" w:hAnsi="Times New Roman" w:cs="Times New Roman"/>
                <w:noProof/>
                <w:color w:val="000000"/>
                <w:sz w:val="20"/>
                <w:szCs w:val="20"/>
              </w:rPr>
            </w:pPr>
          </w:p>
        </w:tc>
        <w:tc>
          <w:tcPr>
            <w:tcW w:w="418" w:type="pct"/>
            <w:tcBorders>
              <w:top w:val="single" w:sz="4" w:space="0" w:color="auto"/>
              <w:left w:val="single" w:sz="4" w:space="0" w:color="auto"/>
              <w:bottom w:val="single" w:sz="4" w:space="0" w:color="auto"/>
              <w:right w:val="single" w:sz="4" w:space="0" w:color="auto"/>
            </w:tcBorders>
          </w:tcPr>
          <w:p w:rsidR="00DD4F8B" w:rsidRPr="00DE593C" w:rsidRDefault="00DD4F8B" w:rsidP="0067003D">
            <w:pPr>
              <w:spacing w:after="0" w:line="240" w:lineRule="auto"/>
              <w:rPr>
                <w:rFonts w:ascii="Times New Roman" w:hAnsi="Times New Roman" w:cs="Times New Roman"/>
                <w:noProof/>
                <w:sz w:val="20"/>
                <w:szCs w:val="20"/>
              </w:rPr>
            </w:pPr>
            <w:r w:rsidRPr="00DE593C">
              <w:rPr>
                <w:rFonts w:ascii="Times New Roman" w:hAnsi="Times New Roman" w:cs="Times New Roman"/>
                <w:noProof/>
                <w:sz w:val="20"/>
                <w:szCs w:val="20"/>
              </w:rPr>
              <w:t>Nr.</w:t>
            </w:r>
          </w:p>
        </w:tc>
        <w:tc>
          <w:tcPr>
            <w:tcW w:w="484" w:type="pct"/>
            <w:tcBorders>
              <w:top w:val="single" w:sz="4" w:space="0" w:color="auto"/>
              <w:left w:val="single" w:sz="4" w:space="0" w:color="auto"/>
              <w:bottom w:val="single" w:sz="4" w:space="0" w:color="auto"/>
              <w:right w:val="single" w:sz="4" w:space="0" w:color="auto"/>
            </w:tcBorders>
          </w:tcPr>
          <w:p w:rsidR="00DD4F8B" w:rsidRDefault="00DD4F8B" w:rsidP="0067003D">
            <w:pPr>
              <w:spacing w:after="0" w:line="240" w:lineRule="auto"/>
              <w:rPr>
                <w:rFonts w:ascii="Times New Roman" w:hAnsi="Times New Roman" w:cs="Times New Roman"/>
                <w:b/>
                <w:sz w:val="20"/>
                <w:szCs w:val="20"/>
                <w:lang w:val="en-US"/>
              </w:rPr>
            </w:pPr>
            <w:r>
              <w:rPr>
                <w:rFonts w:ascii="Times New Roman" w:hAnsi="Times New Roman" w:cs="Times New Roman"/>
                <w:b/>
                <w:sz w:val="20"/>
                <w:szCs w:val="20"/>
                <w:lang w:val="en-US"/>
              </w:rPr>
              <w:t>60</w:t>
            </w:r>
          </w:p>
        </w:tc>
        <w:tc>
          <w:tcPr>
            <w:tcW w:w="487" w:type="pct"/>
            <w:tcBorders>
              <w:top w:val="single" w:sz="4" w:space="0" w:color="auto"/>
              <w:left w:val="single" w:sz="4" w:space="0" w:color="auto"/>
              <w:bottom w:val="single" w:sz="4" w:space="0" w:color="auto"/>
              <w:right w:val="single" w:sz="4" w:space="0" w:color="auto"/>
            </w:tcBorders>
          </w:tcPr>
          <w:p w:rsidR="00DD4F8B" w:rsidRDefault="00DD4F8B" w:rsidP="0067003D">
            <w:pPr>
              <w:spacing w:after="0" w:line="240" w:lineRule="auto"/>
              <w:rPr>
                <w:rFonts w:ascii="Times New Roman" w:hAnsi="Times New Roman" w:cs="Times New Roman"/>
                <w:b/>
                <w:sz w:val="20"/>
                <w:szCs w:val="20"/>
                <w:lang w:val="en-US"/>
              </w:rPr>
            </w:pPr>
            <w:r>
              <w:rPr>
                <w:rFonts w:ascii="Times New Roman" w:hAnsi="Times New Roman" w:cs="Times New Roman"/>
                <w:b/>
                <w:sz w:val="20"/>
                <w:szCs w:val="20"/>
                <w:lang w:val="en-US"/>
              </w:rPr>
              <w:t>200</w:t>
            </w:r>
          </w:p>
        </w:tc>
      </w:tr>
      <w:tr w:rsidR="00DD4F8B" w:rsidTr="0067003D">
        <w:trPr>
          <w:trHeight w:val="332"/>
        </w:trPr>
        <w:tc>
          <w:tcPr>
            <w:tcW w:w="345" w:type="pct"/>
            <w:tcBorders>
              <w:top w:val="single" w:sz="4" w:space="0" w:color="auto"/>
              <w:left w:val="single" w:sz="4" w:space="0" w:color="auto"/>
              <w:bottom w:val="single" w:sz="4" w:space="0" w:color="auto"/>
              <w:right w:val="single" w:sz="4" w:space="0" w:color="auto"/>
            </w:tcBorders>
          </w:tcPr>
          <w:p w:rsidR="00DD4F8B" w:rsidRPr="0000318B" w:rsidRDefault="00DD4F8B" w:rsidP="0067003D">
            <w:pPr>
              <w:spacing w:after="0" w:line="240" w:lineRule="auto"/>
              <w:jc w:val="both"/>
              <w:rPr>
                <w:rFonts w:ascii="Times New Roman" w:hAnsi="Times New Roman" w:cs="Times New Roman"/>
                <w:sz w:val="20"/>
                <w:szCs w:val="20"/>
              </w:rPr>
            </w:pPr>
          </w:p>
        </w:tc>
        <w:tc>
          <w:tcPr>
            <w:tcW w:w="833" w:type="pct"/>
            <w:tcBorders>
              <w:top w:val="single" w:sz="4" w:space="0" w:color="auto"/>
              <w:left w:val="single" w:sz="4" w:space="0" w:color="auto"/>
              <w:bottom w:val="single" w:sz="4" w:space="0" w:color="auto"/>
              <w:right w:val="single" w:sz="4" w:space="0" w:color="auto"/>
            </w:tcBorders>
          </w:tcPr>
          <w:p w:rsidR="00DD4F8B" w:rsidRPr="0000318B" w:rsidRDefault="00DD4F8B" w:rsidP="0067003D">
            <w:pPr>
              <w:spacing w:after="0" w:line="240" w:lineRule="auto"/>
              <w:jc w:val="center"/>
              <w:rPr>
                <w:rFonts w:ascii="Times New Roman" w:hAnsi="Times New Roman" w:cs="Times New Roman"/>
                <w:i/>
                <w:sz w:val="20"/>
                <w:szCs w:val="20"/>
                <w:lang w:val="en-US"/>
              </w:rPr>
            </w:pPr>
          </w:p>
        </w:tc>
        <w:tc>
          <w:tcPr>
            <w:tcW w:w="348" w:type="pct"/>
            <w:tcBorders>
              <w:top w:val="single" w:sz="4" w:space="0" w:color="auto"/>
              <w:left w:val="single" w:sz="4" w:space="0" w:color="auto"/>
              <w:bottom w:val="single" w:sz="4" w:space="0" w:color="auto"/>
              <w:right w:val="single" w:sz="4" w:space="0" w:color="auto"/>
            </w:tcBorders>
          </w:tcPr>
          <w:p w:rsidR="00DD4F8B" w:rsidRPr="0000318B" w:rsidRDefault="00DD4F8B" w:rsidP="0067003D">
            <w:pPr>
              <w:spacing w:after="0" w:line="240" w:lineRule="auto"/>
              <w:rPr>
                <w:rFonts w:ascii="Times New Roman" w:hAnsi="Times New Roman" w:cs="Times New Roman"/>
                <w:b/>
                <w:i/>
                <w:sz w:val="20"/>
                <w:szCs w:val="20"/>
                <w:lang w:val="en-US"/>
              </w:rPr>
            </w:pPr>
          </w:p>
        </w:tc>
        <w:tc>
          <w:tcPr>
            <w:tcW w:w="556" w:type="pct"/>
            <w:tcBorders>
              <w:top w:val="single" w:sz="4" w:space="0" w:color="auto"/>
              <w:left w:val="single" w:sz="4" w:space="0" w:color="auto"/>
              <w:bottom w:val="single" w:sz="4" w:space="0" w:color="auto"/>
              <w:right w:val="single" w:sz="4" w:space="0" w:color="auto"/>
            </w:tcBorders>
          </w:tcPr>
          <w:p w:rsidR="00DD4F8B" w:rsidRPr="00B71F13" w:rsidRDefault="00DD4F8B" w:rsidP="0067003D">
            <w:pPr>
              <w:spacing w:after="0" w:line="240" w:lineRule="auto"/>
              <w:rPr>
                <w:rFonts w:ascii="Times New Roman" w:hAnsi="Times New Roman" w:cs="Times New Roman"/>
                <w:b/>
                <w:i/>
                <w:sz w:val="20"/>
                <w:szCs w:val="20"/>
                <w:lang w:val="en-US"/>
              </w:rPr>
            </w:pPr>
          </w:p>
        </w:tc>
        <w:tc>
          <w:tcPr>
            <w:tcW w:w="416" w:type="pct"/>
            <w:tcBorders>
              <w:top w:val="single" w:sz="4" w:space="0" w:color="auto"/>
              <w:left w:val="single" w:sz="4" w:space="0" w:color="auto"/>
              <w:bottom w:val="single" w:sz="4" w:space="0" w:color="auto"/>
              <w:right w:val="single" w:sz="4" w:space="0" w:color="auto"/>
            </w:tcBorders>
          </w:tcPr>
          <w:p w:rsidR="00DD4F8B" w:rsidRPr="007351CE" w:rsidRDefault="00DD4F8B" w:rsidP="0067003D">
            <w:pPr>
              <w:spacing w:after="0" w:line="240" w:lineRule="auto"/>
              <w:rPr>
                <w:rFonts w:ascii="Times New Roman" w:hAnsi="Times New Roman" w:cs="Times New Roman"/>
                <w:noProof/>
                <w:color w:val="000000"/>
                <w:sz w:val="20"/>
                <w:szCs w:val="20"/>
              </w:rPr>
            </w:pPr>
            <w:r w:rsidRPr="007351CE">
              <w:rPr>
                <w:rFonts w:ascii="Times New Roman" w:hAnsi="Times New Roman" w:cs="Times New Roman"/>
                <w:noProof/>
                <w:color w:val="000000"/>
                <w:sz w:val="20"/>
                <w:szCs w:val="20"/>
              </w:rPr>
              <w:t>RCO 60</w:t>
            </w:r>
          </w:p>
        </w:tc>
        <w:tc>
          <w:tcPr>
            <w:tcW w:w="1112" w:type="pct"/>
            <w:tcBorders>
              <w:top w:val="single" w:sz="4" w:space="0" w:color="auto"/>
              <w:left w:val="single" w:sz="4" w:space="0" w:color="auto"/>
              <w:bottom w:val="single" w:sz="4" w:space="0" w:color="auto"/>
              <w:right w:val="single" w:sz="4" w:space="0" w:color="auto"/>
            </w:tcBorders>
          </w:tcPr>
          <w:p w:rsidR="00DD4F8B" w:rsidRPr="00B71F13" w:rsidRDefault="00DD4F8B" w:rsidP="0067003D">
            <w:pPr>
              <w:spacing w:after="0" w:line="240" w:lineRule="auto"/>
              <w:rPr>
                <w:rFonts w:ascii="Times New Roman" w:hAnsi="Times New Roman" w:cs="Times New Roman"/>
                <w:noProof/>
                <w:color w:val="000000"/>
                <w:sz w:val="20"/>
                <w:szCs w:val="20"/>
              </w:rPr>
            </w:pPr>
            <w:r w:rsidRPr="00B71F13">
              <w:rPr>
                <w:rFonts w:ascii="Times New Roman" w:hAnsi="Times New Roman" w:cs="Times New Roman"/>
                <w:noProof/>
                <w:color w:val="000000"/>
                <w:sz w:val="20"/>
                <w:szCs w:val="20"/>
              </w:rPr>
              <w:t>Orașe și localități cu sisteme de transport urban digitalizate noi sau modernizate</w:t>
            </w:r>
          </w:p>
          <w:p w:rsidR="00DD4F8B" w:rsidRPr="00B71F13" w:rsidRDefault="00DD4F8B" w:rsidP="0067003D">
            <w:pPr>
              <w:spacing w:after="0" w:line="240" w:lineRule="auto"/>
              <w:rPr>
                <w:rFonts w:ascii="Times New Roman" w:hAnsi="Times New Roman" w:cs="Times New Roman"/>
                <w:noProof/>
                <w:color w:val="000000"/>
                <w:sz w:val="20"/>
                <w:szCs w:val="20"/>
              </w:rPr>
            </w:pPr>
          </w:p>
        </w:tc>
        <w:tc>
          <w:tcPr>
            <w:tcW w:w="418" w:type="pct"/>
            <w:tcBorders>
              <w:top w:val="single" w:sz="4" w:space="0" w:color="auto"/>
              <w:left w:val="single" w:sz="4" w:space="0" w:color="auto"/>
              <w:bottom w:val="single" w:sz="4" w:space="0" w:color="auto"/>
              <w:right w:val="single" w:sz="4" w:space="0" w:color="auto"/>
            </w:tcBorders>
          </w:tcPr>
          <w:p w:rsidR="00DD4F8B" w:rsidRPr="00DE593C" w:rsidRDefault="00DD4F8B" w:rsidP="0067003D">
            <w:pPr>
              <w:spacing w:after="0" w:line="240" w:lineRule="auto"/>
              <w:rPr>
                <w:rFonts w:ascii="Times New Roman" w:hAnsi="Times New Roman" w:cs="Times New Roman"/>
                <w:noProof/>
                <w:sz w:val="20"/>
                <w:szCs w:val="20"/>
              </w:rPr>
            </w:pPr>
            <w:r w:rsidRPr="00DE593C">
              <w:rPr>
                <w:rFonts w:ascii="Times New Roman" w:hAnsi="Times New Roman" w:cs="Times New Roman"/>
                <w:noProof/>
                <w:sz w:val="20"/>
                <w:szCs w:val="20"/>
              </w:rPr>
              <w:t>Nr.</w:t>
            </w:r>
          </w:p>
        </w:tc>
        <w:tc>
          <w:tcPr>
            <w:tcW w:w="484" w:type="pct"/>
            <w:tcBorders>
              <w:top w:val="single" w:sz="4" w:space="0" w:color="auto"/>
              <w:left w:val="single" w:sz="4" w:space="0" w:color="auto"/>
              <w:bottom w:val="single" w:sz="4" w:space="0" w:color="auto"/>
              <w:right w:val="single" w:sz="4" w:space="0" w:color="auto"/>
            </w:tcBorders>
          </w:tcPr>
          <w:p w:rsidR="00DD4F8B" w:rsidRDefault="0009117E" w:rsidP="0067003D">
            <w:pPr>
              <w:spacing w:after="0" w:line="240" w:lineRule="auto"/>
              <w:rPr>
                <w:rFonts w:ascii="Times New Roman" w:hAnsi="Times New Roman" w:cs="Times New Roman"/>
                <w:b/>
                <w:sz w:val="20"/>
                <w:szCs w:val="20"/>
                <w:lang w:val="en-US"/>
              </w:rPr>
            </w:pPr>
            <w:r>
              <w:rPr>
                <w:rFonts w:ascii="Times New Roman" w:hAnsi="Times New Roman" w:cs="Times New Roman"/>
                <w:b/>
                <w:sz w:val="20"/>
                <w:szCs w:val="20"/>
                <w:lang w:val="en-US"/>
              </w:rPr>
              <w:t>0</w:t>
            </w:r>
          </w:p>
        </w:tc>
        <w:tc>
          <w:tcPr>
            <w:tcW w:w="487" w:type="pct"/>
            <w:tcBorders>
              <w:top w:val="single" w:sz="4" w:space="0" w:color="auto"/>
              <w:left w:val="single" w:sz="4" w:space="0" w:color="auto"/>
              <w:bottom w:val="single" w:sz="4" w:space="0" w:color="auto"/>
              <w:right w:val="single" w:sz="4" w:space="0" w:color="auto"/>
            </w:tcBorders>
          </w:tcPr>
          <w:p w:rsidR="00DD4F8B" w:rsidRDefault="0009117E" w:rsidP="0067003D">
            <w:pPr>
              <w:spacing w:after="0" w:line="240" w:lineRule="auto"/>
              <w:rPr>
                <w:rFonts w:ascii="Times New Roman" w:hAnsi="Times New Roman" w:cs="Times New Roman"/>
                <w:b/>
                <w:sz w:val="20"/>
                <w:szCs w:val="20"/>
                <w:lang w:val="en-US"/>
              </w:rPr>
            </w:pPr>
            <w:r>
              <w:rPr>
                <w:rFonts w:ascii="Times New Roman" w:hAnsi="Times New Roman" w:cs="Times New Roman"/>
                <w:b/>
                <w:sz w:val="20"/>
                <w:szCs w:val="20"/>
                <w:lang w:val="en-US"/>
              </w:rPr>
              <w:t>20</w:t>
            </w:r>
          </w:p>
        </w:tc>
      </w:tr>
    </w:tbl>
    <w:p w:rsidR="00DD4F8B" w:rsidRDefault="00DD4F8B" w:rsidP="009A6765">
      <w:pPr>
        <w:spacing w:after="0" w:line="240" w:lineRule="auto"/>
        <w:rPr>
          <w:rFonts w:ascii="Times New Roman" w:hAnsi="Times New Roman" w:cs="Times New Roman"/>
          <w:i/>
          <w:sz w:val="20"/>
          <w:szCs w:val="20"/>
          <w:lang w:val="en-GB"/>
        </w:rPr>
      </w:pPr>
    </w:p>
    <w:p w:rsidR="00DD4F8B" w:rsidRDefault="00DD4F8B" w:rsidP="009A6765">
      <w:pPr>
        <w:spacing w:after="0" w:line="240" w:lineRule="auto"/>
        <w:rPr>
          <w:rFonts w:ascii="Times New Roman" w:hAnsi="Times New Roman" w:cs="Times New Roman"/>
          <w:i/>
          <w:sz w:val="20"/>
          <w:szCs w:val="20"/>
          <w:lang w:val="en-GB"/>
        </w:rPr>
      </w:pPr>
    </w:p>
    <w:p w:rsidR="00DD4F8B" w:rsidRPr="0000318B" w:rsidRDefault="00DD4F8B" w:rsidP="009A6765">
      <w:pPr>
        <w:spacing w:after="0" w:line="240" w:lineRule="auto"/>
        <w:rPr>
          <w:rFonts w:ascii="Times New Roman" w:hAnsi="Times New Roman" w:cs="Times New Roman"/>
          <w:b/>
          <w:bCs/>
          <w:i/>
          <w:sz w:val="20"/>
          <w:szCs w:val="20"/>
          <w:u w:val="single"/>
          <w:lang w:val="en-GB"/>
        </w:rPr>
      </w:pP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52"/>
      </w:tblGrid>
      <w:tr w:rsidR="009A6765" w:rsidRPr="0000318B" w:rsidTr="009A6765">
        <w:trPr>
          <w:trHeight w:val="425"/>
        </w:trPr>
        <w:tc>
          <w:tcPr>
            <w:tcW w:w="5000" w:type="pct"/>
            <w:tcBorders>
              <w:top w:val="single" w:sz="4" w:space="0" w:color="auto"/>
              <w:left w:val="single" w:sz="4" w:space="0" w:color="auto"/>
              <w:bottom w:val="single" w:sz="4" w:space="0" w:color="auto"/>
              <w:right w:val="single" w:sz="4" w:space="0" w:color="auto"/>
            </w:tcBorders>
            <w:hideMark/>
          </w:tcPr>
          <w:p w:rsidR="009A6765" w:rsidRPr="0000318B" w:rsidRDefault="009A6765" w:rsidP="009A6765">
            <w:pPr>
              <w:spacing w:after="0" w:line="240" w:lineRule="auto"/>
              <w:rPr>
                <w:rFonts w:ascii="Times New Roman" w:hAnsi="Times New Roman" w:cs="Times New Roman"/>
                <w:b/>
                <w:sz w:val="20"/>
                <w:szCs w:val="20"/>
                <w:lang w:val="en-US"/>
              </w:rPr>
            </w:pPr>
            <w:r w:rsidRPr="0000318B">
              <w:rPr>
                <w:rFonts w:ascii="Times New Roman" w:hAnsi="Times New Roman" w:cs="Times New Roman"/>
                <w:b/>
                <w:iCs/>
                <w:sz w:val="20"/>
                <w:szCs w:val="20"/>
                <w:lang w:val="en-US"/>
              </w:rPr>
              <w:t>Table 2: Output indicators</w:t>
            </w:r>
          </w:p>
        </w:tc>
      </w:tr>
    </w:tbl>
    <w:p w:rsidR="009A6765" w:rsidRPr="0000318B" w:rsidRDefault="009A6765" w:rsidP="009A6765">
      <w:pPr>
        <w:spacing w:after="0" w:line="240" w:lineRule="auto"/>
        <w:rPr>
          <w:rFonts w:ascii="Times New Roman" w:hAnsi="Times New Roman" w:cs="Times New Roman"/>
          <w:sz w:val="20"/>
          <w:szCs w:val="20"/>
          <w:lang w:val="en-GB"/>
        </w:rPr>
      </w:pPr>
    </w:p>
    <w:tbl>
      <w:tblPr>
        <w:tblW w:w="53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3"/>
        <w:gridCol w:w="1599"/>
        <w:gridCol w:w="724"/>
        <w:gridCol w:w="1016"/>
        <w:gridCol w:w="803"/>
        <w:gridCol w:w="1662"/>
        <w:gridCol w:w="727"/>
        <w:gridCol w:w="727"/>
        <w:gridCol w:w="435"/>
        <w:gridCol w:w="581"/>
        <w:gridCol w:w="876"/>
        <w:gridCol w:w="824"/>
        <w:gridCol w:w="13"/>
      </w:tblGrid>
      <w:tr w:rsidR="00DD4F8B" w:rsidRPr="0000318B" w:rsidTr="0067003D">
        <w:trPr>
          <w:trHeight w:val="221"/>
        </w:trPr>
        <w:tc>
          <w:tcPr>
            <w:tcW w:w="5000" w:type="pct"/>
            <w:gridSpan w:val="13"/>
            <w:tcBorders>
              <w:top w:val="single" w:sz="4" w:space="0" w:color="auto"/>
              <w:left w:val="single" w:sz="4" w:space="0" w:color="auto"/>
              <w:bottom w:val="single" w:sz="4" w:space="0" w:color="auto"/>
              <w:right w:val="single" w:sz="4" w:space="0" w:color="auto"/>
            </w:tcBorders>
            <w:hideMark/>
          </w:tcPr>
          <w:p w:rsidR="00DD4F8B" w:rsidRPr="0000318B" w:rsidRDefault="00DD4F8B" w:rsidP="0067003D">
            <w:pPr>
              <w:spacing w:after="0" w:line="240" w:lineRule="auto"/>
              <w:rPr>
                <w:rFonts w:ascii="Times New Roman" w:hAnsi="Times New Roman" w:cs="Times New Roman"/>
                <w:b/>
                <w:sz w:val="20"/>
                <w:szCs w:val="20"/>
                <w:lang w:val="en-US"/>
              </w:rPr>
            </w:pPr>
            <w:r w:rsidRPr="0000318B">
              <w:rPr>
                <w:rFonts w:ascii="Times New Roman" w:hAnsi="Times New Roman" w:cs="Times New Roman"/>
                <w:b/>
                <w:iCs/>
                <w:sz w:val="20"/>
                <w:szCs w:val="20"/>
                <w:lang w:val="en-US"/>
              </w:rPr>
              <w:t>Table 3: Result indicators</w:t>
            </w:r>
          </w:p>
        </w:tc>
      </w:tr>
      <w:tr w:rsidR="00DD4F8B" w:rsidRPr="0000318B" w:rsidTr="0067003D">
        <w:trPr>
          <w:gridAfter w:val="1"/>
          <w:wAfter w:w="6" w:type="pct"/>
          <w:trHeight w:val="1024"/>
        </w:trPr>
        <w:tc>
          <w:tcPr>
            <w:tcW w:w="272" w:type="pct"/>
            <w:tcBorders>
              <w:top w:val="single" w:sz="4" w:space="0" w:color="auto"/>
              <w:left w:val="single" w:sz="4" w:space="0" w:color="auto"/>
              <w:bottom w:val="single" w:sz="4" w:space="0" w:color="auto"/>
              <w:right w:val="single" w:sz="4" w:space="0" w:color="auto"/>
            </w:tcBorders>
            <w:hideMark/>
          </w:tcPr>
          <w:p w:rsidR="00DD4F8B" w:rsidRPr="0000318B" w:rsidRDefault="00DD4F8B" w:rsidP="0067003D">
            <w:pPr>
              <w:spacing w:after="0" w:line="240" w:lineRule="auto"/>
              <w:rPr>
                <w:rFonts w:ascii="Times New Roman" w:hAnsi="Times New Roman" w:cs="Times New Roman"/>
                <w:b/>
                <w:sz w:val="20"/>
                <w:szCs w:val="20"/>
                <w:lang w:val="en-US"/>
              </w:rPr>
            </w:pPr>
            <w:r w:rsidRPr="0000318B">
              <w:rPr>
                <w:rFonts w:ascii="Times New Roman" w:hAnsi="Times New Roman" w:cs="Times New Roman"/>
                <w:b/>
                <w:sz w:val="20"/>
                <w:szCs w:val="20"/>
                <w:lang w:val="en-US"/>
              </w:rPr>
              <w:t xml:space="preserve">Priority </w:t>
            </w:r>
          </w:p>
        </w:tc>
        <w:tc>
          <w:tcPr>
            <w:tcW w:w="757" w:type="pct"/>
            <w:tcBorders>
              <w:top w:val="single" w:sz="4" w:space="0" w:color="auto"/>
              <w:left w:val="single" w:sz="4" w:space="0" w:color="auto"/>
              <w:bottom w:val="single" w:sz="4" w:space="0" w:color="auto"/>
              <w:right w:val="single" w:sz="4" w:space="0" w:color="auto"/>
            </w:tcBorders>
            <w:hideMark/>
          </w:tcPr>
          <w:p w:rsidR="00DD4F8B" w:rsidRPr="0000318B" w:rsidRDefault="00DD4F8B" w:rsidP="0067003D">
            <w:pPr>
              <w:spacing w:after="0" w:line="240" w:lineRule="auto"/>
              <w:rPr>
                <w:rFonts w:ascii="Times New Roman" w:hAnsi="Times New Roman" w:cs="Times New Roman"/>
                <w:b/>
                <w:sz w:val="20"/>
                <w:szCs w:val="20"/>
                <w:lang w:val="en-US"/>
              </w:rPr>
            </w:pPr>
            <w:r w:rsidRPr="0000318B">
              <w:rPr>
                <w:rFonts w:ascii="Times New Roman" w:hAnsi="Times New Roman" w:cs="Times New Roman"/>
                <w:b/>
                <w:sz w:val="20"/>
                <w:szCs w:val="20"/>
                <w:lang w:val="en-US"/>
              </w:rPr>
              <w:t>Specific objective (Investment for Jobs and Growth goal or EMFF)</w:t>
            </w:r>
          </w:p>
        </w:tc>
        <w:tc>
          <w:tcPr>
            <w:tcW w:w="343" w:type="pct"/>
            <w:tcBorders>
              <w:top w:val="single" w:sz="4" w:space="0" w:color="auto"/>
              <w:left w:val="single" w:sz="4" w:space="0" w:color="auto"/>
              <w:bottom w:val="single" w:sz="4" w:space="0" w:color="auto"/>
              <w:right w:val="single" w:sz="4" w:space="0" w:color="auto"/>
            </w:tcBorders>
            <w:hideMark/>
          </w:tcPr>
          <w:p w:rsidR="00DD4F8B" w:rsidRPr="0000318B" w:rsidRDefault="00DD4F8B" w:rsidP="0067003D">
            <w:pPr>
              <w:spacing w:after="0" w:line="240" w:lineRule="auto"/>
              <w:rPr>
                <w:rFonts w:ascii="Times New Roman" w:hAnsi="Times New Roman" w:cs="Times New Roman"/>
                <w:b/>
                <w:sz w:val="20"/>
                <w:szCs w:val="20"/>
                <w:lang w:val="en-US"/>
              </w:rPr>
            </w:pPr>
            <w:r w:rsidRPr="0000318B">
              <w:rPr>
                <w:rFonts w:ascii="Times New Roman" w:hAnsi="Times New Roman" w:cs="Times New Roman"/>
                <w:b/>
                <w:sz w:val="20"/>
                <w:szCs w:val="20"/>
                <w:lang w:val="en-US"/>
              </w:rPr>
              <w:t>Fund</w:t>
            </w:r>
          </w:p>
        </w:tc>
        <w:tc>
          <w:tcPr>
            <w:tcW w:w="481" w:type="pct"/>
            <w:tcBorders>
              <w:top w:val="single" w:sz="4" w:space="0" w:color="auto"/>
              <w:left w:val="single" w:sz="4" w:space="0" w:color="auto"/>
              <w:bottom w:val="single" w:sz="4" w:space="0" w:color="auto"/>
              <w:right w:val="single" w:sz="4" w:space="0" w:color="auto"/>
            </w:tcBorders>
            <w:hideMark/>
          </w:tcPr>
          <w:p w:rsidR="00DD4F8B" w:rsidRPr="0000318B" w:rsidRDefault="00DD4F8B" w:rsidP="0067003D">
            <w:pPr>
              <w:spacing w:after="0" w:line="240" w:lineRule="auto"/>
              <w:rPr>
                <w:rFonts w:ascii="Times New Roman" w:hAnsi="Times New Roman" w:cs="Times New Roman"/>
                <w:b/>
                <w:sz w:val="20"/>
                <w:szCs w:val="20"/>
                <w:lang w:val="en-US"/>
              </w:rPr>
            </w:pPr>
            <w:r w:rsidRPr="0000318B">
              <w:rPr>
                <w:rFonts w:ascii="Times New Roman" w:hAnsi="Times New Roman" w:cs="Times New Roman"/>
                <w:b/>
                <w:sz w:val="20"/>
                <w:szCs w:val="20"/>
                <w:lang w:val="en-US"/>
              </w:rPr>
              <w:t>Category of region</w:t>
            </w:r>
            <w:r w:rsidRPr="0000318B">
              <w:rPr>
                <w:rFonts w:ascii="Times New Roman" w:hAnsi="Times New Roman" w:cs="Times New Roman"/>
                <w:sz w:val="20"/>
                <w:szCs w:val="20"/>
                <w:lang w:val="en-US"/>
              </w:rPr>
              <w:t xml:space="preserve"> </w:t>
            </w:r>
          </w:p>
        </w:tc>
        <w:tc>
          <w:tcPr>
            <w:tcW w:w="380" w:type="pct"/>
            <w:tcBorders>
              <w:top w:val="single" w:sz="4" w:space="0" w:color="auto"/>
              <w:left w:val="single" w:sz="4" w:space="0" w:color="auto"/>
              <w:bottom w:val="single" w:sz="4" w:space="0" w:color="auto"/>
              <w:right w:val="single" w:sz="4" w:space="0" w:color="auto"/>
            </w:tcBorders>
            <w:hideMark/>
          </w:tcPr>
          <w:p w:rsidR="00DD4F8B" w:rsidRPr="0000318B" w:rsidRDefault="00DD4F8B" w:rsidP="0067003D">
            <w:pPr>
              <w:spacing w:after="0" w:line="240" w:lineRule="auto"/>
              <w:rPr>
                <w:rFonts w:ascii="Times New Roman" w:hAnsi="Times New Roman" w:cs="Times New Roman"/>
                <w:b/>
                <w:sz w:val="20"/>
                <w:szCs w:val="20"/>
                <w:lang w:val="en-US"/>
              </w:rPr>
            </w:pPr>
            <w:r w:rsidRPr="0000318B">
              <w:rPr>
                <w:rFonts w:ascii="Times New Roman" w:hAnsi="Times New Roman" w:cs="Times New Roman"/>
                <w:b/>
                <w:sz w:val="20"/>
                <w:szCs w:val="20"/>
                <w:lang w:val="en-US"/>
              </w:rPr>
              <w:t>ID [5]</w:t>
            </w:r>
          </w:p>
        </w:tc>
        <w:tc>
          <w:tcPr>
            <w:tcW w:w="787" w:type="pct"/>
            <w:tcBorders>
              <w:top w:val="single" w:sz="4" w:space="0" w:color="auto"/>
              <w:left w:val="single" w:sz="4" w:space="0" w:color="auto"/>
              <w:bottom w:val="single" w:sz="4" w:space="0" w:color="auto"/>
              <w:right w:val="single" w:sz="4" w:space="0" w:color="auto"/>
            </w:tcBorders>
            <w:hideMark/>
          </w:tcPr>
          <w:p w:rsidR="00DD4F8B" w:rsidRPr="0000318B" w:rsidRDefault="00DD4F8B" w:rsidP="0067003D">
            <w:pPr>
              <w:spacing w:after="0" w:line="240" w:lineRule="auto"/>
              <w:rPr>
                <w:rFonts w:ascii="Times New Roman" w:hAnsi="Times New Roman" w:cs="Times New Roman"/>
                <w:b/>
                <w:sz w:val="20"/>
                <w:szCs w:val="20"/>
                <w:lang w:val="en-US"/>
              </w:rPr>
            </w:pPr>
            <w:r w:rsidRPr="0000318B">
              <w:rPr>
                <w:rFonts w:ascii="Times New Roman" w:hAnsi="Times New Roman" w:cs="Times New Roman"/>
                <w:b/>
                <w:sz w:val="20"/>
                <w:szCs w:val="20"/>
                <w:lang w:val="en-US"/>
              </w:rPr>
              <w:t>Indicator [255]</w:t>
            </w:r>
          </w:p>
        </w:tc>
        <w:tc>
          <w:tcPr>
            <w:tcW w:w="344" w:type="pct"/>
            <w:tcBorders>
              <w:top w:val="single" w:sz="4" w:space="0" w:color="auto"/>
              <w:left w:val="single" w:sz="4" w:space="0" w:color="auto"/>
              <w:bottom w:val="single" w:sz="4" w:space="0" w:color="auto"/>
              <w:right w:val="single" w:sz="4" w:space="0" w:color="auto"/>
            </w:tcBorders>
            <w:hideMark/>
          </w:tcPr>
          <w:p w:rsidR="00DD4F8B" w:rsidRPr="0000318B" w:rsidRDefault="00DD4F8B" w:rsidP="0067003D">
            <w:pPr>
              <w:spacing w:after="0" w:line="240" w:lineRule="auto"/>
              <w:rPr>
                <w:rFonts w:ascii="Times New Roman" w:hAnsi="Times New Roman" w:cs="Times New Roman"/>
                <w:b/>
                <w:sz w:val="20"/>
                <w:szCs w:val="20"/>
                <w:lang w:val="en-US"/>
              </w:rPr>
            </w:pPr>
            <w:r w:rsidRPr="0000318B">
              <w:rPr>
                <w:rFonts w:ascii="Times New Roman" w:hAnsi="Times New Roman" w:cs="Times New Roman"/>
                <w:b/>
                <w:sz w:val="20"/>
                <w:szCs w:val="20"/>
                <w:lang w:val="en-US"/>
              </w:rPr>
              <w:t>Measurement unit</w:t>
            </w:r>
          </w:p>
        </w:tc>
        <w:tc>
          <w:tcPr>
            <w:tcW w:w="344" w:type="pct"/>
            <w:tcBorders>
              <w:top w:val="single" w:sz="4" w:space="0" w:color="auto"/>
              <w:left w:val="single" w:sz="4" w:space="0" w:color="auto"/>
              <w:bottom w:val="single" w:sz="4" w:space="0" w:color="auto"/>
              <w:right w:val="single" w:sz="4" w:space="0" w:color="auto"/>
            </w:tcBorders>
            <w:hideMark/>
          </w:tcPr>
          <w:p w:rsidR="00DD4F8B" w:rsidRPr="0000318B" w:rsidRDefault="00DD4F8B" w:rsidP="0067003D">
            <w:pPr>
              <w:spacing w:after="0" w:line="240" w:lineRule="auto"/>
              <w:rPr>
                <w:rFonts w:ascii="Times New Roman" w:hAnsi="Times New Roman" w:cs="Times New Roman"/>
                <w:b/>
                <w:sz w:val="20"/>
                <w:szCs w:val="20"/>
                <w:lang w:val="en-US"/>
              </w:rPr>
            </w:pPr>
            <w:r w:rsidRPr="0000318B">
              <w:rPr>
                <w:rFonts w:ascii="Times New Roman" w:hAnsi="Times New Roman" w:cs="Times New Roman"/>
                <w:b/>
                <w:sz w:val="20"/>
                <w:szCs w:val="20"/>
                <w:lang w:val="en-US"/>
              </w:rPr>
              <w:t>Baseline or reference value</w:t>
            </w:r>
          </w:p>
        </w:tc>
        <w:tc>
          <w:tcPr>
            <w:tcW w:w="206" w:type="pct"/>
            <w:tcBorders>
              <w:top w:val="single" w:sz="4" w:space="0" w:color="auto"/>
              <w:left w:val="single" w:sz="4" w:space="0" w:color="auto"/>
              <w:bottom w:val="single" w:sz="4" w:space="0" w:color="auto"/>
              <w:right w:val="single" w:sz="4" w:space="0" w:color="auto"/>
            </w:tcBorders>
            <w:hideMark/>
          </w:tcPr>
          <w:p w:rsidR="00DD4F8B" w:rsidRPr="0000318B" w:rsidRDefault="00DD4F8B" w:rsidP="0067003D">
            <w:pPr>
              <w:spacing w:after="0" w:line="240" w:lineRule="auto"/>
              <w:rPr>
                <w:rFonts w:ascii="Times New Roman" w:hAnsi="Times New Roman" w:cs="Times New Roman"/>
                <w:b/>
                <w:sz w:val="20"/>
                <w:szCs w:val="20"/>
                <w:lang w:val="en-US"/>
              </w:rPr>
            </w:pPr>
            <w:r w:rsidRPr="0000318B">
              <w:rPr>
                <w:rFonts w:ascii="Times New Roman" w:hAnsi="Times New Roman" w:cs="Times New Roman"/>
                <w:b/>
                <w:sz w:val="20"/>
                <w:szCs w:val="20"/>
                <w:lang w:val="en-US"/>
              </w:rPr>
              <w:t>Reference year</w:t>
            </w:r>
          </w:p>
        </w:tc>
        <w:tc>
          <w:tcPr>
            <w:tcW w:w="275" w:type="pct"/>
            <w:tcBorders>
              <w:top w:val="single" w:sz="4" w:space="0" w:color="auto"/>
              <w:left w:val="single" w:sz="4" w:space="0" w:color="auto"/>
              <w:bottom w:val="single" w:sz="4" w:space="0" w:color="auto"/>
              <w:right w:val="single" w:sz="4" w:space="0" w:color="auto"/>
            </w:tcBorders>
          </w:tcPr>
          <w:p w:rsidR="00DD4F8B" w:rsidRPr="0000318B" w:rsidRDefault="00DD4F8B" w:rsidP="0067003D">
            <w:pPr>
              <w:spacing w:after="0" w:line="240" w:lineRule="auto"/>
              <w:rPr>
                <w:rFonts w:ascii="Times New Roman" w:hAnsi="Times New Roman" w:cs="Times New Roman"/>
                <w:b/>
                <w:sz w:val="20"/>
                <w:szCs w:val="20"/>
                <w:lang w:val="en-US"/>
              </w:rPr>
            </w:pPr>
            <w:r w:rsidRPr="0000318B">
              <w:rPr>
                <w:rFonts w:ascii="Times New Roman" w:hAnsi="Times New Roman" w:cs="Times New Roman"/>
                <w:b/>
                <w:sz w:val="20"/>
                <w:szCs w:val="20"/>
                <w:lang w:val="en-US"/>
              </w:rPr>
              <w:t>Target (2029)</w:t>
            </w:r>
          </w:p>
          <w:p w:rsidR="00DD4F8B" w:rsidRPr="0000318B" w:rsidRDefault="00DD4F8B" w:rsidP="0067003D">
            <w:pPr>
              <w:spacing w:after="0" w:line="240" w:lineRule="auto"/>
              <w:rPr>
                <w:rFonts w:ascii="Times New Roman" w:hAnsi="Times New Roman" w:cs="Times New Roman"/>
                <w:b/>
                <w:sz w:val="20"/>
                <w:szCs w:val="20"/>
                <w:lang w:val="en-US"/>
              </w:rPr>
            </w:pPr>
          </w:p>
        </w:tc>
        <w:tc>
          <w:tcPr>
            <w:tcW w:w="415" w:type="pct"/>
            <w:tcBorders>
              <w:top w:val="single" w:sz="4" w:space="0" w:color="auto"/>
              <w:left w:val="single" w:sz="4" w:space="0" w:color="auto"/>
              <w:bottom w:val="single" w:sz="4" w:space="0" w:color="auto"/>
              <w:right w:val="single" w:sz="4" w:space="0" w:color="auto"/>
            </w:tcBorders>
            <w:hideMark/>
          </w:tcPr>
          <w:p w:rsidR="00DD4F8B" w:rsidRPr="0000318B" w:rsidRDefault="00DD4F8B" w:rsidP="0067003D">
            <w:pPr>
              <w:spacing w:after="0" w:line="240" w:lineRule="auto"/>
              <w:rPr>
                <w:rFonts w:ascii="Times New Roman" w:hAnsi="Times New Roman" w:cs="Times New Roman"/>
                <w:b/>
                <w:sz w:val="20"/>
                <w:szCs w:val="20"/>
                <w:lang w:val="en-US"/>
              </w:rPr>
            </w:pPr>
            <w:r w:rsidRPr="0000318B">
              <w:rPr>
                <w:rFonts w:ascii="Times New Roman" w:hAnsi="Times New Roman" w:cs="Times New Roman"/>
                <w:b/>
                <w:sz w:val="20"/>
                <w:szCs w:val="20"/>
                <w:lang w:val="en-US"/>
              </w:rPr>
              <w:t>Source of data [200]</w:t>
            </w:r>
          </w:p>
        </w:tc>
        <w:tc>
          <w:tcPr>
            <w:tcW w:w="390" w:type="pct"/>
            <w:tcBorders>
              <w:top w:val="single" w:sz="4" w:space="0" w:color="auto"/>
              <w:left w:val="single" w:sz="4" w:space="0" w:color="auto"/>
              <w:bottom w:val="single" w:sz="4" w:space="0" w:color="auto"/>
              <w:right w:val="single" w:sz="4" w:space="0" w:color="auto"/>
            </w:tcBorders>
            <w:hideMark/>
          </w:tcPr>
          <w:p w:rsidR="00DD4F8B" w:rsidRPr="0000318B" w:rsidRDefault="00DD4F8B" w:rsidP="0067003D">
            <w:pPr>
              <w:spacing w:after="0" w:line="240" w:lineRule="auto"/>
              <w:rPr>
                <w:rFonts w:ascii="Times New Roman" w:hAnsi="Times New Roman" w:cs="Times New Roman"/>
                <w:b/>
                <w:sz w:val="20"/>
                <w:szCs w:val="20"/>
                <w:lang w:val="en-US"/>
              </w:rPr>
            </w:pPr>
            <w:r w:rsidRPr="0000318B">
              <w:rPr>
                <w:rFonts w:ascii="Times New Roman" w:hAnsi="Times New Roman" w:cs="Times New Roman"/>
                <w:b/>
                <w:sz w:val="20"/>
                <w:szCs w:val="20"/>
                <w:lang w:val="en-US"/>
              </w:rPr>
              <w:t>Comments [200]</w:t>
            </w:r>
          </w:p>
        </w:tc>
      </w:tr>
      <w:tr w:rsidR="00DD4F8B" w:rsidRPr="0000318B" w:rsidTr="0067003D">
        <w:trPr>
          <w:gridAfter w:val="1"/>
          <w:wAfter w:w="6" w:type="pct"/>
          <w:trHeight w:val="232"/>
        </w:trPr>
        <w:tc>
          <w:tcPr>
            <w:tcW w:w="272" w:type="pct"/>
            <w:tcBorders>
              <w:top w:val="single" w:sz="4" w:space="0" w:color="auto"/>
              <w:left w:val="single" w:sz="4" w:space="0" w:color="auto"/>
              <w:bottom w:val="single" w:sz="4" w:space="0" w:color="auto"/>
              <w:right w:val="single" w:sz="4" w:space="0" w:color="auto"/>
            </w:tcBorders>
          </w:tcPr>
          <w:p w:rsidR="00DD4F8B" w:rsidRPr="0000318B" w:rsidRDefault="00DD4F8B" w:rsidP="0067003D">
            <w:pPr>
              <w:spacing w:after="0" w:line="240" w:lineRule="auto"/>
              <w:rPr>
                <w:rFonts w:ascii="Times New Roman" w:hAnsi="Times New Roman" w:cs="Times New Roman"/>
                <w:i/>
                <w:sz w:val="20"/>
                <w:szCs w:val="20"/>
                <w:lang w:val="en-US"/>
              </w:rPr>
            </w:pPr>
            <w:r w:rsidRPr="0000318B">
              <w:rPr>
                <w:rFonts w:ascii="Times New Roman" w:hAnsi="Times New Roman" w:cs="Times New Roman"/>
                <w:i/>
                <w:sz w:val="20"/>
                <w:szCs w:val="20"/>
                <w:lang w:val="en-US"/>
              </w:rPr>
              <w:t>3.3</w:t>
            </w:r>
          </w:p>
        </w:tc>
        <w:tc>
          <w:tcPr>
            <w:tcW w:w="757" w:type="pct"/>
            <w:tcBorders>
              <w:top w:val="single" w:sz="4" w:space="0" w:color="auto"/>
              <w:left w:val="single" w:sz="4" w:space="0" w:color="auto"/>
              <w:bottom w:val="single" w:sz="4" w:space="0" w:color="auto"/>
              <w:right w:val="single" w:sz="4" w:space="0" w:color="auto"/>
            </w:tcBorders>
          </w:tcPr>
          <w:p w:rsidR="00DD4F8B" w:rsidRPr="0000318B" w:rsidRDefault="00DD4F8B" w:rsidP="0067003D">
            <w:pPr>
              <w:spacing w:after="0" w:line="240" w:lineRule="auto"/>
              <w:jc w:val="center"/>
              <w:rPr>
                <w:rFonts w:ascii="Times New Roman" w:hAnsi="Times New Roman" w:cs="Times New Roman"/>
                <w:i/>
                <w:sz w:val="20"/>
                <w:szCs w:val="20"/>
                <w:lang w:val="en-US"/>
              </w:rPr>
            </w:pPr>
            <w:r w:rsidRPr="0000318B">
              <w:rPr>
                <w:rFonts w:ascii="Times New Roman" w:hAnsi="Times New Roman" w:cs="Times New Roman"/>
                <w:i/>
                <w:sz w:val="20"/>
                <w:szCs w:val="20"/>
                <w:lang w:val="en-US"/>
              </w:rPr>
              <w:t>SO 4.b (viii) Promovarea mobilității urbane multimodale sustenabile</w:t>
            </w:r>
          </w:p>
        </w:tc>
        <w:tc>
          <w:tcPr>
            <w:tcW w:w="343" w:type="pct"/>
            <w:tcBorders>
              <w:top w:val="single" w:sz="4" w:space="0" w:color="auto"/>
              <w:left w:val="single" w:sz="4" w:space="0" w:color="auto"/>
              <w:bottom w:val="single" w:sz="4" w:space="0" w:color="auto"/>
              <w:right w:val="single" w:sz="4" w:space="0" w:color="auto"/>
            </w:tcBorders>
          </w:tcPr>
          <w:p w:rsidR="00DD4F8B" w:rsidRPr="0000318B" w:rsidRDefault="00DD4F8B" w:rsidP="0067003D">
            <w:pPr>
              <w:spacing w:after="0" w:line="240" w:lineRule="auto"/>
              <w:rPr>
                <w:rFonts w:ascii="Times New Roman" w:hAnsi="Times New Roman" w:cs="Times New Roman"/>
                <w:b/>
                <w:i/>
                <w:noProof/>
                <w:sz w:val="20"/>
                <w:szCs w:val="20"/>
              </w:rPr>
            </w:pPr>
          </w:p>
        </w:tc>
        <w:tc>
          <w:tcPr>
            <w:tcW w:w="481" w:type="pct"/>
            <w:tcBorders>
              <w:top w:val="single" w:sz="4" w:space="0" w:color="auto"/>
              <w:left w:val="single" w:sz="4" w:space="0" w:color="auto"/>
              <w:bottom w:val="single" w:sz="4" w:space="0" w:color="auto"/>
              <w:right w:val="single" w:sz="4" w:space="0" w:color="auto"/>
            </w:tcBorders>
          </w:tcPr>
          <w:p w:rsidR="00DD4F8B" w:rsidRPr="0000318B" w:rsidRDefault="00DD4F8B" w:rsidP="0067003D">
            <w:pPr>
              <w:spacing w:after="0" w:line="240" w:lineRule="auto"/>
              <w:rPr>
                <w:rFonts w:ascii="Times New Roman" w:hAnsi="Times New Roman" w:cs="Times New Roman"/>
                <w:b/>
                <w:i/>
                <w:noProof/>
                <w:sz w:val="20"/>
                <w:szCs w:val="20"/>
              </w:rPr>
            </w:pPr>
          </w:p>
        </w:tc>
        <w:tc>
          <w:tcPr>
            <w:tcW w:w="380" w:type="pct"/>
            <w:tcBorders>
              <w:top w:val="single" w:sz="4" w:space="0" w:color="auto"/>
              <w:left w:val="single" w:sz="4" w:space="0" w:color="auto"/>
              <w:bottom w:val="single" w:sz="4" w:space="0" w:color="auto"/>
              <w:right w:val="single" w:sz="4" w:space="0" w:color="auto"/>
            </w:tcBorders>
          </w:tcPr>
          <w:p w:rsidR="00DD4F8B" w:rsidRPr="0000318B" w:rsidRDefault="00DD4F8B" w:rsidP="0067003D">
            <w:pPr>
              <w:pStyle w:val="Text1"/>
              <w:spacing w:before="0" w:after="0" w:line="240" w:lineRule="auto"/>
              <w:ind w:left="0"/>
              <w:rPr>
                <w:rFonts w:eastAsia="Times New Roman"/>
                <w:i/>
                <w:color w:val="000000"/>
                <w:sz w:val="20"/>
                <w:szCs w:val="20"/>
                <w:lang w:val="en-US" w:eastAsia="en-GB"/>
              </w:rPr>
            </w:pPr>
            <w:r w:rsidRPr="0000318B">
              <w:rPr>
                <w:rFonts w:eastAsia="Times New Roman"/>
                <w:i/>
                <w:color w:val="000000"/>
                <w:sz w:val="20"/>
                <w:szCs w:val="20"/>
                <w:lang w:val="en-US" w:eastAsia="en-GB"/>
              </w:rPr>
              <w:t>RCR 62</w:t>
            </w:r>
          </w:p>
          <w:p w:rsidR="00DD4F8B" w:rsidRPr="0000318B" w:rsidRDefault="00DD4F8B" w:rsidP="0067003D">
            <w:pPr>
              <w:pStyle w:val="Text1"/>
              <w:spacing w:before="0" w:after="0" w:line="240" w:lineRule="auto"/>
              <w:ind w:left="0"/>
              <w:rPr>
                <w:rFonts w:eastAsia="Times New Roman"/>
                <w:i/>
                <w:color w:val="000000"/>
                <w:sz w:val="20"/>
                <w:szCs w:val="20"/>
                <w:lang w:val="en-US" w:eastAsia="en-GB"/>
              </w:rPr>
            </w:pPr>
          </w:p>
          <w:p w:rsidR="00DD4F8B" w:rsidRPr="0000318B" w:rsidRDefault="00DD4F8B" w:rsidP="0067003D">
            <w:pPr>
              <w:pStyle w:val="Text1"/>
              <w:spacing w:before="0" w:after="0" w:line="240" w:lineRule="auto"/>
              <w:ind w:left="0"/>
              <w:rPr>
                <w:rFonts w:eastAsia="Times New Roman"/>
                <w:i/>
                <w:color w:val="000000"/>
                <w:sz w:val="20"/>
                <w:szCs w:val="20"/>
                <w:lang w:val="en-US" w:eastAsia="en-GB"/>
              </w:rPr>
            </w:pPr>
          </w:p>
          <w:p w:rsidR="00DD4F8B" w:rsidRPr="0000318B" w:rsidRDefault="00DD4F8B" w:rsidP="0067003D">
            <w:pPr>
              <w:pStyle w:val="Text1"/>
              <w:spacing w:before="0" w:after="0" w:line="240" w:lineRule="auto"/>
              <w:ind w:left="0"/>
              <w:rPr>
                <w:rFonts w:eastAsia="Times New Roman"/>
                <w:i/>
                <w:color w:val="000000"/>
                <w:sz w:val="20"/>
                <w:szCs w:val="20"/>
                <w:lang w:val="en-US" w:eastAsia="en-GB"/>
              </w:rPr>
            </w:pPr>
          </w:p>
          <w:p w:rsidR="00DD4F8B" w:rsidRPr="0000318B" w:rsidRDefault="00DD4F8B" w:rsidP="0067003D">
            <w:pPr>
              <w:pStyle w:val="Text1"/>
              <w:spacing w:before="0" w:after="0" w:line="240" w:lineRule="auto"/>
              <w:ind w:left="0"/>
              <w:rPr>
                <w:rFonts w:eastAsia="Times New Roman"/>
                <w:i/>
                <w:color w:val="000000"/>
                <w:sz w:val="20"/>
                <w:szCs w:val="20"/>
                <w:lang w:val="en-US" w:eastAsia="en-GB"/>
              </w:rPr>
            </w:pPr>
          </w:p>
          <w:p w:rsidR="00DD4F8B" w:rsidRPr="0000318B" w:rsidRDefault="00DD4F8B" w:rsidP="0067003D">
            <w:pPr>
              <w:pStyle w:val="Text1"/>
              <w:spacing w:before="0" w:after="0" w:line="240" w:lineRule="auto"/>
              <w:ind w:left="0"/>
              <w:rPr>
                <w:rFonts w:eastAsia="Times New Roman"/>
                <w:i/>
                <w:color w:val="000000"/>
                <w:sz w:val="20"/>
                <w:szCs w:val="20"/>
                <w:lang w:val="en-US" w:eastAsia="en-GB"/>
              </w:rPr>
            </w:pPr>
            <w:r w:rsidRPr="0000318B">
              <w:rPr>
                <w:rFonts w:eastAsia="Times New Roman"/>
                <w:i/>
                <w:color w:val="000000"/>
                <w:sz w:val="20"/>
                <w:szCs w:val="20"/>
                <w:lang w:val="en-US" w:eastAsia="en-GB"/>
              </w:rPr>
              <w:t>RCR 64</w:t>
            </w:r>
          </w:p>
        </w:tc>
        <w:tc>
          <w:tcPr>
            <w:tcW w:w="787" w:type="pct"/>
            <w:tcBorders>
              <w:top w:val="single" w:sz="4" w:space="0" w:color="auto"/>
              <w:left w:val="single" w:sz="4" w:space="0" w:color="auto"/>
              <w:bottom w:val="single" w:sz="4" w:space="0" w:color="auto"/>
              <w:right w:val="single" w:sz="4" w:space="0" w:color="auto"/>
            </w:tcBorders>
          </w:tcPr>
          <w:p w:rsidR="00DD4F8B" w:rsidRPr="0000318B" w:rsidRDefault="00DD4F8B" w:rsidP="0067003D">
            <w:pPr>
              <w:spacing w:after="0" w:line="240" w:lineRule="auto"/>
              <w:rPr>
                <w:rFonts w:ascii="Times New Roman" w:eastAsia="Times New Roman" w:hAnsi="Times New Roman" w:cs="Times New Roman"/>
                <w:i/>
                <w:color w:val="000000"/>
                <w:sz w:val="20"/>
                <w:szCs w:val="20"/>
                <w:lang w:val="en-US" w:eastAsia="en-GB"/>
              </w:rPr>
            </w:pPr>
            <w:r w:rsidRPr="0000318B">
              <w:rPr>
                <w:rFonts w:ascii="Times New Roman" w:eastAsia="Times New Roman" w:hAnsi="Times New Roman" w:cs="Times New Roman"/>
                <w:i/>
                <w:color w:val="000000"/>
                <w:sz w:val="20"/>
                <w:szCs w:val="20"/>
                <w:lang w:val="en-US" w:eastAsia="en-GB"/>
              </w:rPr>
              <w:t xml:space="preserve">Număr anual de pasageri ai transporturilor publice </w:t>
            </w:r>
          </w:p>
          <w:p w:rsidR="00DD4F8B" w:rsidRPr="0000318B" w:rsidRDefault="00DD4F8B" w:rsidP="0067003D">
            <w:pPr>
              <w:spacing w:after="0" w:line="240" w:lineRule="auto"/>
              <w:rPr>
                <w:rFonts w:ascii="Times New Roman" w:eastAsia="Times New Roman" w:hAnsi="Times New Roman" w:cs="Times New Roman"/>
                <w:i/>
                <w:color w:val="000000"/>
                <w:sz w:val="20"/>
                <w:szCs w:val="20"/>
                <w:lang w:val="en-US" w:eastAsia="en-GB"/>
              </w:rPr>
            </w:pPr>
          </w:p>
          <w:p w:rsidR="00DD4F8B" w:rsidRDefault="00DD4F8B" w:rsidP="0067003D">
            <w:pPr>
              <w:spacing w:after="0" w:line="240" w:lineRule="auto"/>
              <w:rPr>
                <w:rFonts w:ascii="Times New Roman" w:eastAsia="Times New Roman" w:hAnsi="Times New Roman" w:cs="Times New Roman"/>
                <w:i/>
                <w:color w:val="000000"/>
                <w:sz w:val="20"/>
                <w:szCs w:val="20"/>
                <w:lang w:val="en-US" w:eastAsia="en-GB"/>
              </w:rPr>
            </w:pPr>
          </w:p>
          <w:p w:rsidR="00DD4F8B" w:rsidRPr="0000318B" w:rsidRDefault="00DD4F8B" w:rsidP="0067003D">
            <w:pPr>
              <w:spacing w:after="0" w:line="240" w:lineRule="auto"/>
              <w:rPr>
                <w:rFonts w:ascii="Times New Roman" w:eastAsia="Times New Roman" w:hAnsi="Times New Roman" w:cs="Times New Roman"/>
                <w:i/>
                <w:color w:val="000000"/>
                <w:sz w:val="20"/>
                <w:szCs w:val="20"/>
                <w:lang w:val="en-US" w:eastAsia="en-GB"/>
              </w:rPr>
            </w:pPr>
            <w:r w:rsidRPr="0000318B">
              <w:rPr>
                <w:rFonts w:ascii="Times New Roman" w:eastAsia="Times New Roman" w:hAnsi="Times New Roman" w:cs="Times New Roman"/>
                <w:i/>
                <w:color w:val="000000"/>
                <w:sz w:val="20"/>
                <w:szCs w:val="20"/>
                <w:lang w:val="en-US" w:eastAsia="en-GB"/>
              </w:rPr>
              <w:t>Numărul anual de utilizatori ai pistelor ciclabile</w:t>
            </w:r>
          </w:p>
        </w:tc>
        <w:tc>
          <w:tcPr>
            <w:tcW w:w="344" w:type="pct"/>
            <w:tcBorders>
              <w:top w:val="single" w:sz="4" w:space="0" w:color="auto"/>
              <w:left w:val="single" w:sz="4" w:space="0" w:color="auto"/>
              <w:bottom w:val="single" w:sz="4" w:space="0" w:color="auto"/>
              <w:right w:val="single" w:sz="4" w:space="0" w:color="auto"/>
            </w:tcBorders>
          </w:tcPr>
          <w:p w:rsidR="00DD4F8B" w:rsidRPr="0000318B" w:rsidRDefault="00DD4F8B" w:rsidP="0067003D">
            <w:pPr>
              <w:spacing w:after="0" w:line="240" w:lineRule="auto"/>
              <w:rPr>
                <w:rFonts w:ascii="Times New Roman" w:hAnsi="Times New Roman" w:cs="Times New Roman"/>
                <w:i/>
                <w:sz w:val="20"/>
                <w:szCs w:val="20"/>
                <w:lang w:val="en-US"/>
              </w:rPr>
            </w:pPr>
            <w:r>
              <w:rPr>
                <w:rFonts w:ascii="Times New Roman" w:hAnsi="Times New Roman" w:cs="Times New Roman"/>
                <w:i/>
                <w:sz w:val="20"/>
                <w:szCs w:val="20"/>
                <w:lang w:val="en-US"/>
              </w:rPr>
              <w:t>Nr persoane</w:t>
            </w:r>
          </w:p>
        </w:tc>
        <w:tc>
          <w:tcPr>
            <w:tcW w:w="344" w:type="pct"/>
            <w:tcBorders>
              <w:top w:val="single" w:sz="4" w:space="0" w:color="auto"/>
              <w:left w:val="single" w:sz="4" w:space="0" w:color="auto"/>
              <w:bottom w:val="single" w:sz="4" w:space="0" w:color="auto"/>
              <w:right w:val="single" w:sz="4" w:space="0" w:color="auto"/>
            </w:tcBorders>
          </w:tcPr>
          <w:p w:rsidR="00DD4F8B" w:rsidRPr="0000318B" w:rsidRDefault="00DD4F8B" w:rsidP="0067003D">
            <w:pPr>
              <w:spacing w:after="0" w:line="240" w:lineRule="auto"/>
              <w:rPr>
                <w:rFonts w:ascii="Times New Roman" w:hAnsi="Times New Roman" w:cs="Times New Roman"/>
                <w:i/>
                <w:sz w:val="20"/>
                <w:szCs w:val="20"/>
                <w:lang w:val="en-US"/>
              </w:rPr>
            </w:pPr>
            <w:r>
              <w:rPr>
                <w:rFonts w:ascii="Times New Roman" w:hAnsi="Times New Roman" w:cs="Times New Roman"/>
                <w:i/>
                <w:sz w:val="20"/>
                <w:szCs w:val="20"/>
                <w:lang w:val="en-US"/>
              </w:rPr>
              <w:t>151298</w:t>
            </w:r>
          </w:p>
        </w:tc>
        <w:tc>
          <w:tcPr>
            <w:tcW w:w="206" w:type="pct"/>
            <w:tcBorders>
              <w:top w:val="single" w:sz="4" w:space="0" w:color="auto"/>
              <w:left w:val="single" w:sz="4" w:space="0" w:color="auto"/>
              <w:bottom w:val="single" w:sz="4" w:space="0" w:color="auto"/>
              <w:right w:val="single" w:sz="4" w:space="0" w:color="auto"/>
            </w:tcBorders>
          </w:tcPr>
          <w:p w:rsidR="00DD4F8B" w:rsidRPr="0000318B" w:rsidRDefault="00DD4F8B" w:rsidP="0067003D">
            <w:pPr>
              <w:spacing w:after="0" w:line="240" w:lineRule="auto"/>
              <w:rPr>
                <w:rFonts w:ascii="Times New Roman" w:hAnsi="Times New Roman" w:cs="Times New Roman"/>
                <w:b/>
                <w:sz w:val="20"/>
                <w:szCs w:val="20"/>
                <w:lang w:val="en-US"/>
              </w:rPr>
            </w:pPr>
            <w:r>
              <w:rPr>
                <w:rFonts w:ascii="Times New Roman" w:hAnsi="Times New Roman" w:cs="Times New Roman"/>
                <w:b/>
                <w:sz w:val="20"/>
                <w:szCs w:val="20"/>
                <w:lang w:val="en-US"/>
              </w:rPr>
              <w:t>2019</w:t>
            </w:r>
          </w:p>
        </w:tc>
        <w:tc>
          <w:tcPr>
            <w:tcW w:w="275" w:type="pct"/>
            <w:tcBorders>
              <w:top w:val="single" w:sz="4" w:space="0" w:color="auto"/>
              <w:left w:val="single" w:sz="4" w:space="0" w:color="auto"/>
              <w:bottom w:val="single" w:sz="4" w:space="0" w:color="auto"/>
              <w:right w:val="single" w:sz="4" w:space="0" w:color="auto"/>
            </w:tcBorders>
          </w:tcPr>
          <w:p w:rsidR="00DD4F8B" w:rsidRPr="0000318B" w:rsidRDefault="00DD4F8B" w:rsidP="0067003D">
            <w:pPr>
              <w:spacing w:after="0" w:line="240" w:lineRule="auto"/>
              <w:rPr>
                <w:rFonts w:ascii="Times New Roman" w:hAnsi="Times New Roman" w:cs="Times New Roman"/>
                <w:b/>
                <w:sz w:val="20"/>
                <w:szCs w:val="20"/>
                <w:lang w:val="en-US"/>
              </w:rPr>
            </w:pPr>
            <w:r>
              <w:rPr>
                <w:rFonts w:ascii="Times New Roman" w:hAnsi="Times New Roman" w:cs="Times New Roman"/>
                <w:b/>
                <w:sz w:val="20"/>
                <w:szCs w:val="20"/>
                <w:lang w:val="en-US"/>
              </w:rPr>
              <w:t>166427</w:t>
            </w:r>
          </w:p>
        </w:tc>
        <w:tc>
          <w:tcPr>
            <w:tcW w:w="415" w:type="pct"/>
            <w:tcBorders>
              <w:top w:val="single" w:sz="4" w:space="0" w:color="auto"/>
              <w:left w:val="single" w:sz="4" w:space="0" w:color="auto"/>
              <w:bottom w:val="single" w:sz="4" w:space="0" w:color="auto"/>
              <w:right w:val="single" w:sz="4" w:space="0" w:color="auto"/>
            </w:tcBorders>
          </w:tcPr>
          <w:p w:rsidR="00DD4F8B" w:rsidRPr="0000318B" w:rsidRDefault="00DD4F8B" w:rsidP="0067003D">
            <w:pPr>
              <w:spacing w:after="0" w:line="240" w:lineRule="auto"/>
              <w:rPr>
                <w:rFonts w:ascii="Times New Roman" w:hAnsi="Times New Roman" w:cs="Times New Roman"/>
                <w:i/>
                <w:sz w:val="20"/>
                <w:szCs w:val="20"/>
                <w:lang w:val="en-US"/>
              </w:rPr>
            </w:pPr>
            <w:r>
              <w:rPr>
                <w:rFonts w:ascii="Times New Roman" w:hAnsi="Times New Roman" w:cs="Times New Roman"/>
                <w:i/>
                <w:sz w:val="20"/>
                <w:szCs w:val="20"/>
                <w:lang w:val="en-US"/>
              </w:rPr>
              <w:t xml:space="preserve">INS Tempo </w:t>
            </w:r>
          </w:p>
        </w:tc>
        <w:tc>
          <w:tcPr>
            <w:tcW w:w="390" w:type="pct"/>
            <w:tcBorders>
              <w:top w:val="single" w:sz="4" w:space="0" w:color="auto"/>
              <w:left w:val="single" w:sz="4" w:space="0" w:color="auto"/>
              <w:bottom w:val="single" w:sz="4" w:space="0" w:color="auto"/>
              <w:right w:val="single" w:sz="4" w:space="0" w:color="auto"/>
            </w:tcBorders>
          </w:tcPr>
          <w:p w:rsidR="00DD4F8B" w:rsidRPr="0000318B" w:rsidRDefault="00DD4F8B" w:rsidP="0067003D">
            <w:pPr>
              <w:spacing w:after="0" w:line="240" w:lineRule="auto"/>
              <w:rPr>
                <w:rFonts w:ascii="Times New Roman" w:hAnsi="Times New Roman" w:cs="Times New Roman"/>
                <w:i/>
                <w:sz w:val="20"/>
                <w:szCs w:val="20"/>
                <w:lang w:val="en-US"/>
              </w:rPr>
            </w:pPr>
            <w:r w:rsidRPr="005874EB">
              <w:rPr>
                <w:rFonts w:ascii="Times New Roman" w:hAnsi="Times New Roman" w:cs="Times New Roman"/>
                <w:i/>
                <w:sz w:val="20"/>
                <w:szCs w:val="20"/>
                <w:lang w:val="en-US"/>
              </w:rPr>
              <w:t>https://insse.ro/cms/ro/tags/transportul-de-pasageri-si-marfur</w:t>
            </w:r>
            <w:r w:rsidRPr="005874EB">
              <w:rPr>
                <w:rFonts w:ascii="Times New Roman" w:hAnsi="Times New Roman" w:cs="Times New Roman"/>
                <w:i/>
                <w:sz w:val="20"/>
                <w:szCs w:val="20"/>
                <w:lang w:val="en-US"/>
              </w:rPr>
              <w:lastRenderedPageBreak/>
              <w:t>i-pe-moduri-de-transport-0</w:t>
            </w:r>
          </w:p>
        </w:tc>
      </w:tr>
    </w:tbl>
    <w:p w:rsidR="009A6765" w:rsidRDefault="009A6765" w:rsidP="009A6765">
      <w:pPr>
        <w:spacing w:after="0" w:line="240" w:lineRule="auto"/>
        <w:rPr>
          <w:rFonts w:ascii="Times New Roman" w:hAnsi="Times New Roman" w:cs="Times New Roman"/>
          <w:sz w:val="20"/>
          <w:szCs w:val="20"/>
          <w:lang w:val="en-GB"/>
        </w:rPr>
      </w:pPr>
    </w:p>
    <w:p w:rsidR="00DD4F8B" w:rsidRPr="0000318B" w:rsidRDefault="00DD4F8B" w:rsidP="009A6765">
      <w:pPr>
        <w:spacing w:after="0" w:line="240" w:lineRule="auto"/>
        <w:rPr>
          <w:rFonts w:ascii="Times New Roman" w:hAnsi="Times New Roman" w:cs="Times New Roman"/>
          <w:sz w:val="20"/>
          <w:szCs w:val="20"/>
          <w:lang w:val="en-GB"/>
        </w:rPr>
      </w:pPr>
    </w:p>
    <w:p w:rsidR="009A6765" w:rsidRPr="0000318B" w:rsidRDefault="009A6765" w:rsidP="009A6765">
      <w:pPr>
        <w:spacing w:after="0" w:line="240" w:lineRule="auto"/>
        <w:rPr>
          <w:rFonts w:ascii="Times New Roman" w:hAnsi="Times New Roman" w:cs="Times New Roman"/>
          <w:i/>
          <w:sz w:val="20"/>
          <w:szCs w:val="20"/>
          <w:lang w:val="en-GB"/>
        </w:rPr>
      </w:pPr>
      <w:r w:rsidRPr="0000318B">
        <w:rPr>
          <w:rFonts w:ascii="Times New Roman" w:hAnsi="Times New Roman" w:cs="Times New Roman"/>
          <w:i/>
          <w:sz w:val="20"/>
          <w:szCs w:val="20"/>
          <w:lang w:val="en-GB"/>
        </w:rPr>
        <w:t>[Point 2.1.1.3 in the Commission proposal has been moved up following changes in Article 17(3)(c) CPR and it is now point 2.1.1.bis]</w:t>
      </w:r>
    </w:p>
    <w:p w:rsidR="006823EB" w:rsidRDefault="006823EB" w:rsidP="00F000AD">
      <w:pPr>
        <w:rPr>
          <w:rFonts w:ascii="Times New Roman" w:hAnsi="Times New Roman" w:cs="Times New Roman"/>
          <w:b/>
          <w:sz w:val="28"/>
          <w:szCs w:val="28"/>
          <w:lang w:val="en-GB"/>
        </w:rPr>
      </w:pPr>
    </w:p>
    <w:p w:rsidR="00F90F3D" w:rsidRPr="006F04E2" w:rsidRDefault="00F90F3D" w:rsidP="00F000AD">
      <w:pPr>
        <w:rPr>
          <w:rFonts w:ascii="Times New Roman" w:hAnsi="Times New Roman" w:cs="Times New Roman"/>
          <w:b/>
          <w:sz w:val="28"/>
          <w:szCs w:val="28"/>
          <w:lang w:val="en-GB"/>
        </w:rPr>
      </w:pPr>
      <w:r w:rsidRPr="006F04E2">
        <w:rPr>
          <w:rFonts w:ascii="Times New Roman" w:hAnsi="Times New Roman" w:cs="Times New Roman"/>
          <w:b/>
          <w:sz w:val="28"/>
          <w:szCs w:val="28"/>
          <w:lang w:val="en-GB"/>
        </w:rPr>
        <w:t xml:space="preserve">Prioritatea </w:t>
      </w:r>
      <w:r>
        <w:rPr>
          <w:rFonts w:ascii="Times New Roman" w:hAnsi="Times New Roman" w:cs="Times New Roman"/>
          <w:b/>
          <w:sz w:val="28"/>
          <w:szCs w:val="28"/>
          <w:lang w:val="en-GB"/>
        </w:rPr>
        <w:t>4</w:t>
      </w:r>
      <w:r w:rsidRPr="006F04E2">
        <w:rPr>
          <w:rFonts w:ascii="Times New Roman" w:hAnsi="Times New Roman" w:cs="Times New Roman"/>
          <w:b/>
          <w:sz w:val="28"/>
          <w:szCs w:val="28"/>
          <w:lang w:val="en-GB"/>
        </w:rPr>
        <w:t xml:space="preserve"> - </w:t>
      </w:r>
      <w:r w:rsidRPr="00F90F3D">
        <w:rPr>
          <w:rFonts w:ascii="Times New Roman" w:hAnsi="Times New Roman" w:cs="Times New Roman"/>
          <w:b/>
          <w:sz w:val="28"/>
          <w:szCs w:val="28"/>
          <w:lang w:val="en-GB"/>
        </w:rPr>
        <w:t>O regiune accesibilă</w:t>
      </w:r>
    </w:p>
    <w:p w:rsidR="00F000AD" w:rsidRPr="00F000AD" w:rsidRDefault="00F000AD" w:rsidP="00F000AD">
      <w:pPr>
        <w:rPr>
          <w:b/>
          <w:iCs/>
          <w:lang w:val="en-GB"/>
        </w:rPr>
      </w:pPr>
      <w:r w:rsidRPr="00F143F9">
        <w:rPr>
          <w:b/>
          <w:iCs/>
          <w:lang w:val="en-GB"/>
        </w:rPr>
        <w:t xml:space="preserve">2.A.2 Indicative breakdown of the programmed resources (EU) by type of intervention </w:t>
      </w:r>
      <w:r w:rsidRPr="00F143F9">
        <w:rPr>
          <w:iCs/>
          <w:lang w:val="en-GB"/>
        </w:rPr>
        <w:t xml:space="preserve">(not applicable to the EMFF) </w:t>
      </w:r>
      <w:r w:rsidRPr="00F143F9">
        <w:rPr>
          <w:i/>
          <w:lang w:val="en-GB"/>
        </w:rPr>
        <w:t>[This was point 2.1.1.3 in the Commission proposal and has been moved up following changes in Article 17(3)(c) CPR]</w:t>
      </w:r>
    </w:p>
    <w:p w:rsidR="00F000AD" w:rsidRPr="00F000AD" w:rsidRDefault="00F000AD" w:rsidP="00F000AD">
      <w:pPr>
        <w:rPr>
          <w:b/>
          <w:i/>
          <w:iCs/>
          <w:lang w:val="en-GB"/>
        </w:rPr>
      </w:pPr>
      <w:r w:rsidRPr="00F000AD">
        <w:rPr>
          <w:i/>
          <w:lang w:val="en-GB"/>
        </w:rPr>
        <w:t>Reference: Article 17(3)(c) CPR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433"/>
        <w:gridCol w:w="2486"/>
        <w:gridCol w:w="1733"/>
      </w:tblGrid>
      <w:tr w:rsidR="00F000AD" w:rsidRPr="00F000AD" w:rsidTr="00F156FF">
        <w:tc>
          <w:tcPr>
            <w:tcW w:w="8635" w:type="dxa"/>
            <w:gridSpan w:val="5"/>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rPr>
                <w:b/>
                <w:iCs/>
                <w:lang w:val="en-US"/>
              </w:rPr>
            </w:pPr>
            <w:r w:rsidRPr="00F000AD">
              <w:rPr>
                <w:b/>
                <w:iCs/>
                <w:lang w:val="en-US"/>
              </w:rPr>
              <w:t>Table 4: Dimension 1 – intervention field</w:t>
            </w:r>
          </w:p>
        </w:tc>
      </w:tr>
      <w:tr w:rsidR="00F000AD" w:rsidRPr="00F000AD" w:rsidTr="00F156FF">
        <w:tc>
          <w:tcPr>
            <w:tcW w:w="1599" w:type="dxa"/>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rPr>
                <w:b/>
                <w:iCs/>
                <w:lang w:val="en-US"/>
              </w:rPr>
            </w:pPr>
            <w:r w:rsidRPr="00F000AD">
              <w:rPr>
                <w:b/>
                <w:iCs/>
                <w:lang w:val="en-US"/>
              </w:rPr>
              <w:t>Priority No</w:t>
            </w:r>
          </w:p>
        </w:tc>
        <w:tc>
          <w:tcPr>
            <w:tcW w:w="1384" w:type="dxa"/>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rPr>
                <w:b/>
                <w:iCs/>
                <w:lang w:val="en-US"/>
              </w:rPr>
            </w:pPr>
            <w:r w:rsidRPr="00F000AD">
              <w:rPr>
                <w:b/>
                <w:iCs/>
                <w:lang w:val="en-US"/>
              </w:rPr>
              <w:t>Fund</w:t>
            </w:r>
          </w:p>
        </w:tc>
        <w:tc>
          <w:tcPr>
            <w:tcW w:w="1433" w:type="dxa"/>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rPr>
                <w:b/>
                <w:iCs/>
                <w:lang w:val="en-US"/>
              </w:rPr>
            </w:pPr>
            <w:r w:rsidRPr="00F000AD">
              <w:rPr>
                <w:b/>
                <w:iCs/>
                <w:lang w:val="en-US"/>
              </w:rPr>
              <w:t>Category of region</w:t>
            </w:r>
            <w:r w:rsidRPr="00F000AD">
              <w:rPr>
                <w:b/>
                <w:iCs/>
                <w:vertAlign w:val="superscript"/>
                <w:lang w:val="en-US"/>
              </w:rPr>
              <w:footnoteReference w:id="44"/>
            </w:r>
          </w:p>
        </w:tc>
        <w:tc>
          <w:tcPr>
            <w:tcW w:w="2486" w:type="dxa"/>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rPr>
                <w:b/>
                <w:iCs/>
                <w:lang w:val="en-US"/>
              </w:rPr>
            </w:pPr>
            <w:r w:rsidRPr="00F000AD">
              <w:rPr>
                <w:b/>
                <w:iCs/>
                <w:lang w:val="en-US"/>
              </w:rPr>
              <w:t xml:space="preserve">Code </w:t>
            </w:r>
          </w:p>
        </w:tc>
        <w:tc>
          <w:tcPr>
            <w:tcW w:w="1733" w:type="dxa"/>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rPr>
                <w:b/>
                <w:iCs/>
                <w:lang w:val="en-US"/>
              </w:rPr>
            </w:pPr>
            <w:r w:rsidRPr="00F000AD">
              <w:rPr>
                <w:b/>
                <w:iCs/>
                <w:lang w:val="en-US"/>
              </w:rPr>
              <w:t>Amount (EUR)</w:t>
            </w:r>
          </w:p>
        </w:tc>
      </w:tr>
      <w:tr w:rsidR="00F000AD" w:rsidRPr="00F000AD" w:rsidTr="00F156FF">
        <w:tc>
          <w:tcPr>
            <w:tcW w:w="1599" w:type="dxa"/>
            <w:tcBorders>
              <w:top w:val="single" w:sz="4" w:space="0" w:color="auto"/>
              <w:left w:val="single" w:sz="4" w:space="0" w:color="auto"/>
              <w:bottom w:val="single" w:sz="4" w:space="0" w:color="auto"/>
              <w:right w:val="single" w:sz="4" w:space="0" w:color="auto"/>
            </w:tcBorders>
          </w:tcPr>
          <w:p w:rsidR="00F000AD" w:rsidRPr="00F000AD" w:rsidRDefault="00E238B0" w:rsidP="00F000AD">
            <w:pPr>
              <w:rPr>
                <w:iCs/>
                <w:lang w:val="en-US"/>
              </w:rPr>
            </w:pPr>
            <w:r>
              <w:rPr>
                <w:iCs/>
                <w:lang w:val="en-US"/>
              </w:rPr>
              <w:t>4</w:t>
            </w:r>
            <w:r w:rsidR="00F156FF">
              <w:rPr>
                <w:iCs/>
                <w:lang w:val="en-US"/>
              </w:rPr>
              <w:t>.0</w:t>
            </w:r>
          </w:p>
        </w:tc>
        <w:tc>
          <w:tcPr>
            <w:tcW w:w="1384" w:type="dxa"/>
            <w:tcBorders>
              <w:top w:val="single" w:sz="4" w:space="0" w:color="auto"/>
              <w:left w:val="single" w:sz="4" w:space="0" w:color="auto"/>
              <w:bottom w:val="single" w:sz="4" w:space="0" w:color="auto"/>
              <w:right w:val="single" w:sz="4" w:space="0" w:color="auto"/>
            </w:tcBorders>
          </w:tcPr>
          <w:p w:rsidR="00F000AD" w:rsidRPr="00F000AD" w:rsidRDefault="00E238B0" w:rsidP="00F000AD">
            <w:pPr>
              <w:rPr>
                <w:b/>
                <w:iCs/>
                <w:lang w:val="en-US"/>
              </w:rPr>
            </w:pPr>
            <w:r>
              <w:rPr>
                <w:b/>
                <w:iCs/>
                <w:lang w:val="en-US"/>
              </w:rPr>
              <w:t>FEDR</w:t>
            </w:r>
          </w:p>
        </w:tc>
        <w:tc>
          <w:tcPr>
            <w:tcW w:w="1433" w:type="dxa"/>
            <w:tcBorders>
              <w:top w:val="single" w:sz="4" w:space="0" w:color="auto"/>
              <w:left w:val="single" w:sz="4" w:space="0" w:color="auto"/>
              <w:bottom w:val="single" w:sz="4" w:space="0" w:color="auto"/>
              <w:right w:val="single" w:sz="4" w:space="0" w:color="auto"/>
            </w:tcBorders>
          </w:tcPr>
          <w:p w:rsidR="00F000AD" w:rsidRPr="00F000AD" w:rsidRDefault="009232BB" w:rsidP="00F000AD">
            <w:pPr>
              <w:rPr>
                <w:b/>
                <w:iCs/>
                <w:lang w:val="en-US"/>
              </w:rPr>
            </w:pPr>
            <w:r>
              <w:rPr>
                <w:b/>
                <w:iCs/>
                <w:lang w:val="en-US"/>
              </w:rPr>
              <w:t>Mai putin dezvoltata</w:t>
            </w:r>
          </w:p>
        </w:tc>
        <w:tc>
          <w:tcPr>
            <w:tcW w:w="2486" w:type="dxa"/>
            <w:tcBorders>
              <w:top w:val="single" w:sz="4" w:space="0" w:color="auto"/>
              <w:left w:val="single" w:sz="4" w:space="0" w:color="auto"/>
              <w:bottom w:val="single" w:sz="4" w:space="0" w:color="auto"/>
              <w:right w:val="single" w:sz="4" w:space="0" w:color="auto"/>
            </w:tcBorders>
          </w:tcPr>
          <w:p w:rsidR="00F156FF" w:rsidRPr="00DE593C" w:rsidRDefault="00F156FF" w:rsidP="00F156FF">
            <w:pPr>
              <w:spacing w:after="60"/>
              <w:jc w:val="both"/>
              <w:rPr>
                <w:noProof/>
                <w:sz w:val="20"/>
              </w:rPr>
            </w:pPr>
            <w:r w:rsidRPr="00DE593C">
              <w:rPr>
                <w:noProof/>
                <w:sz w:val="20"/>
              </w:rPr>
              <w:t>059</w:t>
            </w:r>
            <w:r w:rsidR="002D18AF" w:rsidRPr="00DE593C">
              <w:rPr>
                <w:noProof/>
                <w:sz w:val="20"/>
              </w:rPr>
              <w:t>- Newly built or upgraded other national, regional and local access roads</w:t>
            </w:r>
          </w:p>
          <w:p w:rsidR="00F000AD" w:rsidRPr="00DE593C" w:rsidRDefault="00F000AD" w:rsidP="00F156FF">
            <w:pPr>
              <w:rPr>
                <w:iCs/>
                <w:lang w:val="en-US"/>
              </w:rPr>
            </w:pPr>
          </w:p>
        </w:tc>
        <w:tc>
          <w:tcPr>
            <w:tcW w:w="1733" w:type="dxa"/>
            <w:tcBorders>
              <w:top w:val="single" w:sz="4" w:space="0" w:color="auto"/>
              <w:left w:val="single" w:sz="4" w:space="0" w:color="auto"/>
              <w:bottom w:val="single" w:sz="4" w:space="0" w:color="auto"/>
              <w:right w:val="single" w:sz="4" w:space="0" w:color="auto"/>
            </w:tcBorders>
          </w:tcPr>
          <w:p w:rsidR="00F000AD" w:rsidRPr="00DE593C" w:rsidRDefault="006521FE" w:rsidP="00F000AD">
            <w:pPr>
              <w:rPr>
                <w:iCs/>
                <w:lang w:val="en-US"/>
              </w:rPr>
            </w:pPr>
            <w:r>
              <w:rPr>
                <w:iCs/>
                <w:lang w:val="en-US"/>
              </w:rPr>
              <w:t>38.031.000</w:t>
            </w:r>
          </w:p>
        </w:tc>
      </w:tr>
      <w:tr w:rsidR="002D18AF" w:rsidRPr="00F000AD" w:rsidTr="00E95FAC">
        <w:tc>
          <w:tcPr>
            <w:tcW w:w="1599" w:type="dxa"/>
            <w:tcBorders>
              <w:top w:val="single" w:sz="4" w:space="0" w:color="auto"/>
              <w:left w:val="single" w:sz="4" w:space="0" w:color="auto"/>
              <w:bottom w:val="single" w:sz="4" w:space="0" w:color="auto"/>
              <w:right w:val="single" w:sz="4" w:space="0" w:color="auto"/>
            </w:tcBorders>
          </w:tcPr>
          <w:p w:rsidR="002D18AF" w:rsidRDefault="002D18AF" w:rsidP="002D18AF">
            <w:pPr>
              <w:rPr>
                <w:iCs/>
                <w:lang w:val="en-US"/>
              </w:rPr>
            </w:pPr>
          </w:p>
        </w:tc>
        <w:tc>
          <w:tcPr>
            <w:tcW w:w="1384" w:type="dxa"/>
            <w:tcBorders>
              <w:top w:val="single" w:sz="4" w:space="0" w:color="auto"/>
              <w:left w:val="single" w:sz="4" w:space="0" w:color="auto"/>
              <w:bottom w:val="single" w:sz="4" w:space="0" w:color="auto"/>
              <w:right w:val="single" w:sz="4" w:space="0" w:color="auto"/>
            </w:tcBorders>
          </w:tcPr>
          <w:p w:rsidR="002D18AF" w:rsidRDefault="002D18AF" w:rsidP="002D18AF">
            <w:pPr>
              <w:rPr>
                <w:b/>
                <w:iCs/>
                <w:lang w:val="en-US"/>
              </w:rPr>
            </w:pPr>
          </w:p>
        </w:tc>
        <w:tc>
          <w:tcPr>
            <w:tcW w:w="1433" w:type="dxa"/>
            <w:tcBorders>
              <w:top w:val="single" w:sz="4" w:space="0" w:color="auto"/>
              <w:left w:val="single" w:sz="4" w:space="0" w:color="auto"/>
              <w:bottom w:val="single" w:sz="4" w:space="0" w:color="auto"/>
              <w:right w:val="single" w:sz="4" w:space="0" w:color="auto"/>
            </w:tcBorders>
          </w:tcPr>
          <w:p w:rsidR="002D18AF" w:rsidRDefault="002D18AF" w:rsidP="002D18AF">
            <w:pPr>
              <w:rPr>
                <w:b/>
                <w:iCs/>
                <w:lang w:val="en-US"/>
              </w:rPr>
            </w:pPr>
          </w:p>
        </w:tc>
        <w:tc>
          <w:tcPr>
            <w:tcW w:w="2486" w:type="dxa"/>
            <w:tcBorders>
              <w:top w:val="single" w:sz="4" w:space="0" w:color="auto"/>
              <w:left w:val="single" w:sz="4" w:space="0" w:color="auto"/>
              <w:bottom w:val="single" w:sz="4" w:space="0" w:color="auto"/>
              <w:right w:val="single" w:sz="4" w:space="0" w:color="auto"/>
            </w:tcBorders>
            <w:vAlign w:val="center"/>
          </w:tcPr>
          <w:p w:rsidR="002D18AF" w:rsidRPr="00DE593C" w:rsidRDefault="00F9499D" w:rsidP="002D18AF">
            <w:pPr>
              <w:spacing w:after="60"/>
              <w:jc w:val="both"/>
              <w:rPr>
                <w:noProof/>
                <w:sz w:val="20"/>
              </w:rPr>
            </w:pPr>
            <w:r w:rsidRPr="00DE593C">
              <w:rPr>
                <w:noProof/>
                <w:sz w:val="20"/>
              </w:rPr>
              <w:t xml:space="preserve">062 </w:t>
            </w:r>
            <w:r w:rsidR="002D18AF" w:rsidRPr="00DE593C">
              <w:rPr>
                <w:noProof/>
                <w:sz w:val="20"/>
              </w:rPr>
              <w:t>Other reconstructed or modernised roads (motorway, national, regional or local)</w:t>
            </w:r>
          </w:p>
        </w:tc>
        <w:tc>
          <w:tcPr>
            <w:tcW w:w="1733" w:type="dxa"/>
            <w:tcBorders>
              <w:top w:val="single" w:sz="4" w:space="0" w:color="auto"/>
              <w:left w:val="single" w:sz="4" w:space="0" w:color="auto"/>
              <w:bottom w:val="single" w:sz="4" w:space="0" w:color="auto"/>
              <w:right w:val="single" w:sz="4" w:space="0" w:color="auto"/>
            </w:tcBorders>
          </w:tcPr>
          <w:p w:rsidR="002D18AF" w:rsidRPr="00DE593C" w:rsidRDefault="002D18AF" w:rsidP="0009117E">
            <w:pPr>
              <w:rPr>
                <w:iCs/>
                <w:lang w:val="en-US"/>
              </w:rPr>
            </w:pPr>
            <w:r w:rsidRPr="00DE593C">
              <w:rPr>
                <w:iCs/>
                <w:lang w:val="en-US"/>
              </w:rPr>
              <w:t>1</w:t>
            </w:r>
            <w:r w:rsidR="0009117E" w:rsidRPr="00DE593C">
              <w:rPr>
                <w:iCs/>
                <w:lang w:val="en-US"/>
              </w:rPr>
              <w:t>3</w:t>
            </w:r>
            <w:r w:rsidRPr="00DE593C">
              <w:rPr>
                <w:iCs/>
                <w:lang w:val="en-US"/>
              </w:rPr>
              <w:t>0.000.000</w:t>
            </w:r>
          </w:p>
        </w:tc>
      </w:tr>
    </w:tbl>
    <w:p w:rsidR="00F000AD" w:rsidRPr="00F000AD" w:rsidRDefault="00F000AD" w:rsidP="00F000AD">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433"/>
        <w:gridCol w:w="1053"/>
        <w:gridCol w:w="2175"/>
      </w:tblGrid>
      <w:tr w:rsidR="00F000AD" w:rsidRPr="00F000AD" w:rsidTr="00F000AD">
        <w:tc>
          <w:tcPr>
            <w:tcW w:w="7644" w:type="dxa"/>
            <w:gridSpan w:val="5"/>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rPr>
                <w:b/>
                <w:iCs/>
                <w:lang w:val="en-US"/>
              </w:rPr>
            </w:pPr>
            <w:r w:rsidRPr="00F000AD">
              <w:rPr>
                <w:b/>
                <w:iCs/>
                <w:lang w:val="en-US"/>
              </w:rPr>
              <w:t>Table 5: Dimension 2 – form of support</w:t>
            </w:r>
          </w:p>
        </w:tc>
      </w:tr>
      <w:tr w:rsidR="00F000AD" w:rsidRPr="00F000AD" w:rsidTr="00F000AD">
        <w:tc>
          <w:tcPr>
            <w:tcW w:w="1599" w:type="dxa"/>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rPr>
                <w:b/>
                <w:iCs/>
                <w:lang w:val="en-US"/>
              </w:rPr>
            </w:pPr>
            <w:r w:rsidRPr="00F000AD">
              <w:rPr>
                <w:b/>
                <w:iCs/>
                <w:lang w:val="en-US"/>
              </w:rPr>
              <w:t>Priority No</w:t>
            </w:r>
          </w:p>
        </w:tc>
        <w:tc>
          <w:tcPr>
            <w:tcW w:w="1384" w:type="dxa"/>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rPr>
                <w:b/>
                <w:iCs/>
                <w:lang w:val="en-US"/>
              </w:rPr>
            </w:pPr>
            <w:r w:rsidRPr="00F000AD">
              <w:rPr>
                <w:b/>
                <w:iCs/>
                <w:lang w:val="en-US"/>
              </w:rPr>
              <w:t>Fund</w:t>
            </w:r>
          </w:p>
        </w:tc>
        <w:tc>
          <w:tcPr>
            <w:tcW w:w="1433" w:type="dxa"/>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rPr>
                <w:b/>
                <w:iCs/>
                <w:lang w:val="en-US"/>
              </w:rPr>
            </w:pPr>
            <w:r w:rsidRPr="00F000AD">
              <w:rPr>
                <w:b/>
                <w:iCs/>
                <w:lang w:val="en-US"/>
              </w:rPr>
              <w:t>Category of region</w:t>
            </w:r>
            <w:r w:rsidRPr="00F000AD">
              <w:rPr>
                <w:b/>
                <w:iCs/>
                <w:vertAlign w:val="superscript"/>
                <w:lang w:val="en-US"/>
              </w:rPr>
              <w:footnoteReference w:id="45"/>
            </w:r>
          </w:p>
        </w:tc>
        <w:tc>
          <w:tcPr>
            <w:tcW w:w="1053" w:type="dxa"/>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rPr>
                <w:b/>
                <w:iCs/>
                <w:lang w:val="en-US"/>
              </w:rPr>
            </w:pPr>
            <w:r w:rsidRPr="00F000AD">
              <w:rPr>
                <w:b/>
                <w:iCs/>
                <w:lang w:val="en-US"/>
              </w:rPr>
              <w:t xml:space="preserve">Code </w:t>
            </w:r>
          </w:p>
        </w:tc>
        <w:tc>
          <w:tcPr>
            <w:tcW w:w="2175" w:type="dxa"/>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rPr>
                <w:b/>
                <w:iCs/>
                <w:lang w:val="en-US"/>
              </w:rPr>
            </w:pPr>
            <w:r w:rsidRPr="00F000AD">
              <w:rPr>
                <w:b/>
                <w:iCs/>
                <w:lang w:val="en-US"/>
              </w:rPr>
              <w:t>Amount (EUR)</w:t>
            </w:r>
          </w:p>
        </w:tc>
      </w:tr>
      <w:tr w:rsidR="00F156FF" w:rsidRPr="00F000AD" w:rsidTr="00F000AD">
        <w:tc>
          <w:tcPr>
            <w:tcW w:w="1599" w:type="dxa"/>
            <w:tcBorders>
              <w:top w:val="single" w:sz="4" w:space="0" w:color="auto"/>
              <w:left w:val="single" w:sz="4" w:space="0" w:color="auto"/>
              <w:bottom w:val="single" w:sz="4" w:space="0" w:color="auto"/>
              <w:right w:val="single" w:sz="4" w:space="0" w:color="auto"/>
            </w:tcBorders>
          </w:tcPr>
          <w:p w:rsidR="00F156FF" w:rsidRPr="00F000AD" w:rsidRDefault="00F156FF" w:rsidP="00F156FF">
            <w:pPr>
              <w:rPr>
                <w:b/>
                <w:iCs/>
                <w:lang w:val="en-US"/>
              </w:rPr>
            </w:pPr>
            <w:r>
              <w:rPr>
                <w:b/>
                <w:iCs/>
                <w:lang w:val="en-US"/>
              </w:rPr>
              <w:t>4.0</w:t>
            </w:r>
          </w:p>
        </w:tc>
        <w:tc>
          <w:tcPr>
            <w:tcW w:w="1384" w:type="dxa"/>
            <w:tcBorders>
              <w:top w:val="single" w:sz="4" w:space="0" w:color="auto"/>
              <w:left w:val="single" w:sz="4" w:space="0" w:color="auto"/>
              <w:bottom w:val="single" w:sz="4" w:space="0" w:color="auto"/>
              <w:right w:val="single" w:sz="4" w:space="0" w:color="auto"/>
            </w:tcBorders>
          </w:tcPr>
          <w:p w:rsidR="00F156FF" w:rsidRPr="00F000AD" w:rsidRDefault="00F156FF" w:rsidP="00F156FF">
            <w:pPr>
              <w:rPr>
                <w:b/>
                <w:iCs/>
                <w:lang w:val="en-US"/>
              </w:rPr>
            </w:pPr>
            <w:r>
              <w:rPr>
                <w:b/>
                <w:iCs/>
                <w:lang w:val="en-US"/>
              </w:rPr>
              <w:t>FEDR</w:t>
            </w:r>
          </w:p>
        </w:tc>
        <w:tc>
          <w:tcPr>
            <w:tcW w:w="1433" w:type="dxa"/>
            <w:tcBorders>
              <w:top w:val="single" w:sz="4" w:space="0" w:color="auto"/>
              <w:left w:val="single" w:sz="4" w:space="0" w:color="auto"/>
              <w:bottom w:val="single" w:sz="4" w:space="0" w:color="auto"/>
              <w:right w:val="single" w:sz="4" w:space="0" w:color="auto"/>
            </w:tcBorders>
          </w:tcPr>
          <w:p w:rsidR="00F156FF" w:rsidRPr="00F000AD" w:rsidRDefault="00F156FF" w:rsidP="00F156FF">
            <w:pPr>
              <w:rPr>
                <w:b/>
                <w:iCs/>
                <w:lang w:val="en-US"/>
              </w:rPr>
            </w:pPr>
            <w:r>
              <w:rPr>
                <w:b/>
                <w:iCs/>
                <w:lang w:val="en-US"/>
              </w:rPr>
              <w:t>Mai pu</w:t>
            </w:r>
            <w:r w:rsidR="001B73C4">
              <w:rPr>
                <w:b/>
                <w:iCs/>
                <w:lang w:val="en-US"/>
              </w:rPr>
              <w:t>ț</w:t>
            </w:r>
            <w:r>
              <w:rPr>
                <w:b/>
                <w:iCs/>
                <w:lang w:val="en-US"/>
              </w:rPr>
              <w:t>in dezvoltat</w:t>
            </w:r>
            <w:r w:rsidR="001B73C4">
              <w:rPr>
                <w:b/>
                <w:iCs/>
                <w:lang w:val="en-US"/>
              </w:rPr>
              <w:t>ă</w:t>
            </w:r>
          </w:p>
        </w:tc>
        <w:tc>
          <w:tcPr>
            <w:tcW w:w="1053" w:type="dxa"/>
            <w:tcBorders>
              <w:top w:val="single" w:sz="4" w:space="0" w:color="auto"/>
              <w:left w:val="single" w:sz="4" w:space="0" w:color="auto"/>
              <w:bottom w:val="single" w:sz="4" w:space="0" w:color="auto"/>
              <w:right w:val="single" w:sz="4" w:space="0" w:color="auto"/>
            </w:tcBorders>
          </w:tcPr>
          <w:p w:rsidR="00F156FF" w:rsidRPr="00F000AD" w:rsidRDefault="00F156FF" w:rsidP="00F156FF">
            <w:pPr>
              <w:rPr>
                <w:b/>
                <w:iCs/>
                <w:lang w:val="en-US"/>
              </w:rPr>
            </w:pPr>
            <w:r>
              <w:rPr>
                <w:b/>
                <w:iCs/>
                <w:lang w:val="en-US"/>
              </w:rPr>
              <w:t>01</w:t>
            </w:r>
          </w:p>
        </w:tc>
        <w:tc>
          <w:tcPr>
            <w:tcW w:w="2175" w:type="dxa"/>
            <w:tcBorders>
              <w:top w:val="single" w:sz="4" w:space="0" w:color="auto"/>
              <w:left w:val="single" w:sz="4" w:space="0" w:color="auto"/>
              <w:bottom w:val="single" w:sz="4" w:space="0" w:color="auto"/>
              <w:right w:val="single" w:sz="4" w:space="0" w:color="auto"/>
            </w:tcBorders>
          </w:tcPr>
          <w:p w:rsidR="00F156FF" w:rsidRPr="00F000AD" w:rsidRDefault="006521FE" w:rsidP="00F156FF">
            <w:pPr>
              <w:rPr>
                <w:b/>
                <w:iCs/>
                <w:lang w:val="en-US"/>
              </w:rPr>
            </w:pPr>
            <w:r>
              <w:rPr>
                <w:b/>
                <w:iCs/>
                <w:lang w:val="en-US"/>
              </w:rPr>
              <w:t>168.031.000</w:t>
            </w:r>
          </w:p>
        </w:tc>
      </w:tr>
    </w:tbl>
    <w:p w:rsidR="00F000AD" w:rsidRPr="00F000AD" w:rsidRDefault="00F000AD" w:rsidP="00F000AD">
      <w:pPr>
        <w:rPr>
          <w:b/>
          <w:iC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433"/>
        <w:gridCol w:w="1053"/>
        <w:gridCol w:w="1644"/>
        <w:gridCol w:w="531"/>
      </w:tblGrid>
      <w:tr w:rsidR="00F000AD" w:rsidRPr="00F000AD" w:rsidTr="00F000AD">
        <w:tc>
          <w:tcPr>
            <w:tcW w:w="7644" w:type="dxa"/>
            <w:gridSpan w:val="6"/>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rPr>
                <w:b/>
                <w:iCs/>
                <w:lang w:val="en-US"/>
              </w:rPr>
            </w:pPr>
            <w:r w:rsidRPr="00F000AD">
              <w:rPr>
                <w:b/>
                <w:iCs/>
                <w:lang w:val="en-US"/>
              </w:rPr>
              <w:t>Table 6: Dimension 3 – territorial delivery mechanism and territorial focus</w:t>
            </w:r>
          </w:p>
        </w:tc>
      </w:tr>
      <w:tr w:rsidR="00F000AD" w:rsidRPr="00F000AD" w:rsidTr="00F000AD">
        <w:tc>
          <w:tcPr>
            <w:tcW w:w="1599" w:type="dxa"/>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rPr>
                <w:b/>
                <w:iCs/>
                <w:lang w:val="en-US"/>
              </w:rPr>
            </w:pPr>
            <w:r w:rsidRPr="00F000AD">
              <w:rPr>
                <w:b/>
                <w:iCs/>
                <w:lang w:val="en-US"/>
              </w:rPr>
              <w:t>Priority No</w:t>
            </w:r>
          </w:p>
        </w:tc>
        <w:tc>
          <w:tcPr>
            <w:tcW w:w="1384" w:type="dxa"/>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rPr>
                <w:b/>
                <w:iCs/>
                <w:lang w:val="en-US"/>
              </w:rPr>
            </w:pPr>
            <w:r w:rsidRPr="00F000AD">
              <w:rPr>
                <w:b/>
                <w:iCs/>
                <w:lang w:val="en-US"/>
              </w:rPr>
              <w:t>Fund</w:t>
            </w:r>
          </w:p>
        </w:tc>
        <w:tc>
          <w:tcPr>
            <w:tcW w:w="1433" w:type="dxa"/>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rPr>
                <w:b/>
                <w:iCs/>
                <w:lang w:val="en-US"/>
              </w:rPr>
            </w:pPr>
            <w:r w:rsidRPr="00F000AD">
              <w:rPr>
                <w:b/>
                <w:iCs/>
                <w:lang w:val="en-US"/>
              </w:rPr>
              <w:t xml:space="preserve">Category of </w:t>
            </w:r>
            <w:r w:rsidRPr="00F000AD">
              <w:rPr>
                <w:b/>
                <w:iCs/>
                <w:lang w:val="en-US"/>
              </w:rPr>
              <w:lastRenderedPageBreak/>
              <w:t>region</w:t>
            </w:r>
            <w:r w:rsidRPr="00F000AD">
              <w:rPr>
                <w:b/>
                <w:iCs/>
                <w:vertAlign w:val="superscript"/>
                <w:lang w:val="en-US"/>
              </w:rPr>
              <w:footnoteReference w:id="46"/>
            </w:r>
          </w:p>
        </w:tc>
        <w:tc>
          <w:tcPr>
            <w:tcW w:w="1053" w:type="dxa"/>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rPr>
                <w:b/>
                <w:iCs/>
                <w:lang w:val="en-US"/>
              </w:rPr>
            </w:pPr>
            <w:r w:rsidRPr="00F000AD">
              <w:rPr>
                <w:b/>
                <w:iCs/>
                <w:lang w:val="en-US"/>
              </w:rPr>
              <w:lastRenderedPageBreak/>
              <w:t xml:space="preserve">Code </w:t>
            </w:r>
          </w:p>
        </w:tc>
        <w:tc>
          <w:tcPr>
            <w:tcW w:w="2175" w:type="dxa"/>
            <w:gridSpan w:val="2"/>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rPr>
                <w:b/>
                <w:iCs/>
                <w:lang w:val="en-US"/>
              </w:rPr>
            </w:pPr>
            <w:r w:rsidRPr="00F000AD">
              <w:rPr>
                <w:b/>
                <w:iCs/>
                <w:lang w:val="en-US"/>
              </w:rPr>
              <w:t>Amount (EUR)</w:t>
            </w:r>
          </w:p>
        </w:tc>
      </w:tr>
      <w:tr w:rsidR="00E14B2C" w:rsidRPr="00F000AD" w:rsidTr="00E95FAC">
        <w:tc>
          <w:tcPr>
            <w:tcW w:w="1599" w:type="dxa"/>
            <w:tcBorders>
              <w:top w:val="single" w:sz="4" w:space="0" w:color="auto"/>
              <w:left w:val="single" w:sz="4" w:space="0" w:color="auto"/>
              <w:bottom w:val="single" w:sz="4" w:space="0" w:color="auto"/>
              <w:right w:val="single" w:sz="4" w:space="0" w:color="auto"/>
            </w:tcBorders>
          </w:tcPr>
          <w:p w:rsidR="00E14B2C" w:rsidRPr="00F000AD" w:rsidRDefault="00E14B2C" w:rsidP="00E14B2C">
            <w:pPr>
              <w:rPr>
                <w:b/>
                <w:iCs/>
                <w:lang w:val="en-US"/>
              </w:rPr>
            </w:pPr>
            <w:r>
              <w:rPr>
                <w:b/>
                <w:iCs/>
                <w:lang w:val="en-US"/>
              </w:rPr>
              <w:lastRenderedPageBreak/>
              <w:t>4.0</w:t>
            </w:r>
          </w:p>
        </w:tc>
        <w:tc>
          <w:tcPr>
            <w:tcW w:w="1384" w:type="dxa"/>
            <w:tcBorders>
              <w:top w:val="single" w:sz="4" w:space="0" w:color="auto"/>
              <w:left w:val="single" w:sz="4" w:space="0" w:color="auto"/>
              <w:bottom w:val="single" w:sz="4" w:space="0" w:color="auto"/>
              <w:right w:val="single" w:sz="4" w:space="0" w:color="auto"/>
            </w:tcBorders>
          </w:tcPr>
          <w:p w:rsidR="00E14B2C" w:rsidRPr="00F000AD" w:rsidRDefault="00E14B2C" w:rsidP="00E14B2C">
            <w:pPr>
              <w:rPr>
                <w:b/>
                <w:iCs/>
                <w:lang w:val="en-US"/>
              </w:rPr>
            </w:pPr>
            <w:r>
              <w:rPr>
                <w:b/>
                <w:iCs/>
                <w:lang w:val="en-US"/>
              </w:rPr>
              <w:t>FEDR</w:t>
            </w:r>
          </w:p>
        </w:tc>
        <w:tc>
          <w:tcPr>
            <w:tcW w:w="1433" w:type="dxa"/>
            <w:tcBorders>
              <w:top w:val="single" w:sz="4" w:space="0" w:color="auto"/>
              <w:left w:val="single" w:sz="4" w:space="0" w:color="auto"/>
              <w:bottom w:val="single" w:sz="4" w:space="0" w:color="auto"/>
              <w:right w:val="single" w:sz="4" w:space="0" w:color="auto"/>
            </w:tcBorders>
          </w:tcPr>
          <w:p w:rsidR="00E14B2C" w:rsidRPr="00F000AD" w:rsidRDefault="00E14B2C" w:rsidP="00E14B2C">
            <w:pPr>
              <w:rPr>
                <w:b/>
                <w:iCs/>
                <w:lang w:val="en-US"/>
              </w:rPr>
            </w:pPr>
            <w:r>
              <w:rPr>
                <w:b/>
                <w:iCs/>
                <w:lang w:val="en-US"/>
              </w:rPr>
              <w:t>Mai pu</w:t>
            </w:r>
            <w:r w:rsidR="001B73C4">
              <w:rPr>
                <w:b/>
                <w:iCs/>
                <w:lang w:val="en-US"/>
              </w:rPr>
              <w:t>ț</w:t>
            </w:r>
            <w:r>
              <w:rPr>
                <w:b/>
                <w:iCs/>
                <w:lang w:val="en-US"/>
              </w:rPr>
              <w:t>in dezvoltat</w:t>
            </w:r>
            <w:r w:rsidR="001B73C4">
              <w:rPr>
                <w:b/>
                <w:iCs/>
                <w:lang w:val="en-US"/>
              </w:rPr>
              <w:t>ă</w:t>
            </w:r>
          </w:p>
        </w:tc>
        <w:tc>
          <w:tcPr>
            <w:tcW w:w="1053" w:type="dxa"/>
            <w:tcBorders>
              <w:top w:val="single" w:sz="4" w:space="0" w:color="auto"/>
              <w:left w:val="single" w:sz="4" w:space="0" w:color="auto"/>
              <w:bottom w:val="single" w:sz="4" w:space="0" w:color="auto"/>
              <w:right w:val="single" w:sz="4" w:space="0" w:color="auto"/>
            </w:tcBorders>
          </w:tcPr>
          <w:p w:rsidR="00E14B2C" w:rsidRPr="00F000AD" w:rsidRDefault="00E14B2C" w:rsidP="00E14B2C">
            <w:pPr>
              <w:rPr>
                <w:b/>
                <w:iCs/>
                <w:lang w:val="en-US"/>
              </w:rPr>
            </w:pPr>
            <w:r>
              <w:rPr>
                <w:b/>
                <w:iCs/>
                <w:lang w:val="en-US"/>
              </w:rPr>
              <w:t>48</w:t>
            </w:r>
          </w:p>
        </w:tc>
        <w:tc>
          <w:tcPr>
            <w:tcW w:w="1644" w:type="dxa"/>
            <w:tcBorders>
              <w:top w:val="single" w:sz="4" w:space="0" w:color="auto"/>
              <w:left w:val="single" w:sz="4" w:space="0" w:color="auto"/>
              <w:bottom w:val="single" w:sz="4" w:space="0" w:color="auto"/>
              <w:right w:val="single" w:sz="4" w:space="0" w:color="auto"/>
            </w:tcBorders>
          </w:tcPr>
          <w:p w:rsidR="00E14B2C" w:rsidRPr="00F000AD" w:rsidRDefault="006521FE" w:rsidP="00E14B2C">
            <w:pPr>
              <w:rPr>
                <w:b/>
                <w:iCs/>
                <w:lang w:val="en-US"/>
              </w:rPr>
            </w:pPr>
            <w:r>
              <w:rPr>
                <w:b/>
                <w:iCs/>
                <w:lang w:val="en-US"/>
              </w:rPr>
              <w:t>168.031.000</w:t>
            </w:r>
          </w:p>
        </w:tc>
        <w:tc>
          <w:tcPr>
            <w:tcW w:w="531" w:type="dxa"/>
            <w:tcBorders>
              <w:top w:val="single" w:sz="4" w:space="0" w:color="auto"/>
              <w:left w:val="single" w:sz="4" w:space="0" w:color="auto"/>
              <w:bottom w:val="single" w:sz="4" w:space="0" w:color="auto"/>
              <w:right w:val="single" w:sz="4" w:space="0" w:color="auto"/>
            </w:tcBorders>
          </w:tcPr>
          <w:p w:rsidR="00E14B2C" w:rsidRPr="00F000AD" w:rsidRDefault="00E14B2C" w:rsidP="00E14B2C">
            <w:pPr>
              <w:rPr>
                <w:b/>
                <w:iCs/>
                <w:lang w:val="en-US"/>
              </w:rPr>
            </w:pPr>
          </w:p>
        </w:tc>
      </w:tr>
    </w:tbl>
    <w:p w:rsidR="00F000AD" w:rsidRPr="00F000AD" w:rsidRDefault="00F000AD" w:rsidP="00F000AD">
      <w:pPr>
        <w:rPr>
          <w:b/>
          <w:iC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433"/>
        <w:gridCol w:w="1053"/>
        <w:gridCol w:w="2175"/>
      </w:tblGrid>
      <w:tr w:rsidR="00F000AD" w:rsidRPr="00F000AD" w:rsidTr="00F000AD">
        <w:tc>
          <w:tcPr>
            <w:tcW w:w="7644" w:type="dxa"/>
            <w:gridSpan w:val="5"/>
            <w:tcBorders>
              <w:top w:val="single" w:sz="4" w:space="0" w:color="auto"/>
              <w:left w:val="single" w:sz="4" w:space="0" w:color="auto"/>
              <w:bottom w:val="single" w:sz="4" w:space="0" w:color="auto"/>
              <w:right w:val="single" w:sz="4" w:space="0" w:color="auto"/>
            </w:tcBorders>
            <w:hideMark/>
          </w:tcPr>
          <w:p w:rsidR="00F000AD" w:rsidRPr="00DE593C" w:rsidRDefault="00F000AD" w:rsidP="00F000AD">
            <w:pPr>
              <w:rPr>
                <w:b/>
                <w:iCs/>
                <w:lang w:val="en-US"/>
              </w:rPr>
            </w:pPr>
            <w:r w:rsidRPr="00DE593C">
              <w:rPr>
                <w:b/>
                <w:iCs/>
                <w:lang w:val="en-US"/>
              </w:rPr>
              <w:t>Table 7: Dimension 6 – ESF+ secondary themes</w:t>
            </w:r>
          </w:p>
        </w:tc>
      </w:tr>
      <w:tr w:rsidR="00F000AD" w:rsidRPr="00F000AD" w:rsidTr="00F000AD">
        <w:tc>
          <w:tcPr>
            <w:tcW w:w="1599" w:type="dxa"/>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rPr>
                <w:b/>
                <w:iCs/>
                <w:lang w:val="en-US"/>
              </w:rPr>
            </w:pPr>
            <w:r w:rsidRPr="00F000AD">
              <w:rPr>
                <w:b/>
                <w:iCs/>
                <w:lang w:val="en-US"/>
              </w:rPr>
              <w:t>Priority No</w:t>
            </w:r>
          </w:p>
        </w:tc>
        <w:tc>
          <w:tcPr>
            <w:tcW w:w="1384" w:type="dxa"/>
            <w:tcBorders>
              <w:top w:val="single" w:sz="4" w:space="0" w:color="auto"/>
              <w:left w:val="single" w:sz="4" w:space="0" w:color="auto"/>
              <w:bottom w:val="single" w:sz="4" w:space="0" w:color="auto"/>
              <w:right w:val="single" w:sz="4" w:space="0" w:color="auto"/>
            </w:tcBorders>
            <w:hideMark/>
          </w:tcPr>
          <w:p w:rsidR="00F000AD" w:rsidRPr="00DE593C" w:rsidRDefault="00F000AD" w:rsidP="00F000AD">
            <w:pPr>
              <w:rPr>
                <w:b/>
                <w:iCs/>
                <w:lang w:val="en-US"/>
              </w:rPr>
            </w:pPr>
            <w:r w:rsidRPr="00DE593C">
              <w:rPr>
                <w:b/>
                <w:iCs/>
                <w:lang w:val="en-US"/>
              </w:rPr>
              <w:t>Fund</w:t>
            </w:r>
          </w:p>
        </w:tc>
        <w:tc>
          <w:tcPr>
            <w:tcW w:w="1433" w:type="dxa"/>
            <w:tcBorders>
              <w:top w:val="single" w:sz="4" w:space="0" w:color="auto"/>
              <w:left w:val="single" w:sz="4" w:space="0" w:color="auto"/>
              <w:bottom w:val="single" w:sz="4" w:space="0" w:color="auto"/>
              <w:right w:val="single" w:sz="4" w:space="0" w:color="auto"/>
            </w:tcBorders>
            <w:hideMark/>
          </w:tcPr>
          <w:p w:rsidR="00F000AD" w:rsidRPr="00DE593C" w:rsidRDefault="00F000AD" w:rsidP="00F000AD">
            <w:pPr>
              <w:rPr>
                <w:b/>
                <w:iCs/>
                <w:lang w:val="en-US"/>
              </w:rPr>
            </w:pPr>
            <w:r w:rsidRPr="00DE593C">
              <w:rPr>
                <w:b/>
                <w:iCs/>
                <w:lang w:val="en-US"/>
              </w:rPr>
              <w:t>Category of region</w:t>
            </w:r>
          </w:p>
        </w:tc>
        <w:tc>
          <w:tcPr>
            <w:tcW w:w="1053" w:type="dxa"/>
            <w:tcBorders>
              <w:top w:val="single" w:sz="4" w:space="0" w:color="auto"/>
              <w:left w:val="single" w:sz="4" w:space="0" w:color="auto"/>
              <w:bottom w:val="single" w:sz="4" w:space="0" w:color="auto"/>
              <w:right w:val="single" w:sz="4" w:space="0" w:color="auto"/>
            </w:tcBorders>
            <w:hideMark/>
          </w:tcPr>
          <w:p w:rsidR="00F000AD" w:rsidRPr="00DE593C" w:rsidRDefault="00F000AD" w:rsidP="00F000AD">
            <w:pPr>
              <w:rPr>
                <w:b/>
                <w:iCs/>
                <w:lang w:val="en-US"/>
              </w:rPr>
            </w:pPr>
            <w:r w:rsidRPr="00DE593C">
              <w:rPr>
                <w:b/>
                <w:iCs/>
                <w:lang w:val="en-US"/>
              </w:rPr>
              <w:t xml:space="preserve">Code </w:t>
            </w:r>
          </w:p>
        </w:tc>
        <w:tc>
          <w:tcPr>
            <w:tcW w:w="2175" w:type="dxa"/>
            <w:tcBorders>
              <w:top w:val="single" w:sz="4" w:space="0" w:color="auto"/>
              <w:left w:val="single" w:sz="4" w:space="0" w:color="auto"/>
              <w:bottom w:val="single" w:sz="4" w:space="0" w:color="auto"/>
              <w:right w:val="single" w:sz="4" w:space="0" w:color="auto"/>
            </w:tcBorders>
            <w:hideMark/>
          </w:tcPr>
          <w:p w:rsidR="00F000AD" w:rsidRPr="00DE593C" w:rsidRDefault="00F000AD" w:rsidP="00F000AD">
            <w:pPr>
              <w:rPr>
                <w:b/>
                <w:iCs/>
                <w:lang w:val="en-US"/>
              </w:rPr>
            </w:pPr>
            <w:r w:rsidRPr="00DE593C">
              <w:rPr>
                <w:b/>
                <w:iCs/>
                <w:lang w:val="en-US"/>
              </w:rPr>
              <w:t>Amount (EUR)</w:t>
            </w:r>
          </w:p>
        </w:tc>
      </w:tr>
      <w:tr w:rsidR="00F000AD" w:rsidRPr="00F000AD" w:rsidTr="00F000AD">
        <w:tc>
          <w:tcPr>
            <w:tcW w:w="1599" w:type="dxa"/>
            <w:tcBorders>
              <w:top w:val="single" w:sz="4" w:space="0" w:color="auto"/>
              <w:left w:val="single" w:sz="4" w:space="0" w:color="auto"/>
              <w:bottom w:val="single" w:sz="4" w:space="0" w:color="auto"/>
              <w:right w:val="single" w:sz="4" w:space="0" w:color="auto"/>
            </w:tcBorders>
          </w:tcPr>
          <w:p w:rsidR="00F000AD" w:rsidRPr="00F000AD" w:rsidRDefault="00F000AD" w:rsidP="00F000AD">
            <w:pPr>
              <w:rPr>
                <w:b/>
                <w:iCs/>
                <w:lang w:val="en-US"/>
              </w:rPr>
            </w:pPr>
          </w:p>
        </w:tc>
        <w:tc>
          <w:tcPr>
            <w:tcW w:w="1384" w:type="dxa"/>
            <w:tcBorders>
              <w:top w:val="single" w:sz="4" w:space="0" w:color="auto"/>
              <w:left w:val="single" w:sz="4" w:space="0" w:color="auto"/>
              <w:bottom w:val="single" w:sz="4" w:space="0" w:color="auto"/>
              <w:right w:val="single" w:sz="4" w:space="0" w:color="auto"/>
            </w:tcBorders>
          </w:tcPr>
          <w:p w:rsidR="00F000AD" w:rsidRPr="00E95FAC" w:rsidRDefault="00F000AD" w:rsidP="00F000AD">
            <w:pPr>
              <w:rPr>
                <w:b/>
                <w:iCs/>
                <w:highlight w:val="yellow"/>
                <w:lang w:val="en-US"/>
              </w:rPr>
            </w:pPr>
          </w:p>
        </w:tc>
        <w:tc>
          <w:tcPr>
            <w:tcW w:w="1433" w:type="dxa"/>
            <w:tcBorders>
              <w:top w:val="single" w:sz="4" w:space="0" w:color="auto"/>
              <w:left w:val="single" w:sz="4" w:space="0" w:color="auto"/>
              <w:bottom w:val="single" w:sz="4" w:space="0" w:color="auto"/>
              <w:right w:val="single" w:sz="4" w:space="0" w:color="auto"/>
            </w:tcBorders>
          </w:tcPr>
          <w:p w:rsidR="00F000AD" w:rsidRPr="00E95FAC" w:rsidRDefault="00F000AD" w:rsidP="00F000AD">
            <w:pPr>
              <w:rPr>
                <w:b/>
                <w:iCs/>
                <w:highlight w:val="yellow"/>
                <w:lang w:val="en-US"/>
              </w:rPr>
            </w:pPr>
          </w:p>
        </w:tc>
        <w:tc>
          <w:tcPr>
            <w:tcW w:w="1053" w:type="dxa"/>
            <w:tcBorders>
              <w:top w:val="single" w:sz="4" w:space="0" w:color="auto"/>
              <w:left w:val="single" w:sz="4" w:space="0" w:color="auto"/>
              <w:bottom w:val="single" w:sz="4" w:space="0" w:color="auto"/>
              <w:right w:val="single" w:sz="4" w:space="0" w:color="auto"/>
            </w:tcBorders>
          </w:tcPr>
          <w:p w:rsidR="00F000AD" w:rsidRPr="00E95FAC" w:rsidRDefault="00F000AD" w:rsidP="00F000AD">
            <w:pPr>
              <w:rPr>
                <w:b/>
                <w:iCs/>
                <w:highlight w:val="yellow"/>
                <w:lang w:val="en-US"/>
              </w:rPr>
            </w:pPr>
          </w:p>
        </w:tc>
        <w:tc>
          <w:tcPr>
            <w:tcW w:w="2175" w:type="dxa"/>
            <w:tcBorders>
              <w:top w:val="single" w:sz="4" w:space="0" w:color="auto"/>
              <w:left w:val="single" w:sz="4" w:space="0" w:color="auto"/>
              <w:bottom w:val="single" w:sz="4" w:space="0" w:color="auto"/>
              <w:right w:val="single" w:sz="4" w:space="0" w:color="auto"/>
            </w:tcBorders>
          </w:tcPr>
          <w:p w:rsidR="00F000AD" w:rsidRPr="00E95FAC" w:rsidRDefault="00F000AD" w:rsidP="00F000AD">
            <w:pPr>
              <w:rPr>
                <w:b/>
                <w:iCs/>
                <w:highlight w:val="yellow"/>
                <w:lang w:val="en-US"/>
              </w:rPr>
            </w:pPr>
          </w:p>
        </w:tc>
      </w:tr>
    </w:tbl>
    <w:p w:rsidR="002E744B" w:rsidRDefault="002E744B" w:rsidP="002E744B">
      <w:pPr>
        <w:spacing w:before="240" w:after="240" w:line="360" w:lineRule="auto"/>
        <w:rPr>
          <w:rFonts w:ascii="Times New Roman" w:eastAsia="Times New Roman" w:hAnsi="Times New Roman" w:cs="Times New Roman"/>
          <w:b/>
          <w:iCs/>
          <w:noProof/>
          <w:sz w:val="24"/>
          <w:szCs w:val="24"/>
          <w:lang w:val="en-GB"/>
        </w:rPr>
      </w:pPr>
      <w:r w:rsidRPr="002E744B">
        <w:rPr>
          <w:rFonts w:ascii="Times New Roman" w:eastAsia="Times New Roman" w:hAnsi="Times New Roman" w:cs="Times New Roman"/>
          <w:b/>
          <w:iCs/>
          <w:noProof/>
          <w:sz w:val="24"/>
          <w:szCs w:val="24"/>
          <w:lang w:val="en-GB"/>
        </w:rPr>
        <w:t>2.A.3 Specific objective</w:t>
      </w:r>
      <w:r w:rsidRPr="002E744B">
        <w:rPr>
          <w:rFonts w:ascii="Times New Roman" w:eastAsia="Times New Roman" w:hAnsi="Times New Roman" w:cs="Times New Roman"/>
          <w:b/>
          <w:bCs/>
          <w:iCs/>
          <w:noProof/>
          <w:sz w:val="24"/>
          <w:szCs w:val="24"/>
          <w:vertAlign w:val="superscript"/>
          <w:lang w:val="en-GB"/>
        </w:rPr>
        <w:footnoteReference w:id="47"/>
      </w:r>
      <w:r w:rsidRPr="002E744B">
        <w:rPr>
          <w:rFonts w:ascii="Times New Roman" w:eastAsia="Times New Roman" w:hAnsi="Times New Roman" w:cs="Times New Roman"/>
          <w:b/>
          <w:iCs/>
          <w:noProof/>
          <w:sz w:val="24"/>
          <w:szCs w:val="24"/>
          <w:lang w:val="en-GB"/>
        </w:rPr>
        <w:t xml:space="preserve"> (Investment for Jobs and Growth goal) repeated for each selected specific objective for priorities other than technical assistance</w:t>
      </w:r>
    </w:p>
    <w:p w:rsidR="00F251D0" w:rsidRDefault="00F251D0" w:rsidP="00F251D0">
      <w:pPr>
        <w:spacing w:after="0" w:line="240" w:lineRule="auto"/>
        <w:rPr>
          <w:rFonts w:ascii="Times New Roman" w:eastAsia="Times New Roman" w:hAnsi="Times New Roman" w:cs="Times New Roman"/>
          <w:b/>
          <w:iCs/>
          <w:noProof/>
          <w:color w:val="002060"/>
          <w:sz w:val="24"/>
          <w:szCs w:val="24"/>
          <w:lang w:val="en-GB"/>
        </w:rPr>
      </w:pPr>
      <w:r>
        <w:rPr>
          <w:rFonts w:ascii="Times New Roman" w:eastAsia="Times New Roman" w:hAnsi="Times New Roman" w:cs="Times New Roman"/>
          <w:b/>
          <w:iCs/>
          <w:noProof/>
          <w:color w:val="002060"/>
          <w:sz w:val="24"/>
          <w:szCs w:val="24"/>
          <w:lang w:val="en-GB"/>
        </w:rPr>
        <w:t xml:space="preserve">OS </w:t>
      </w:r>
      <w:r w:rsidRPr="00F251D0">
        <w:rPr>
          <w:rFonts w:ascii="Times New Roman" w:eastAsia="Times New Roman" w:hAnsi="Times New Roman" w:cs="Times New Roman"/>
          <w:b/>
          <w:iCs/>
          <w:noProof/>
          <w:color w:val="002060"/>
          <w:sz w:val="24"/>
          <w:szCs w:val="24"/>
          <w:lang w:val="en-GB"/>
        </w:rPr>
        <w:t>c (iii) Dezvoltarea unei mobilități naționale, regionale și locale durabile, reziliente în fața schimbărilor climatice, inteligente și intermodale, inclusiv îmbunătățirea accesului la TEN-T și a mobilității transfrontaliere</w:t>
      </w:r>
    </w:p>
    <w:p w:rsidR="00F251D0" w:rsidRDefault="00F251D0" w:rsidP="00F251D0">
      <w:pPr>
        <w:spacing w:after="0" w:line="240" w:lineRule="auto"/>
        <w:rPr>
          <w:i/>
          <w:color w:val="E36C0A" w:themeColor="accent6" w:themeShade="BF"/>
        </w:rPr>
      </w:pPr>
    </w:p>
    <w:p w:rsidR="002E744B" w:rsidRPr="002E744B" w:rsidRDefault="002E744B" w:rsidP="002E744B">
      <w:pPr>
        <w:spacing w:before="240" w:after="240" w:line="360" w:lineRule="auto"/>
        <w:rPr>
          <w:rFonts w:ascii="Times New Roman" w:eastAsia="Times New Roman" w:hAnsi="Times New Roman" w:cs="Times New Roman"/>
          <w:b/>
          <w:iCs/>
          <w:noProof/>
          <w:sz w:val="24"/>
          <w:szCs w:val="24"/>
          <w:lang w:val="en-GB"/>
        </w:rPr>
      </w:pPr>
      <w:r w:rsidRPr="002E744B">
        <w:rPr>
          <w:rFonts w:ascii="Times New Roman" w:eastAsia="Times New Roman" w:hAnsi="Times New Roman" w:cs="Times New Roman"/>
          <w:b/>
          <w:iCs/>
          <w:noProof/>
          <w:sz w:val="24"/>
          <w:szCs w:val="24"/>
          <w:lang w:val="en-GB"/>
        </w:rPr>
        <w:t>2.A.3.1 Interventions of the Funds</w:t>
      </w:r>
    </w:p>
    <w:p w:rsidR="002E744B" w:rsidRPr="002E744B" w:rsidRDefault="002E744B" w:rsidP="002E744B">
      <w:pPr>
        <w:spacing w:before="120" w:after="120" w:line="360" w:lineRule="auto"/>
        <w:rPr>
          <w:rFonts w:ascii="Times New Roman" w:eastAsia="Times New Roman" w:hAnsi="Times New Roman" w:cs="Times New Roman"/>
          <w:i/>
          <w:noProof/>
          <w:sz w:val="24"/>
          <w:szCs w:val="24"/>
          <w:lang w:val="en-GB"/>
        </w:rPr>
      </w:pPr>
      <w:r w:rsidRPr="002E744B">
        <w:rPr>
          <w:rFonts w:ascii="Times New Roman" w:eastAsia="Times New Roman" w:hAnsi="Times New Roman" w:cs="Times New Roman"/>
          <w:i/>
          <w:noProof/>
          <w:sz w:val="24"/>
          <w:szCs w:val="24"/>
          <w:lang w:val="en-GB"/>
        </w:rPr>
        <w:t>Reference: Article 17(3)(d)(i),(iii),(iv),(v),(vi);</w:t>
      </w:r>
    </w:p>
    <w:p w:rsidR="002E744B" w:rsidRPr="002E744B" w:rsidRDefault="002E744B" w:rsidP="002E744B">
      <w:pPr>
        <w:bidi/>
        <w:spacing w:before="120" w:after="120" w:line="360" w:lineRule="auto"/>
        <w:jc w:val="right"/>
        <w:rPr>
          <w:rFonts w:ascii="Times New Roman" w:eastAsia="Times New Roman" w:hAnsi="Times New Roman" w:cs="Times New Roman"/>
          <w:b/>
          <w:bCs/>
          <w:i/>
          <w:iCs/>
          <w:noProof/>
          <w:sz w:val="24"/>
          <w:szCs w:val="24"/>
          <w:u w:val="single"/>
          <w:lang w:val="en-GB"/>
        </w:rPr>
      </w:pPr>
      <w:r w:rsidRPr="002E744B">
        <w:rPr>
          <w:rFonts w:ascii="Times New Roman" w:eastAsia="Times New Roman" w:hAnsi="Times New Roman" w:cs="Times New Roman"/>
          <w:i/>
          <w:noProof/>
          <w:sz w:val="24"/>
          <w:szCs w:val="24"/>
          <w:lang w:val="en-GB"/>
        </w:rPr>
        <w:t>The related types of actions – Article 17(3)(d)(i) CPR; Article 6(2) ESF+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2E744B" w:rsidRPr="002E744B" w:rsidTr="00AE0221">
        <w:tc>
          <w:tcPr>
            <w:tcW w:w="9288" w:type="dxa"/>
            <w:tcBorders>
              <w:top w:val="single" w:sz="4" w:space="0" w:color="auto"/>
              <w:left w:val="single" w:sz="4" w:space="0" w:color="auto"/>
              <w:bottom w:val="single" w:sz="4" w:space="0" w:color="auto"/>
              <w:right w:val="single" w:sz="4" w:space="0" w:color="auto"/>
            </w:tcBorders>
            <w:hideMark/>
          </w:tcPr>
          <w:p w:rsidR="002E744B" w:rsidRDefault="002E744B" w:rsidP="00662466">
            <w:pPr>
              <w:spacing w:before="120" w:after="120" w:line="360" w:lineRule="auto"/>
              <w:jc w:val="both"/>
              <w:rPr>
                <w:rFonts w:ascii="Times New Roman" w:eastAsia="Times New Roman" w:hAnsi="Times New Roman" w:cs="Times New Roman"/>
                <w:i/>
                <w:iCs/>
                <w:noProof/>
                <w:szCs w:val="24"/>
                <w:lang w:val="en-US"/>
              </w:rPr>
            </w:pPr>
            <w:r w:rsidRPr="002E744B">
              <w:rPr>
                <w:rFonts w:ascii="Times New Roman" w:eastAsia="Times New Roman" w:hAnsi="Times New Roman" w:cs="Times New Roman"/>
                <w:i/>
                <w:iCs/>
                <w:noProof/>
                <w:szCs w:val="24"/>
                <w:lang w:val="en-US"/>
              </w:rPr>
              <w:t>Text field [8 000]</w:t>
            </w:r>
          </w:p>
          <w:p w:rsidR="00B82619" w:rsidRPr="00321DEF" w:rsidRDefault="001B7C6E" w:rsidP="00662466">
            <w:pPr>
              <w:spacing w:after="0" w:line="240" w:lineRule="auto"/>
              <w:jc w:val="both"/>
              <w:rPr>
                <w:rFonts w:ascii="Times New Roman" w:eastAsia="Times New Roman" w:hAnsi="Times New Roman" w:cs="Times New Roman"/>
                <w:i/>
                <w:iCs/>
                <w:noProof/>
                <w:sz w:val="20"/>
                <w:szCs w:val="20"/>
                <w:lang w:val="en-US"/>
              </w:rPr>
            </w:pPr>
            <w:r w:rsidRPr="00321DEF">
              <w:rPr>
                <w:rFonts w:ascii="Times New Roman" w:eastAsia="Times New Roman" w:hAnsi="Times New Roman" w:cs="Times New Roman"/>
                <w:i/>
                <w:iCs/>
                <w:noProof/>
                <w:sz w:val="20"/>
                <w:szCs w:val="20"/>
                <w:lang w:val="en-US"/>
              </w:rPr>
              <w:t xml:space="preserve">În cadrul acestei priorități </w:t>
            </w:r>
            <w:r w:rsidR="001B73C4">
              <w:rPr>
                <w:rFonts w:ascii="Times New Roman" w:eastAsia="Times New Roman" w:hAnsi="Times New Roman" w:cs="Times New Roman"/>
                <w:i/>
                <w:iCs/>
                <w:noProof/>
                <w:sz w:val="20"/>
                <w:szCs w:val="20"/>
                <w:lang w:val="en-US"/>
              </w:rPr>
              <w:t>este vizată</w:t>
            </w:r>
            <w:r w:rsidRPr="00321DEF">
              <w:rPr>
                <w:rFonts w:ascii="Times New Roman" w:eastAsia="Times New Roman" w:hAnsi="Times New Roman" w:cs="Times New Roman"/>
                <w:i/>
                <w:iCs/>
                <w:noProof/>
                <w:sz w:val="20"/>
                <w:szCs w:val="20"/>
                <w:lang w:val="en-US"/>
              </w:rPr>
              <w:t xml:space="preserve"> </w:t>
            </w:r>
            <w:r w:rsidR="001B73C4" w:rsidRPr="00321DEF">
              <w:rPr>
                <w:rFonts w:ascii="Times New Roman" w:eastAsia="Times New Roman" w:hAnsi="Times New Roman" w:cs="Times New Roman"/>
                <w:i/>
                <w:iCs/>
                <w:noProof/>
                <w:sz w:val="20"/>
                <w:szCs w:val="20"/>
                <w:lang w:val="en-US"/>
              </w:rPr>
              <w:t xml:space="preserve"> </w:t>
            </w:r>
            <w:r w:rsidRPr="00321DEF">
              <w:rPr>
                <w:rFonts w:ascii="Times New Roman" w:eastAsia="Times New Roman" w:hAnsi="Times New Roman" w:cs="Times New Roman"/>
                <w:i/>
                <w:iCs/>
                <w:noProof/>
                <w:sz w:val="20"/>
                <w:szCs w:val="20"/>
                <w:lang w:val="en-US"/>
              </w:rPr>
              <w:t xml:space="preserve">finanțarea </w:t>
            </w:r>
            <w:r w:rsidR="00B82619" w:rsidRPr="00321DEF">
              <w:rPr>
                <w:rFonts w:ascii="Times New Roman" w:eastAsia="Times New Roman" w:hAnsi="Times New Roman" w:cs="Times New Roman"/>
                <w:i/>
                <w:iCs/>
                <w:noProof/>
                <w:sz w:val="20"/>
                <w:szCs w:val="20"/>
                <w:lang w:val="en-US"/>
              </w:rPr>
              <w:t>următoarele categorii de infrastructuri:</w:t>
            </w:r>
          </w:p>
          <w:p w:rsidR="00B82619" w:rsidRPr="00321DEF" w:rsidRDefault="00B82619" w:rsidP="00E16AA6">
            <w:pPr>
              <w:pStyle w:val="Listparagraf"/>
              <w:numPr>
                <w:ilvl w:val="0"/>
                <w:numId w:val="62"/>
              </w:numPr>
              <w:spacing w:before="0" w:after="0" w:line="240" w:lineRule="auto"/>
              <w:jc w:val="both"/>
              <w:rPr>
                <w:color w:val="000000"/>
                <w:sz w:val="20"/>
                <w:szCs w:val="20"/>
              </w:rPr>
            </w:pPr>
            <w:r w:rsidRPr="00321DEF">
              <w:rPr>
                <w:color w:val="000000"/>
                <w:sz w:val="20"/>
                <w:szCs w:val="20"/>
              </w:rPr>
              <w:t xml:space="preserve">legături rutiere secundare reabilitate </w:t>
            </w:r>
            <w:r w:rsidR="001B73C4">
              <w:rPr>
                <w:color w:val="000000"/>
                <w:sz w:val="20"/>
                <w:szCs w:val="20"/>
              </w:rPr>
              <w:t>ș</w:t>
            </w:r>
            <w:r w:rsidRPr="00321DEF">
              <w:rPr>
                <w:color w:val="000000"/>
                <w:sz w:val="20"/>
                <w:szCs w:val="20"/>
              </w:rPr>
              <w:t>i nou construite către rețeaua rutieră și nodurile TEN-T (drumuri județene, drumuri expre</w:t>
            </w:r>
            <w:r w:rsidR="00D727F3" w:rsidRPr="00321DEF">
              <w:rPr>
                <w:color w:val="000000"/>
                <w:sz w:val="20"/>
                <w:szCs w:val="20"/>
              </w:rPr>
              <w:t>s</w:t>
            </w:r>
            <w:r w:rsidRPr="00321DEF">
              <w:rPr>
                <w:color w:val="000000"/>
                <w:sz w:val="20"/>
                <w:szCs w:val="20"/>
              </w:rPr>
              <w:t xml:space="preserve">, </w:t>
            </w:r>
            <w:r w:rsidR="00D727F3" w:rsidRPr="00321DEF">
              <w:rPr>
                <w:color w:val="000000"/>
                <w:sz w:val="20"/>
                <w:szCs w:val="20"/>
              </w:rPr>
              <w:t>centuri ocolitoare cu statut de drum județean care asigură</w:t>
            </w:r>
            <w:r w:rsidRPr="00321DEF">
              <w:rPr>
                <w:color w:val="000000"/>
                <w:sz w:val="20"/>
                <w:szCs w:val="20"/>
              </w:rPr>
              <w:t xml:space="preserve"> conectivitatea </w:t>
            </w:r>
            <w:r w:rsidR="00D727F3" w:rsidRPr="00321DEF">
              <w:rPr>
                <w:color w:val="000000"/>
                <w:sz w:val="20"/>
                <w:szCs w:val="20"/>
              </w:rPr>
              <w:t>direct</w:t>
            </w:r>
            <w:r w:rsidR="001B73C4">
              <w:rPr>
                <w:color w:val="000000"/>
                <w:sz w:val="20"/>
                <w:szCs w:val="20"/>
              </w:rPr>
              <w:t>ă</w:t>
            </w:r>
            <w:r w:rsidR="00D727F3" w:rsidRPr="00321DEF">
              <w:rPr>
                <w:color w:val="000000"/>
                <w:sz w:val="20"/>
                <w:szCs w:val="20"/>
              </w:rPr>
              <w:t xml:space="preserve"> sau indirectă </w:t>
            </w:r>
            <w:r w:rsidRPr="00321DEF">
              <w:rPr>
                <w:color w:val="000000"/>
                <w:sz w:val="20"/>
                <w:szCs w:val="20"/>
              </w:rPr>
              <w:t>la rețeaua de baz</w:t>
            </w:r>
            <w:r w:rsidR="001B73C4">
              <w:rPr>
                <w:color w:val="000000"/>
                <w:sz w:val="20"/>
                <w:szCs w:val="20"/>
              </w:rPr>
              <w:t>ă</w:t>
            </w:r>
            <w:r w:rsidRPr="00321DEF">
              <w:rPr>
                <w:color w:val="000000"/>
                <w:sz w:val="20"/>
                <w:szCs w:val="20"/>
              </w:rPr>
              <w:t xml:space="preserve"> –</w:t>
            </w:r>
            <w:r w:rsidR="00D727F3" w:rsidRPr="00321DEF">
              <w:rPr>
                <w:color w:val="000000"/>
                <w:sz w:val="20"/>
                <w:szCs w:val="20"/>
              </w:rPr>
              <w:t xml:space="preserve"> </w:t>
            </w:r>
            <w:r w:rsidRPr="00321DEF">
              <w:rPr>
                <w:color w:val="000000"/>
                <w:sz w:val="20"/>
                <w:szCs w:val="20"/>
              </w:rPr>
              <w:t>TEN-T) care vor fi prioritizate la nivel regional în baza unei Hotărâri a CDR Centru. Pentru acest tip de interveție se va aplica un apel necompetitiv pe bază de portofoliu de proiecte prioritare.</w:t>
            </w:r>
          </w:p>
          <w:p w:rsidR="001B7C6E" w:rsidRPr="0040005B" w:rsidRDefault="00B82619" w:rsidP="00E16AA6">
            <w:pPr>
              <w:pStyle w:val="Listparagraf"/>
              <w:numPr>
                <w:ilvl w:val="0"/>
                <w:numId w:val="62"/>
              </w:numPr>
              <w:spacing w:before="0" w:after="0" w:line="240" w:lineRule="auto"/>
              <w:jc w:val="both"/>
              <w:rPr>
                <w:color w:val="000000"/>
                <w:sz w:val="20"/>
                <w:szCs w:val="20"/>
              </w:rPr>
            </w:pPr>
            <w:r w:rsidRPr="0040005B">
              <w:rPr>
                <w:sz w:val="20"/>
                <w:szCs w:val="20"/>
              </w:rPr>
              <w:t>solu</w:t>
            </w:r>
            <w:r w:rsidR="001B73C4" w:rsidRPr="0040005B">
              <w:rPr>
                <w:sz w:val="20"/>
                <w:szCs w:val="20"/>
              </w:rPr>
              <w:t>ț</w:t>
            </w:r>
            <w:r w:rsidRPr="0040005B">
              <w:rPr>
                <w:sz w:val="20"/>
                <w:szCs w:val="20"/>
              </w:rPr>
              <w:t>ii pentru decongestionarea/ fluidizarea traficului (pasaje, extinderi la 4 benzi, m</w:t>
            </w:r>
            <w:r w:rsidR="001B73C4" w:rsidRPr="0040005B">
              <w:rPr>
                <w:sz w:val="20"/>
                <w:szCs w:val="20"/>
              </w:rPr>
              <w:t>ă</w:t>
            </w:r>
            <w:r w:rsidRPr="0040005B">
              <w:rPr>
                <w:sz w:val="20"/>
                <w:szCs w:val="20"/>
              </w:rPr>
              <w:t>suri de siguran</w:t>
            </w:r>
            <w:r w:rsidR="001B73C4" w:rsidRPr="0040005B">
              <w:rPr>
                <w:sz w:val="20"/>
                <w:szCs w:val="20"/>
              </w:rPr>
              <w:t>ță</w:t>
            </w:r>
            <w:r w:rsidRPr="0040005B">
              <w:rPr>
                <w:sz w:val="20"/>
                <w:szCs w:val="20"/>
              </w:rPr>
              <w:t>) cu aplicant UAT municipii resedinta</w:t>
            </w:r>
            <w:r w:rsidR="001B73C4" w:rsidRPr="0040005B">
              <w:rPr>
                <w:sz w:val="20"/>
                <w:szCs w:val="20"/>
              </w:rPr>
              <w:t>ță</w:t>
            </w:r>
            <w:r w:rsidRPr="0040005B">
              <w:rPr>
                <w:sz w:val="20"/>
                <w:szCs w:val="20"/>
              </w:rPr>
              <w:t xml:space="preserve"> de jude</w:t>
            </w:r>
            <w:r w:rsidR="001B73C4" w:rsidRPr="0040005B">
              <w:rPr>
                <w:sz w:val="20"/>
                <w:szCs w:val="20"/>
              </w:rPr>
              <w:t>ț</w:t>
            </w:r>
            <w:r w:rsidRPr="0040005B">
              <w:rPr>
                <w:sz w:val="20"/>
                <w:szCs w:val="20"/>
              </w:rPr>
              <w:t xml:space="preserve">, UAT </w:t>
            </w:r>
            <w:r w:rsidR="001B73C4" w:rsidRPr="0040005B">
              <w:rPr>
                <w:sz w:val="20"/>
                <w:szCs w:val="20"/>
              </w:rPr>
              <w:t xml:space="preserve">- </w:t>
            </w:r>
            <w:r w:rsidRPr="0040005B">
              <w:rPr>
                <w:sz w:val="20"/>
                <w:szCs w:val="20"/>
              </w:rPr>
              <w:t>Consiliile Jude</w:t>
            </w:r>
            <w:r w:rsidR="001B73C4" w:rsidRPr="0040005B">
              <w:rPr>
                <w:sz w:val="20"/>
                <w:szCs w:val="20"/>
              </w:rPr>
              <w:t>ț</w:t>
            </w:r>
            <w:r w:rsidRPr="0040005B">
              <w:rPr>
                <w:sz w:val="20"/>
                <w:szCs w:val="20"/>
              </w:rPr>
              <w:t>ene, Parteneriate</w:t>
            </w:r>
            <w:r w:rsidR="00E95D2A" w:rsidRPr="0040005B">
              <w:rPr>
                <w:sz w:val="20"/>
                <w:szCs w:val="20"/>
              </w:rPr>
              <w:t xml:space="preserve">. </w:t>
            </w:r>
            <w:r w:rsidR="001B73C4" w:rsidRPr="0040005B">
              <w:rPr>
                <w:sz w:val="20"/>
                <w:szCs w:val="20"/>
              </w:rPr>
              <w:t>La a</w:t>
            </w:r>
            <w:r w:rsidR="00E95D2A" w:rsidRPr="0040005B">
              <w:rPr>
                <w:sz w:val="20"/>
                <w:szCs w:val="20"/>
              </w:rPr>
              <w:t xml:space="preserve">cest tip de intervenție se </w:t>
            </w:r>
            <w:r w:rsidR="00D727F3" w:rsidRPr="0040005B">
              <w:rPr>
                <w:sz w:val="20"/>
                <w:szCs w:val="20"/>
              </w:rPr>
              <w:t>vor implementa acele soluții de decongestionare/ fluidizare a traficului de la nivelul municipiilor reședință de județ (</w:t>
            </w:r>
            <w:r w:rsidR="001B73C4" w:rsidRPr="0040005B">
              <w:rPr>
                <w:sz w:val="20"/>
                <w:szCs w:val="20"/>
              </w:rPr>
              <w:t>în cazul</w:t>
            </w:r>
            <w:r w:rsidR="00D727F3" w:rsidRPr="0040005B">
              <w:rPr>
                <w:sz w:val="20"/>
                <w:szCs w:val="20"/>
              </w:rPr>
              <w:t xml:space="preserve"> </w:t>
            </w:r>
            <w:r w:rsidR="001B73C4" w:rsidRPr="0040005B">
              <w:rPr>
                <w:sz w:val="20"/>
                <w:szCs w:val="20"/>
              </w:rPr>
              <w:t>ș</w:t>
            </w:r>
            <w:r w:rsidR="00D727F3" w:rsidRPr="0040005B">
              <w:rPr>
                <w:sz w:val="20"/>
                <w:szCs w:val="20"/>
              </w:rPr>
              <w:t>i alt</w:t>
            </w:r>
            <w:r w:rsidR="001B73C4" w:rsidRPr="0040005B">
              <w:rPr>
                <w:sz w:val="20"/>
                <w:szCs w:val="20"/>
              </w:rPr>
              <w:t>or</w:t>
            </w:r>
            <w:r w:rsidR="00D727F3" w:rsidRPr="0040005B">
              <w:rPr>
                <w:sz w:val="20"/>
                <w:szCs w:val="20"/>
              </w:rPr>
              <w:t xml:space="preserve"> ora</w:t>
            </w:r>
            <w:r w:rsidR="001B73C4" w:rsidRPr="0040005B">
              <w:rPr>
                <w:sz w:val="20"/>
                <w:szCs w:val="20"/>
              </w:rPr>
              <w:t>ș</w:t>
            </w:r>
            <w:r w:rsidR="00D727F3" w:rsidRPr="0040005B">
              <w:rPr>
                <w:sz w:val="20"/>
                <w:szCs w:val="20"/>
              </w:rPr>
              <w:t xml:space="preserve">e) care sunt prioritizate în cadrul PMUD-lor și care vor face obiectul unui apel </w:t>
            </w:r>
            <w:r w:rsidR="001B73C4" w:rsidRPr="0040005B">
              <w:rPr>
                <w:sz w:val="20"/>
                <w:szCs w:val="20"/>
              </w:rPr>
              <w:t>competitiv.</w:t>
            </w:r>
            <w:r w:rsidR="00D727F3" w:rsidRPr="0040005B">
              <w:rPr>
                <w:sz w:val="20"/>
                <w:szCs w:val="20"/>
              </w:rPr>
              <w:t xml:space="preserve"> </w:t>
            </w:r>
          </w:p>
          <w:p w:rsidR="00321DEF" w:rsidRDefault="00321DEF" w:rsidP="00662466">
            <w:pPr>
              <w:spacing w:after="0" w:line="240" w:lineRule="auto"/>
              <w:jc w:val="both"/>
              <w:rPr>
                <w:rFonts w:ascii="Times New Roman" w:eastAsia="Times New Roman" w:hAnsi="Times New Roman" w:cs="Times New Roman"/>
                <w:i/>
                <w:iCs/>
                <w:noProof/>
                <w:sz w:val="20"/>
                <w:szCs w:val="20"/>
                <w:lang w:val="en-US"/>
              </w:rPr>
            </w:pPr>
          </w:p>
          <w:p w:rsidR="00321DEF" w:rsidRDefault="00110459" w:rsidP="00662466">
            <w:pPr>
              <w:spacing w:after="0" w:line="240" w:lineRule="auto"/>
              <w:jc w:val="both"/>
              <w:rPr>
                <w:rFonts w:ascii="Times New Roman" w:eastAsia="Times New Roman" w:hAnsi="Times New Roman" w:cs="Times New Roman"/>
                <w:iCs/>
                <w:noProof/>
                <w:sz w:val="20"/>
                <w:szCs w:val="20"/>
                <w:lang w:val="en-US"/>
              </w:rPr>
            </w:pPr>
            <w:r w:rsidRPr="00321DEF">
              <w:rPr>
                <w:rFonts w:ascii="Times New Roman" w:eastAsia="Times New Roman" w:hAnsi="Times New Roman" w:cs="Times New Roman"/>
                <w:iCs/>
                <w:noProof/>
                <w:sz w:val="20"/>
                <w:szCs w:val="20"/>
                <w:lang w:val="en-US"/>
              </w:rPr>
              <w:t>Finanțarea intervențiilor propuse va determina o mai bună conectivitate la nivel regional</w:t>
            </w:r>
            <w:r w:rsidR="001B73C4">
              <w:rPr>
                <w:rFonts w:ascii="Times New Roman" w:eastAsia="Times New Roman" w:hAnsi="Times New Roman" w:cs="Times New Roman"/>
                <w:iCs/>
                <w:noProof/>
                <w:sz w:val="20"/>
                <w:szCs w:val="20"/>
                <w:lang w:val="en-US"/>
              </w:rPr>
              <w:t>. Implementarea</w:t>
            </w:r>
            <w:r w:rsidR="00207089">
              <w:rPr>
                <w:rFonts w:ascii="Times New Roman" w:eastAsia="Times New Roman" w:hAnsi="Times New Roman" w:cs="Times New Roman"/>
                <w:iCs/>
                <w:noProof/>
                <w:sz w:val="20"/>
                <w:szCs w:val="20"/>
                <w:lang w:val="en-US"/>
              </w:rPr>
              <w:t xml:space="preserve"> </w:t>
            </w:r>
            <w:r w:rsidR="00321DEF" w:rsidRPr="00321DEF">
              <w:rPr>
                <w:rFonts w:ascii="Times New Roman" w:eastAsia="Times New Roman" w:hAnsi="Times New Roman" w:cs="Times New Roman"/>
                <w:iCs/>
                <w:noProof/>
                <w:sz w:val="20"/>
                <w:szCs w:val="20"/>
                <w:lang w:val="en-US"/>
              </w:rPr>
              <w:t xml:space="preserve">proiectelor pe partea de infrastructură de transport județean se va face în baza unei liste de proiecte prioritare aprobate prin Hotărâre de CDR </w:t>
            </w:r>
            <w:r w:rsidR="001B73C4">
              <w:rPr>
                <w:rFonts w:ascii="Times New Roman" w:eastAsia="Times New Roman" w:hAnsi="Times New Roman" w:cs="Times New Roman"/>
                <w:iCs/>
                <w:noProof/>
                <w:sz w:val="20"/>
                <w:szCs w:val="20"/>
                <w:lang w:val="en-US"/>
              </w:rPr>
              <w:t>C</w:t>
            </w:r>
            <w:r w:rsidR="00321DEF" w:rsidRPr="00321DEF">
              <w:rPr>
                <w:rFonts w:ascii="Times New Roman" w:eastAsia="Times New Roman" w:hAnsi="Times New Roman" w:cs="Times New Roman"/>
                <w:iCs/>
                <w:noProof/>
                <w:sz w:val="20"/>
                <w:szCs w:val="20"/>
                <w:lang w:val="en-US"/>
              </w:rPr>
              <w:t>entru și care va include proiecte ce vor realiza conectivitatea la rețeaua TEN-T, completând investițiile realizate p</w:t>
            </w:r>
            <w:r w:rsidR="001B73C4">
              <w:rPr>
                <w:rFonts w:ascii="Times New Roman" w:eastAsia="Times New Roman" w:hAnsi="Times New Roman" w:cs="Times New Roman"/>
                <w:iCs/>
                <w:noProof/>
                <w:sz w:val="20"/>
                <w:szCs w:val="20"/>
                <w:lang w:val="en-US"/>
              </w:rPr>
              <w:t>ână</w:t>
            </w:r>
            <w:r w:rsidR="00321DEF" w:rsidRPr="00321DEF">
              <w:rPr>
                <w:rFonts w:ascii="Times New Roman" w:eastAsia="Times New Roman" w:hAnsi="Times New Roman" w:cs="Times New Roman"/>
                <w:iCs/>
                <w:noProof/>
                <w:sz w:val="20"/>
                <w:szCs w:val="20"/>
                <w:lang w:val="en-US"/>
              </w:rPr>
              <w:t xml:space="preserve"> în mo</w:t>
            </w:r>
            <w:r w:rsidR="001B73C4">
              <w:rPr>
                <w:rFonts w:ascii="Times New Roman" w:eastAsia="Times New Roman" w:hAnsi="Times New Roman" w:cs="Times New Roman"/>
                <w:iCs/>
                <w:noProof/>
                <w:sz w:val="20"/>
                <w:szCs w:val="20"/>
                <w:lang w:val="en-US"/>
              </w:rPr>
              <w:t>m</w:t>
            </w:r>
            <w:r w:rsidR="00321DEF" w:rsidRPr="00321DEF">
              <w:rPr>
                <w:rFonts w:ascii="Times New Roman" w:eastAsia="Times New Roman" w:hAnsi="Times New Roman" w:cs="Times New Roman"/>
                <w:iCs/>
                <w:noProof/>
                <w:sz w:val="20"/>
                <w:szCs w:val="20"/>
                <w:lang w:val="en-US"/>
              </w:rPr>
              <w:t>e</w:t>
            </w:r>
            <w:r w:rsidR="001B73C4">
              <w:rPr>
                <w:rFonts w:ascii="Times New Roman" w:eastAsia="Times New Roman" w:hAnsi="Times New Roman" w:cs="Times New Roman"/>
                <w:iCs/>
                <w:noProof/>
                <w:sz w:val="20"/>
                <w:szCs w:val="20"/>
                <w:lang w:val="en-US"/>
              </w:rPr>
              <w:t>n</w:t>
            </w:r>
            <w:r w:rsidR="00321DEF" w:rsidRPr="00321DEF">
              <w:rPr>
                <w:rFonts w:ascii="Times New Roman" w:eastAsia="Times New Roman" w:hAnsi="Times New Roman" w:cs="Times New Roman"/>
                <w:iCs/>
                <w:noProof/>
                <w:sz w:val="20"/>
                <w:szCs w:val="20"/>
                <w:lang w:val="en-US"/>
              </w:rPr>
              <w:t>tul de față prin POR, luând în considerare conectivitatea zonelor încă rămase izolate la nivel regional sau a zonelor cu potențial turistic ridicat.</w:t>
            </w:r>
          </w:p>
          <w:p w:rsidR="00DC4544" w:rsidRPr="00321DEF" w:rsidRDefault="00DC4544" w:rsidP="00662466">
            <w:pPr>
              <w:spacing w:after="0" w:line="240" w:lineRule="auto"/>
              <w:jc w:val="both"/>
              <w:rPr>
                <w:rFonts w:ascii="Times New Roman" w:eastAsia="Times New Roman" w:hAnsi="Times New Roman" w:cs="Times New Roman"/>
                <w:iCs/>
                <w:noProof/>
                <w:sz w:val="20"/>
                <w:szCs w:val="20"/>
                <w:lang w:val="en-US"/>
              </w:rPr>
            </w:pPr>
          </w:p>
          <w:p w:rsidR="00355A4A" w:rsidRPr="00321DEF" w:rsidRDefault="00110459" w:rsidP="00662466">
            <w:pPr>
              <w:spacing w:after="0" w:line="240" w:lineRule="auto"/>
              <w:jc w:val="both"/>
              <w:rPr>
                <w:rFonts w:ascii="Times New Roman" w:eastAsia="Times New Roman" w:hAnsi="Times New Roman" w:cs="Times New Roman"/>
                <w:iCs/>
                <w:noProof/>
                <w:sz w:val="20"/>
                <w:szCs w:val="20"/>
                <w:lang w:val="en-US"/>
              </w:rPr>
            </w:pPr>
            <w:r w:rsidRPr="00321DEF">
              <w:rPr>
                <w:rFonts w:ascii="Times New Roman" w:eastAsia="Times New Roman" w:hAnsi="Times New Roman" w:cs="Times New Roman"/>
                <w:iCs/>
                <w:noProof/>
                <w:sz w:val="20"/>
                <w:szCs w:val="20"/>
                <w:lang w:val="en-US"/>
              </w:rPr>
              <w:t>De asemenea</w:t>
            </w:r>
            <w:r w:rsidR="001B73C4">
              <w:rPr>
                <w:rFonts w:ascii="Times New Roman" w:eastAsia="Times New Roman" w:hAnsi="Times New Roman" w:cs="Times New Roman"/>
                <w:iCs/>
                <w:noProof/>
                <w:sz w:val="20"/>
                <w:szCs w:val="20"/>
                <w:lang w:val="en-US"/>
              </w:rPr>
              <w:t>,</w:t>
            </w:r>
            <w:r w:rsidRPr="00321DEF">
              <w:rPr>
                <w:rFonts w:ascii="Times New Roman" w:eastAsia="Times New Roman" w:hAnsi="Times New Roman" w:cs="Times New Roman"/>
                <w:iCs/>
                <w:noProof/>
                <w:sz w:val="20"/>
                <w:szCs w:val="20"/>
                <w:lang w:val="en-US"/>
              </w:rPr>
              <w:t xml:space="preserve"> prin acest</w:t>
            </w:r>
            <w:r w:rsidR="001B73C4">
              <w:rPr>
                <w:rFonts w:ascii="Times New Roman" w:eastAsia="Times New Roman" w:hAnsi="Times New Roman" w:cs="Times New Roman"/>
                <w:iCs/>
                <w:noProof/>
                <w:sz w:val="20"/>
                <w:szCs w:val="20"/>
                <w:lang w:val="en-US"/>
              </w:rPr>
              <w:t>e</w:t>
            </w:r>
            <w:r w:rsidRPr="00321DEF">
              <w:rPr>
                <w:rFonts w:ascii="Times New Roman" w:eastAsia="Times New Roman" w:hAnsi="Times New Roman" w:cs="Times New Roman"/>
                <w:iCs/>
                <w:noProof/>
                <w:sz w:val="20"/>
                <w:szCs w:val="20"/>
                <w:lang w:val="en-US"/>
              </w:rPr>
              <w:t xml:space="preserve"> investiții se va sprijini și implementarea măsurilor de mobilitate urbană integrate în PMUD-uri și se vor crea condiții pentru </w:t>
            </w:r>
            <w:r w:rsidR="00321DEF" w:rsidRPr="00321DEF">
              <w:rPr>
                <w:rFonts w:ascii="Times New Roman" w:eastAsia="Times New Roman" w:hAnsi="Times New Roman" w:cs="Times New Roman"/>
                <w:iCs/>
                <w:noProof/>
                <w:sz w:val="20"/>
                <w:szCs w:val="20"/>
                <w:lang w:val="en-US"/>
              </w:rPr>
              <w:t xml:space="preserve">fluidizarea traficului, atât la nivelul municipiilor </w:t>
            </w:r>
            <w:r w:rsidR="00DC4544">
              <w:rPr>
                <w:rFonts w:ascii="Times New Roman" w:eastAsia="Times New Roman" w:hAnsi="Times New Roman" w:cs="Times New Roman"/>
                <w:iCs/>
                <w:noProof/>
                <w:sz w:val="20"/>
                <w:szCs w:val="20"/>
                <w:lang w:val="en-US"/>
              </w:rPr>
              <w:t>reședință de județ</w:t>
            </w:r>
            <w:r w:rsidR="00321DEF" w:rsidRPr="00321DEF">
              <w:rPr>
                <w:rFonts w:ascii="Times New Roman" w:eastAsia="Times New Roman" w:hAnsi="Times New Roman" w:cs="Times New Roman"/>
                <w:iCs/>
                <w:noProof/>
                <w:sz w:val="20"/>
                <w:szCs w:val="20"/>
                <w:lang w:val="en-US"/>
              </w:rPr>
              <w:t xml:space="preserve">, cât </w:t>
            </w:r>
            <w:r w:rsidR="00321DEF" w:rsidRPr="00321DEF">
              <w:rPr>
                <w:rFonts w:ascii="Times New Roman" w:eastAsia="Times New Roman" w:hAnsi="Times New Roman" w:cs="Times New Roman"/>
                <w:iCs/>
                <w:noProof/>
                <w:sz w:val="20"/>
                <w:szCs w:val="20"/>
                <w:lang w:val="en-US"/>
              </w:rPr>
              <w:lastRenderedPageBreak/>
              <w:t>și la nivelul ZUF sau zonei metropolitane.</w:t>
            </w:r>
          </w:p>
          <w:p w:rsidR="00321DEF" w:rsidRPr="00321DEF" w:rsidRDefault="00321DEF" w:rsidP="00662466">
            <w:pPr>
              <w:spacing w:after="0" w:line="240" w:lineRule="auto"/>
              <w:jc w:val="both"/>
              <w:rPr>
                <w:rFonts w:ascii="Times New Roman" w:eastAsia="Times New Roman" w:hAnsi="Times New Roman" w:cs="Times New Roman"/>
                <w:i/>
                <w:iCs/>
                <w:noProof/>
                <w:sz w:val="20"/>
                <w:szCs w:val="20"/>
                <w:lang w:val="en-US"/>
              </w:rPr>
            </w:pPr>
          </w:p>
          <w:p w:rsidR="00321DEF" w:rsidRPr="00321DEF" w:rsidRDefault="000825DF" w:rsidP="00662466">
            <w:pPr>
              <w:spacing w:after="0" w:line="240" w:lineRule="auto"/>
              <w:jc w:val="both"/>
              <w:rPr>
                <w:rFonts w:ascii="Times New Roman" w:eastAsia="Times New Roman" w:hAnsi="Times New Roman" w:cs="Times New Roman"/>
                <w:i/>
                <w:iCs/>
                <w:noProof/>
                <w:sz w:val="20"/>
                <w:szCs w:val="20"/>
                <w:lang w:val="en-US"/>
              </w:rPr>
            </w:pPr>
            <w:r w:rsidRPr="00321DEF">
              <w:rPr>
                <w:rFonts w:ascii="Times New Roman" w:hAnsi="Times New Roman" w:cs="Times New Roman"/>
                <w:sz w:val="20"/>
                <w:szCs w:val="20"/>
              </w:rPr>
              <w:t xml:space="preserve">Proiectele de reabilitare/ modernizare/ extindere a infrastructurilor de transport finanţate prin POR vor identifica toate presiunile existente şi potenţialele ameninţări asupra infrastructurii verzi şi vor include măsuri pentru reducerea/ evitarea impacturilor semnificative. O atenţie </w:t>
            </w:r>
            <w:r w:rsidR="001B73C4">
              <w:rPr>
                <w:rFonts w:ascii="Times New Roman" w:hAnsi="Times New Roman" w:cs="Times New Roman"/>
                <w:sz w:val="20"/>
                <w:szCs w:val="20"/>
              </w:rPr>
              <w:t>sporită</w:t>
            </w:r>
            <w:r w:rsidR="001B73C4" w:rsidRPr="00321DEF">
              <w:rPr>
                <w:rFonts w:ascii="Times New Roman" w:hAnsi="Times New Roman" w:cs="Times New Roman"/>
                <w:sz w:val="20"/>
                <w:szCs w:val="20"/>
              </w:rPr>
              <w:t xml:space="preserve"> </w:t>
            </w:r>
            <w:r w:rsidRPr="00321DEF">
              <w:rPr>
                <w:rFonts w:ascii="Times New Roman" w:hAnsi="Times New Roman" w:cs="Times New Roman"/>
                <w:sz w:val="20"/>
                <w:szCs w:val="20"/>
              </w:rPr>
              <w:t>va fi acordată refacerii conectivităţii ecologice în zona coridoarelor ecologice (detalii</w:t>
            </w:r>
            <w:r w:rsidR="001B73C4">
              <w:rPr>
                <w:rFonts w:ascii="Times New Roman" w:hAnsi="Times New Roman" w:cs="Times New Roman"/>
                <w:sz w:val="20"/>
                <w:szCs w:val="20"/>
              </w:rPr>
              <w:t>:</w:t>
            </w:r>
            <w:r w:rsidRPr="00321DEF">
              <w:rPr>
                <w:rFonts w:ascii="Times New Roman" w:hAnsi="Times New Roman" w:cs="Times New Roman"/>
                <w:sz w:val="20"/>
                <w:szCs w:val="20"/>
              </w:rPr>
              <w:t xml:space="preserve"> </w:t>
            </w:r>
            <w:hyperlink r:id="rId16" w:history="1">
              <w:r w:rsidRPr="00321DEF">
                <w:rPr>
                  <w:rStyle w:val="Hyperlink"/>
                  <w:rFonts w:ascii="Times New Roman" w:hAnsi="Times New Roman" w:cs="Times New Roman"/>
                  <w:sz w:val="20"/>
                  <w:szCs w:val="20"/>
                </w:rPr>
                <w:t>http://corehabs.ro/ro/rapoarte-produse</w:t>
              </w:r>
            </w:hyperlink>
            <w:r w:rsidRPr="00321DEF">
              <w:rPr>
                <w:rFonts w:ascii="Times New Roman" w:hAnsi="Times New Roman" w:cs="Times New Roman"/>
                <w:sz w:val="20"/>
                <w:szCs w:val="20"/>
              </w:rPr>
              <w:t>). Proiectarea măsurilor de menţinere/ refacere a conectivităţii ecologice, pentru fiecare proiect POR, se va realiza într-o manier</w:t>
            </w:r>
            <w:r w:rsidR="001B73C4">
              <w:rPr>
                <w:rFonts w:ascii="Times New Roman" w:hAnsi="Times New Roman" w:cs="Times New Roman"/>
                <w:sz w:val="20"/>
                <w:szCs w:val="20"/>
              </w:rPr>
              <w:t>ă</w:t>
            </w:r>
            <w:r w:rsidRPr="00321DEF">
              <w:rPr>
                <w:rFonts w:ascii="Times New Roman" w:hAnsi="Times New Roman" w:cs="Times New Roman"/>
                <w:sz w:val="20"/>
                <w:szCs w:val="20"/>
              </w:rPr>
              <w:t xml:space="preserve"> integrată</w:t>
            </w:r>
            <w:r w:rsidR="001B73C4">
              <w:rPr>
                <w:rFonts w:ascii="Times New Roman" w:hAnsi="Times New Roman" w:cs="Times New Roman"/>
                <w:sz w:val="20"/>
                <w:szCs w:val="20"/>
              </w:rPr>
              <w:t>,</w:t>
            </w:r>
            <w:r w:rsidRPr="00321DEF">
              <w:rPr>
                <w:rFonts w:ascii="Times New Roman" w:hAnsi="Times New Roman" w:cs="Times New Roman"/>
                <w:sz w:val="20"/>
                <w:szCs w:val="20"/>
              </w:rPr>
              <w:t xml:space="preserve"> ţinând cont de impactul cumulat cu alte presiuni şi ameninţări din zona de implementare a proiectelor, precum şi de contribuţia schimbărilor climatice. Măsurile de evitare a fragmentării şi/</w:t>
            </w:r>
            <w:r w:rsidR="001B73C4">
              <w:rPr>
                <w:rFonts w:ascii="Times New Roman" w:hAnsi="Times New Roman" w:cs="Times New Roman"/>
                <w:sz w:val="20"/>
                <w:szCs w:val="20"/>
              </w:rPr>
              <w:t xml:space="preserve"> </w:t>
            </w:r>
            <w:r w:rsidRPr="00321DEF">
              <w:rPr>
                <w:rFonts w:ascii="Times New Roman" w:hAnsi="Times New Roman" w:cs="Times New Roman"/>
                <w:sz w:val="20"/>
                <w:szCs w:val="20"/>
              </w:rPr>
              <w:t>sau de defragmentare trebuie să fie eficiente la nivelul coridorului ecologic şi nu doar la nivelul zonei de proiect.</w:t>
            </w:r>
          </w:p>
        </w:tc>
      </w:tr>
    </w:tbl>
    <w:p w:rsidR="002E744B" w:rsidRPr="002E744B" w:rsidRDefault="002E744B" w:rsidP="00662466">
      <w:pPr>
        <w:spacing w:before="120" w:after="120" w:line="360" w:lineRule="auto"/>
        <w:jc w:val="both"/>
        <w:rPr>
          <w:rFonts w:ascii="Times New Roman" w:eastAsia="Times New Roman" w:hAnsi="Times New Roman" w:cs="Times New Roman"/>
          <w:b/>
          <w:i/>
          <w:iCs/>
          <w:noProof/>
          <w:sz w:val="24"/>
          <w:szCs w:val="24"/>
          <w:lang w:val="en-GB"/>
        </w:rPr>
      </w:pPr>
      <w:r w:rsidRPr="002E744B">
        <w:rPr>
          <w:rFonts w:ascii="Times New Roman" w:eastAsia="Times New Roman" w:hAnsi="Times New Roman" w:cs="Times New Roman"/>
          <w:i/>
          <w:noProof/>
          <w:sz w:val="24"/>
          <w:szCs w:val="24"/>
          <w:lang w:val="en-GB"/>
        </w:rPr>
        <w:lastRenderedPageBreak/>
        <w:t>The main target groups - Article 17(3)(d)(iii):</w:t>
      </w:r>
    </w:p>
    <w:p w:rsidR="002E744B" w:rsidRDefault="002E744B" w:rsidP="00662466">
      <w:pPr>
        <w:pBdr>
          <w:top w:val="single" w:sz="4" w:space="1" w:color="auto"/>
          <w:left w:val="single" w:sz="4" w:space="4" w:color="auto"/>
          <w:bottom w:val="single" w:sz="4" w:space="1" w:color="auto"/>
          <w:right w:val="single" w:sz="4" w:space="4" w:color="auto"/>
        </w:pBdr>
        <w:spacing w:before="120" w:after="120" w:line="360" w:lineRule="auto"/>
        <w:jc w:val="both"/>
        <w:rPr>
          <w:rFonts w:ascii="Times New Roman" w:eastAsia="Times New Roman" w:hAnsi="Times New Roman" w:cs="Times New Roman"/>
          <w:i/>
          <w:iCs/>
          <w:noProof/>
          <w:sz w:val="24"/>
          <w:szCs w:val="24"/>
          <w:lang w:val="en-GB"/>
        </w:rPr>
      </w:pPr>
      <w:r w:rsidRPr="002E744B">
        <w:rPr>
          <w:rFonts w:ascii="Times New Roman" w:eastAsia="Times New Roman" w:hAnsi="Times New Roman" w:cs="Times New Roman"/>
          <w:i/>
          <w:iCs/>
          <w:noProof/>
          <w:sz w:val="24"/>
          <w:szCs w:val="24"/>
          <w:lang w:val="en-GB"/>
        </w:rPr>
        <w:t>Text field [1 000]</w:t>
      </w:r>
    </w:p>
    <w:p w:rsidR="0002357F" w:rsidRPr="00321DEF" w:rsidRDefault="0002357F" w:rsidP="00662466">
      <w:pPr>
        <w:pBdr>
          <w:top w:val="single" w:sz="4" w:space="1" w:color="auto"/>
          <w:left w:val="single" w:sz="4" w:space="4" w:color="auto"/>
          <w:bottom w:val="single" w:sz="4" w:space="1" w:color="auto"/>
          <w:right w:val="single" w:sz="4" w:space="4" w:color="auto"/>
        </w:pBdr>
        <w:spacing w:before="120" w:after="120" w:line="360" w:lineRule="auto"/>
        <w:jc w:val="both"/>
        <w:rPr>
          <w:rFonts w:ascii="Times New Roman" w:eastAsia="Times New Roman" w:hAnsi="Times New Roman" w:cs="Times New Roman"/>
          <w:i/>
          <w:iCs/>
          <w:noProof/>
          <w:sz w:val="20"/>
          <w:szCs w:val="20"/>
          <w:lang w:val="en-GB"/>
        </w:rPr>
      </w:pPr>
      <w:r w:rsidRPr="00321DEF">
        <w:rPr>
          <w:rFonts w:ascii="Times New Roman" w:eastAsia="Times New Roman" w:hAnsi="Times New Roman" w:cs="Times New Roman"/>
          <w:i/>
          <w:iCs/>
          <w:noProof/>
          <w:sz w:val="20"/>
          <w:szCs w:val="20"/>
          <w:lang w:val="en-GB"/>
        </w:rPr>
        <w:t>Grupurile țintă vizate:</w:t>
      </w:r>
    </w:p>
    <w:p w:rsidR="0002357F" w:rsidRDefault="0002357F" w:rsidP="00662466">
      <w:pPr>
        <w:pBdr>
          <w:top w:val="single" w:sz="4" w:space="1" w:color="auto"/>
          <w:left w:val="single" w:sz="4" w:space="4" w:color="auto"/>
          <w:bottom w:val="single" w:sz="4" w:space="1" w:color="auto"/>
          <w:right w:val="single" w:sz="4" w:space="4" w:color="auto"/>
        </w:pBdr>
        <w:spacing w:before="120" w:after="120" w:line="360" w:lineRule="auto"/>
        <w:jc w:val="both"/>
        <w:rPr>
          <w:rFonts w:ascii="Times New Roman" w:eastAsia="Times New Roman" w:hAnsi="Times New Roman" w:cs="Times New Roman"/>
          <w:i/>
          <w:iCs/>
          <w:noProof/>
          <w:sz w:val="20"/>
          <w:szCs w:val="20"/>
          <w:lang w:val="en-GB"/>
        </w:rPr>
      </w:pPr>
      <w:r w:rsidRPr="00321DEF">
        <w:rPr>
          <w:rFonts w:ascii="Times New Roman" w:eastAsia="Times New Roman" w:hAnsi="Times New Roman" w:cs="Times New Roman"/>
          <w:i/>
          <w:iCs/>
          <w:noProof/>
          <w:sz w:val="20"/>
          <w:szCs w:val="20"/>
          <w:lang w:val="en-GB"/>
        </w:rPr>
        <w:t>Locuitorii zonelor traversate de drumurile finanțate, turiștii și operatorii economici din zonele respective.</w:t>
      </w:r>
    </w:p>
    <w:p w:rsidR="0009117E" w:rsidRPr="00321DEF" w:rsidRDefault="0009117E" w:rsidP="00662466">
      <w:pPr>
        <w:pBdr>
          <w:top w:val="single" w:sz="4" w:space="1" w:color="auto"/>
          <w:left w:val="single" w:sz="4" w:space="4" w:color="auto"/>
          <w:bottom w:val="single" w:sz="4" w:space="1" w:color="auto"/>
          <w:right w:val="single" w:sz="4" w:space="4" w:color="auto"/>
        </w:pBdr>
        <w:spacing w:before="120" w:after="120" w:line="360" w:lineRule="auto"/>
        <w:jc w:val="both"/>
        <w:rPr>
          <w:rFonts w:ascii="Times New Roman" w:eastAsia="Times New Roman" w:hAnsi="Times New Roman" w:cs="Times New Roman"/>
          <w:i/>
          <w:iCs/>
          <w:noProof/>
          <w:sz w:val="20"/>
          <w:szCs w:val="20"/>
          <w:lang w:val="en-GB"/>
        </w:rPr>
      </w:pPr>
      <w:r>
        <w:rPr>
          <w:rFonts w:ascii="Times New Roman" w:eastAsia="Times New Roman" w:hAnsi="Times New Roman" w:cs="Times New Roman"/>
          <w:i/>
          <w:iCs/>
          <w:noProof/>
          <w:sz w:val="20"/>
          <w:szCs w:val="20"/>
          <w:lang w:val="en-GB"/>
        </w:rPr>
        <w:t>Locuitorii municipiilor resedinta de judet</w:t>
      </w:r>
    </w:p>
    <w:p w:rsidR="002E744B" w:rsidRPr="002E744B" w:rsidRDefault="002E744B" w:rsidP="00662466">
      <w:pPr>
        <w:spacing w:before="120" w:after="120" w:line="360" w:lineRule="auto"/>
        <w:jc w:val="both"/>
        <w:rPr>
          <w:rFonts w:ascii="Times New Roman" w:eastAsia="Times New Roman" w:hAnsi="Times New Roman" w:cs="Times New Roman"/>
          <w:i/>
          <w:noProof/>
          <w:sz w:val="24"/>
          <w:szCs w:val="24"/>
          <w:lang w:val="en-GB"/>
        </w:rPr>
      </w:pPr>
      <w:r w:rsidRPr="002E744B">
        <w:rPr>
          <w:rFonts w:ascii="Times New Roman" w:eastAsia="Times New Roman" w:hAnsi="Times New Roman" w:cs="Times New Roman"/>
          <w:i/>
          <w:noProof/>
          <w:sz w:val="24"/>
          <w:szCs w:val="24"/>
          <w:lang w:val="en-GB"/>
        </w:rPr>
        <w:t>Specific territories tageted, including the planned use of territorial tools – Article 17(3)(d)(iv)</w:t>
      </w:r>
    </w:p>
    <w:p w:rsidR="002E744B" w:rsidRDefault="002E744B" w:rsidP="00662466">
      <w:pPr>
        <w:pBdr>
          <w:top w:val="single" w:sz="4" w:space="1" w:color="auto"/>
          <w:left w:val="single" w:sz="4" w:space="4" w:color="auto"/>
          <w:bottom w:val="single" w:sz="4" w:space="1" w:color="auto"/>
          <w:right w:val="single" w:sz="4" w:space="4" w:color="auto"/>
        </w:pBdr>
        <w:spacing w:before="120" w:after="120" w:line="360" w:lineRule="auto"/>
        <w:jc w:val="both"/>
        <w:rPr>
          <w:rFonts w:ascii="Times New Roman" w:eastAsia="Times New Roman" w:hAnsi="Times New Roman" w:cs="Times New Roman"/>
          <w:i/>
          <w:iCs/>
          <w:noProof/>
          <w:sz w:val="24"/>
          <w:szCs w:val="24"/>
          <w:lang w:val="en-GB"/>
        </w:rPr>
      </w:pPr>
      <w:r w:rsidRPr="002E744B">
        <w:rPr>
          <w:rFonts w:ascii="Times New Roman" w:eastAsia="Times New Roman" w:hAnsi="Times New Roman" w:cs="Times New Roman"/>
          <w:i/>
          <w:iCs/>
          <w:noProof/>
          <w:sz w:val="24"/>
          <w:szCs w:val="24"/>
          <w:lang w:val="en-GB"/>
        </w:rPr>
        <w:t>Text field [2 000]</w:t>
      </w:r>
    </w:p>
    <w:p w:rsidR="0002357F" w:rsidRPr="002E744B" w:rsidRDefault="0002357F" w:rsidP="00662466">
      <w:pPr>
        <w:pBdr>
          <w:top w:val="single" w:sz="4" w:space="1" w:color="auto"/>
          <w:left w:val="single" w:sz="4" w:space="4" w:color="auto"/>
          <w:bottom w:val="single" w:sz="4" w:space="1" w:color="auto"/>
          <w:right w:val="single" w:sz="4" w:space="4" w:color="auto"/>
        </w:pBdr>
        <w:spacing w:before="120" w:after="120" w:line="360" w:lineRule="auto"/>
        <w:jc w:val="both"/>
        <w:rPr>
          <w:rFonts w:ascii="Times New Roman" w:eastAsia="Times New Roman" w:hAnsi="Times New Roman" w:cs="Times New Roman"/>
          <w:i/>
          <w:noProof/>
          <w:sz w:val="24"/>
          <w:lang w:val="en-GB"/>
        </w:rPr>
      </w:pPr>
      <w:r>
        <w:rPr>
          <w:rFonts w:ascii="Times New Roman" w:eastAsia="Times New Roman" w:hAnsi="Times New Roman" w:cs="Times New Roman"/>
          <w:i/>
          <w:iCs/>
          <w:noProof/>
          <w:sz w:val="24"/>
          <w:szCs w:val="24"/>
          <w:lang w:val="en-GB"/>
        </w:rPr>
        <w:t>Regiunea Centru</w:t>
      </w:r>
    </w:p>
    <w:p w:rsidR="002E744B" w:rsidRPr="002E744B" w:rsidRDefault="002E744B" w:rsidP="00662466">
      <w:pPr>
        <w:spacing w:before="120" w:after="120" w:line="360" w:lineRule="auto"/>
        <w:jc w:val="both"/>
        <w:rPr>
          <w:rFonts w:ascii="Times New Roman" w:eastAsia="Times New Roman" w:hAnsi="Times New Roman" w:cs="Times New Roman"/>
          <w:b/>
          <w:i/>
          <w:iCs/>
          <w:noProof/>
          <w:sz w:val="24"/>
          <w:szCs w:val="24"/>
          <w:lang w:val="en-GB"/>
        </w:rPr>
      </w:pPr>
      <w:r w:rsidRPr="002E744B">
        <w:rPr>
          <w:rFonts w:ascii="Times New Roman" w:eastAsia="Times New Roman" w:hAnsi="Times New Roman" w:cs="Times New Roman"/>
          <w:i/>
          <w:noProof/>
          <w:sz w:val="24"/>
          <w:szCs w:val="24"/>
          <w:lang w:val="en-GB"/>
        </w:rPr>
        <w:t>The interregional and transnational actions  –Article – 17(3)(d)(v)</w:t>
      </w:r>
    </w:p>
    <w:p w:rsidR="002E744B" w:rsidRPr="002E744B" w:rsidRDefault="002E744B" w:rsidP="00662466">
      <w:pPr>
        <w:pBdr>
          <w:top w:val="single" w:sz="4" w:space="1" w:color="auto"/>
          <w:left w:val="single" w:sz="4" w:space="4" w:color="auto"/>
          <w:bottom w:val="single" w:sz="4" w:space="1" w:color="auto"/>
          <w:right w:val="single" w:sz="4" w:space="4" w:color="auto"/>
        </w:pBdr>
        <w:spacing w:before="120" w:after="120" w:line="360" w:lineRule="auto"/>
        <w:jc w:val="both"/>
        <w:rPr>
          <w:rFonts w:ascii="Times New Roman" w:eastAsia="Times New Roman" w:hAnsi="Times New Roman" w:cs="Times New Roman"/>
          <w:i/>
          <w:noProof/>
          <w:sz w:val="24"/>
          <w:lang w:val="en-GB"/>
        </w:rPr>
      </w:pPr>
      <w:r w:rsidRPr="002E744B">
        <w:rPr>
          <w:rFonts w:ascii="Times New Roman" w:eastAsia="Times New Roman" w:hAnsi="Times New Roman" w:cs="Times New Roman"/>
          <w:i/>
          <w:iCs/>
          <w:noProof/>
          <w:sz w:val="24"/>
          <w:szCs w:val="24"/>
          <w:lang w:val="en-GB"/>
        </w:rPr>
        <w:t>Text field [2 000]</w:t>
      </w:r>
    </w:p>
    <w:p w:rsidR="002E744B" w:rsidRPr="002E744B" w:rsidRDefault="002E744B" w:rsidP="00662466">
      <w:pPr>
        <w:spacing w:before="120" w:after="120" w:line="360" w:lineRule="auto"/>
        <w:jc w:val="both"/>
        <w:rPr>
          <w:rFonts w:ascii="Times New Roman" w:eastAsia="Times New Roman" w:hAnsi="Times New Roman" w:cs="Times New Roman"/>
          <w:b/>
          <w:i/>
          <w:iCs/>
          <w:noProof/>
          <w:sz w:val="24"/>
          <w:szCs w:val="24"/>
          <w:lang w:val="en-GB"/>
        </w:rPr>
      </w:pPr>
      <w:r w:rsidRPr="002E744B">
        <w:rPr>
          <w:rFonts w:ascii="Times New Roman" w:eastAsia="Times New Roman" w:hAnsi="Times New Roman" w:cs="Times New Roman"/>
          <w:i/>
          <w:noProof/>
          <w:sz w:val="24"/>
          <w:szCs w:val="24"/>
          <w:lang w:val="en-GB"/>
        </w:rPr>
        <w:t>The planned use of financial instruments – Article – 17(3)(d)(vi)</w:t>
      </w:r>
    </w:p>
    <w:p w:rsidR="002E744B" w:rsidRPr="002E744B" w:rsidRDefault="002E744B" w:rsidP="002E744B">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lang w:val="en-GB"/>
        </w:rPr>
      </w:pPr>
      <w:r w:rsidRPr="002E744B">
        <w:rPr>
          <w:rFonts w:ascii="Times New Roman" w:eastAsia="Times New Roman" w:hAnsi="Times New Roman" w:cs="Times New Roman"/>
          <w:i/>
          <w:iCs/>
          <w:noProof/>
          <w:sz w:val="24"/>
          <w:szCs w:val="24"/>
          <w:lang w:val="en-GB"/>
        </w:rPr>
        <w:t>Text field [1 000]</w:t>
      </w:r>
    </w:p>
    <w:p w:rsidR="002E744B" w:rsidRPr="002E744B" w:rsidRDefault="002E744B" w:rsidP="002E744B">
      <w:pPr>
        <w:spacing w:before="120" w:after="120" w:line="240" w:lineRule="auto"/>
        <w:rPr>
          <w:rFonts w:ascii="Times New Roman" w:eastAsia="Times New Roman" w:hAnsi="Times New Roman" w:cs="Times New Roman"/>
          <w:b/>
          <w:iCs/>
          <w:noProof/>
          <w:sz w:val="24"/>
          <w:szCs w:val="24"/>
          <w:lang w:val="en-GB"/>
        </w:rPr>
      </w:pPr>
      <w:r w:rsidRPr="002E744B">
        <w:rPr>
          <w:rFonts w:ascii="Times New Roman" w:eastAsia="Times New Roman" w:hAnsi="Times New Roman" w:cs="Times New Roman"/>
          <w:b/>
          <w:iCs/>
          <w:noProof/>
          <w:sz w:val="24"/>
          <w:szCs w:val="24"/>
          <w:lang w:val="en-GB"/>
        </w:rPr>
        <w:br w:type="page"/>
      </w:r>
    </w:p>
    <w:p w:rsidR="00F000AD" w:rsidRPr="00F000AD" w:rsidRDefault="00F000AD" w:rsidP="00F000AD">
      <w:pPr>
        <w:rPr>
          <w:b/>
          <w:iCs/>
          <w:lang w:val="en-GB"/>
        </w:rPr>
      </w:pPr>
      <w:r w:rsidRPr="00F000AD">
        <w:rPr>
          <w:b/>
          <w:iCs/>
          <w:lang w:val="en-GB"/>
        </w:rPr>
        <w:lastRenderedPageBreak/>
        <w:t>2.A.3.2 Indicators</w:t>
      </w:r>
    </w:p>
    <w:p w:rsidR="00F000AD" w:rsidRPr="00F000AD" w:rsidRDefault="00F000AD" w:rsidP="00F000AD">
      <w:pPr>
        <w:rPr>
          <w:b/>
          <w:bCs/>
          <w:i/>
          <w:u w:val="single"/>
          <w:lang w:val="en-GB"/>
        </w:rPr>
      </w:pPr>
      <w:r w:rsidRPr="00F000AD">
        <w:rPr>
          <w:i/>
          <w:lang w:val="en-GB"/>
        </w:rPr>
        <w:t xml:space="preserve">Reference: Article 17(3)(d)(ii) CPR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7"/>
        <w:gridCol w:w="1438"/>
        <w:gridCol w:w="761"/>
        <w:gridCol w:w="1039"/>
        <w:gridCol w:w="628"/>
        <w:gridCol w:w="1641"/>
        <w:gridCol w:w="1507"/>
        <w:gridCol w:w="1139"/>
        <w:gridCol w:w="804"/>
      </w:tblGrid>
      <w:tr w:rsidR="00F000AD" w:rsidRPr="00F000AD" w:rsidTr="00F000AD">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rPr>
                <w:b/>
                <w:lang w:val="en-US"/>
              </w:rPr>
            </w:pPr>
            <w:r w:rsidRPr="00F000AD">
              <w:rPr>
                <w:b/>
                <w:iCs/>
                <w:lang w:val="en-US"/>
              </w:rPr>
              <w:t>Table 2: Output indicators</w:t>
            </w:r>
          </w:p>
        </w:tc>
      </w:tr>
      <w:tr w:rsidR="00F000AD" w:rsidRPr="00F000AD" w:rsidTr="00F000AD">
        <w:trPr>
          <w:trHeight w:val="1647"/>
        </w:trPr>
        <w:tc>
          <w:tcPr>
            <w:tcW w:w="408" w:type="pct"/>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rPr>
                <w:b/>
                <w:lang w:val="en-US"/>
              </w:rPr>
            </w:pPr>
            <w:r w:rsidRPr="00F000AD">
              <w:rPr>
                <w:b/>
                <w:lang w:val="en-US"/>
              </w:rPr>
              <w:t xml:space="preserve">Priority </w:t>
            </w:r>
          </w:p>
        </w:tc>
        <w:tc>
          <w:tcPr>
            <w:tcW w:w="447" w:type="pct"/>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rPr>
                <w:b/>
                <w:lang w:val="en-US"/>
              </w:rPr>
            </w:pPr>
            <w:r w:rsidRPr="00F000AD">
              <w:rPr>
                <w:b/>
                <w:lang w:val="en-US"/>
              </w:rPr>
              <w:t>Specific objective (Investment for Jobs and Growth goal or EMFF)</w:t>
            </w:r>
          </w:p>
        </w:tc>
        <w:tc>
          <w:tcPr>
            <w:tcW w:w="317" w:type="pct"/>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rPr>
                <w:b/>
                <w:lang w:val="en-US"/>
              </w:rPr>
            </w:pPr>
            <w:r w:rsidRPr="00F000AD">
              <w:rPr>
                <w:b/>
                <w:lang w:val="en-US"/>
              </w:rPr>
              <w:t>Fund</w:t>
            </w:r>
          </w:p>
        </w:tc>
        <w:tc>
          <w:tcPr>
            <w:tcW w:w="456" w:type="pct"/>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rPr>
                <w:b/>
                <w:lang w:val="en-US"/>
              </w:rPr>
            </w:pPr>
            <w:r w:rsidRPr="00F000AD">
              <w:rPr>
                <w:b/>
                <w:lang w:val="en-US"/>
              </w:rPr>
              <w:t>Category of region</w:t>
            </w:r>
          </w:p>
        </w:tc>
        <w:tc>
          <w:tcPr>
            <w:tcW w:w="217" w:type="pct"/>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rPr>
                <w:b/>
                <w:lang w:val="en-US"/>
              </w:rPr>
            </w:pPr>
            <w:r w:rsidRPr="00F000AD">
              <w:rPr>
                <w:b/>
                <w:lang w:val="en-US"/>
              </w:rPr>
              <w:t>ID [5]</w:t>
            </w:r>
          </w:p>
        </w:tc>
        <w:tc>
          <w:tcPr>
            <w:tcW w:w="1204" w:type="pct"/>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rPr>
                <w:b/>
                <w:lang w:val="en-US"/>
              </w:rPr>
            </w:pPr>
            <w:r w:rsidRPr="00F000AD">
              <w:rPr>
                <w:b/>
                <w:lang w:val="en-US"/>
              </w:rPr>
              <w:t xml:space="preserve">Indicator [255] </w:t>
            </w:r>
          </w:p>
        </w:tc>
        <w:tc>
          <w:tcPr>
            <w:tcW w:w="636" w:type="pct"/>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rPr>
                <w:b/>
                <w:lang w:val="en-US"/>
              </w:rPr>
            </w:pPr>
            <w:r w:rsidRPr="00F000AD">
              <w:rPr>
                <w:b/>
                <w:lang w:val="en-US"/>
              </w:rPr>
              <w:t>Measurement unit</w:t>
            </w:r>
          </w:p>
        </w:tc>
        <w:tc>
          <w:tcPr>
            <w:tcW w:w="596"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rPr>
                <w:b/>
                <w:lang w:val="en-US"/>
              </w:rPr>
            </w:pPr>
            <w:r w:rsidRPr="00F000AD">
              <w:rPr>
                <w:b/>
                <w:lang w:val="en-US"/>
              </w:rPr>
              <w:t>Milestone (2024)</w:t>
            </w:r>
          </w:p>
          <w:p w:rsidR="00F000AD" w:rsidRPr="00F000AD" w:rsidRDefault="00F000AD" w:rsidP="00F000AD">
            <w:pPr>
              <w:rPr>
                <w:b/>
                <w:lang w:val="en-US"/>
              </w:rPr>
            </w:pPr>
          </w:p>
        </w:tc>
        <w:tc>
          <w:tcPr>
            <w:tcW w:w="719"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rPr>
                <w:b/>
                <w:lang w:val="en-US"/>
              </w:rPr>
            </w:pPr>
            <w:r w:rsidRPr="00F000AD">
              <w:rPr>
                <w:b/>
                <w:lang w:val="en-US"/>
              </w:rPr>
              <w:t>Target (2029)</w:t>
            </w:r>
          </w:p>
          <w:p w:rsidR="00F000AD" w:rsidRPr="00F000AD" w:rsidRDefault="00F000AD" w:rsidP="00F000AD">
            <w:pPr>
              <w:rPr>
                <w:b/>
                <w:lang w:val="en-US"/>
              </w:rPr>
            </w:pPr>
          </w:p>
        </w:tc>
      </w:tr>
      <w:tr w:rsidR="00F000AD" w:rsidRPr="00F000AD" w:rsidTr="00F000AD">
        <w:trPr>
          <w:trHeight w:val="340"/>
        </w:trPr>
        <w:tc>
          <w:tcPr>
            <w:tcW w:w="408" w:type="pct"/>
            <w:tcBorders>
              <w:top w:val="single" w:sz="4" w:space="0" w:color="auto"/>
              <w:left w:val="single" w:sz="4" w:space="0" w:color="auto"/>
              <w:bottom w:val="single" w:sz="4" w:space="0" w:color="auto"/>
              <w:right w:val="single" w:sz="4" w:space="0" w:color="auto"/>
            </w:tcBorders>
          </w:tcPr>
          <w:p w:rsidR="00F000AD" w:rsidRPr="00321DEF" w:rsidRDefault="00787192" w:rsidP="00F000AD">
            <w:pPr>
              <w:rPr>
                <w:rFonts w:ascii="Times New Roman" w:hAnsi="Times New Roman" w:cs="Times New Roman"/>
                <w:b/>
                <w:i/>
                <w:sz w:val="20"/>
                <w:szCs w:val="20"/>
                <w:lang w:val="en-US"/>
              </w:rPr>
            </w:pPr>
            <w:r w:rsidRPr="00321DEF">
              <w:rPr>
                <w:rFonts w:ascii="Times New Roman" w:hAnsi="Times New Roman" w:cs="Times New Roman"/>
                <w:b/>
                <w:i/>
                <w:sz w:val="20"/>
                <w:szCs w:val="20"/>
                <w:lang w:val="en-US"/>
              </w:rPr>
              <w:t>4.0</w:t>
            </w:r>
          </w:p>
        </w:tc>
        <w:tc>
          <w:tcPr>
            <w:tcW w:w="447" w:type="pct"/>
            <w:tcBorders>
              <w:top w:val="single" w:sz="4" w:space="0" w:color="auto"/>
              <w:left w:val="single" w:sz="4" w:space="0" w:color="auto"/>
              <w:bottom w:val="single" w:sz="4" w:space="0" w:color="auto"/>
              <w:right w:val="single" w:sz="4" w:space="0" w:color="auto"/>
            </w:tcBorders>
          </w:tcPr>
          <w:p w:rsidR="00F000AD" w:rsidRPr="00321DEF" w:rsidRDefault="005423BD" w:rsidP="00F000AD">
            <w:pPr>
              <w:rPr>
                <w:rFonts w:ascii="Times New Roman" w:hAnsi="Times New Roman" w:cs="Times New Roman"/>
                <w:b/>
                <w:sz w:val="20"/>
                <w:szCs w:val="20"/>
                <w:lang w:val="en-US"/>
              </w:rPr>
            </w:pPr>
            <w:r w:rsidRPr="00321DEF">
              <w:rPr>
                <w:rFonts w:ascii="Times New Roman" w:hAnsi="Times New Roman" w:cs="Times New Roman"/>
                <w:sz w:val="20"/>
                <w:szCs w:val="20"/>
              </w:rPr>
              <w:t>OS c (iii) Dezvoltarea unei mobilități naționale, regionale și locale durabile, reziliente în fața schimbărilor climatice, inteligente și intermodale, inclusiv îmbunătățirea accesului la TEN-T și a mobilității transfrontaliere</w:t>
            </w:r>
          </w:p>
        </w:tc>
        <w:tc>
          <w:tcPr>
            <w:tcW w:w="317" w:type="pct"/>
            <w:tcBorders>
              <w:top w:val="single" w:sz="4" w:space="0" w:color="auto"/>
              <w:left w:val="single" w:sz="4" w:space="0" w:color="auto"/>
              <w:bottom w:val="single" w:sz="4" w:space="0" w:color="auto"/>
              <w:right w:val="single" w:sz="4" w:space="0" w:color="auto"/>
            </w:tcBorders>
          </w:tcPr>
          <w:p w:rsidR="00F000AD" w:rsidRPr="00321DEF" w:rsidRDefault="005423BD" w:rsidP="00F000AD">
            <w:pPr>
              <w:rPr>
                <w:rFonts w:ascii="Times New Roman" w:hAnsi="Times New Roman" w:cs="Times New Roman"/>
                <w:b/>
                <w:sz w:val="20"/>
                <w:szCs w:val="20"/>
                <w:lang w:val="en-US"/>
              </w:rPr>
            </w:pPr>
            <w:r w:rsidRPr="00321DEF">
              <w:rPr>
                <w:rFonts w:ascii="Times New Roman" w:hAnsi="Times New Roman" w:cs="Times New Roman"/>
                <w:b/>
                <w:sz w:val="20"/>
                <w:szCs w:val="20"/>
                <w:lang w:val="en-US"/>
              </w:rPr>
              <w:t>FEDR</w:t>
            </w:r>
          </w:p>
        </w:tc>
        <w:tc>
          <w:tcPr>
            <w:tcW w:w="456" w:type="pct"/>
            <w:tcBorders>
              <w:top w:val="single" w:sz="4" w:space="0" w:color="auto"/>
              <w:left w:val="single" w:sz="4" w:space="0" w:color="auto"/>
              <w:bottom w:val="single" w:sz="4" w:space="0" w:color="auto"/>
              <w:right w:val="single" w:sz="4" w:space="0" w:color="auto"/>
            </w:tcBorders>
          </w:tcPr>
          <w:p w:rsidR="00F000AD" w:rsidRPr="00321DEF" w:rsidRDefault="005423BD" w:rsidP="00F000AD">
            <w:pPr>
              <w:rPr>
                <w:rFonts w:ascii="Times New Roman" w:hAnsi="Times New Roman" w:cs="Times New Roman"/>
                <w:b/>
                <w:i/>
                <w:sz w:val="20"/>
                <w:szCs w:val="20"/>
                <w:lang w:val="en-US"/>
              </w:rPr>
            </w:pPr>
            <w:r w:rsidRPr="00321DEF">
              <w:rPr>
                <w:rFonts w:ascii="Times New Roman" w:hAnsi="Times New Roman" w:cs="Times New Roman"/>
                <w:b/>
                <w:i/>
                <w:sz w:val="20"/>
                <w:szCs w:val="20"/>
                <w:lang w:val="en-US"/>
              </w:rPr>
              <w:t>Mai pu</w:t>
            </w:r>
            <w:r w:rsidR="00652ABF">
              <w:rPr>
                <w:rFonts w:ascii="Times New Roman" w:hAnsi="Times New Roman" w:cs="Times New Roman"/>
                <w:b/>
                <w:i/>
                <w:sz w:val="20"/>
                <w:szCs w:val="20"/>
                <w:lang w:val="en-US"/>
              </w:rPr>
              <w:t>ț</w:t>
            </w:r>
            <w:r w:rsidRPr="00321DEF">
              <w:rPr>
                <w:rFonts w:ascii="Times New Roman" w:hAnsi="Times New Roman" w:cs="Times New Roman"/>
                <w:b/>
                <w:i/>
                <w:sz w:val="20"/>
                <w:szCs w:val="20"/>
                <w:lang w:val="en-US"/>
              </w:rPr>
              <w:t>in dezvoltat</w:t>
            </w:r>
            <w:r w:rsidR="00652ABF">
              <w:rPr>
                <w:rFonts w:ascii="Times New Roman" w:hAnsi="Times New Roman" w:cs="Times New Roman"/>
                <w:b/>
                <w:i/>
                <w:sz w:val="20"/>
                <w:szCs w:val="20"/>
                <w:lang w:val="en-US"/>
              </w:rPr>
              <w:t>ă</w:t>
            </w:r>
          </w:p>
        </w:tc>
        <w:tc>
          <w:tcPr>
            <w:tcW w:w="217" w:type="pct"/>
            <w:tcBorders>
              <w:top w:val="single" w:sz="4" w:space="0" w:color="auto"/>
              <w:left w:val="single" w:sz="4" w:space="0" w:color="auto"/>
              <w:bottom w:val="single" w:sz="4" w:space="0" w:color="auto"/>
              <w:right w:val="single" w:sz="4" w:space="0" w:color="auto"/>
            </w:tcBorders>
          </w:tcPr>
          <w:p w:rsidR="00F000AD" w:rsidRPr="00321DEF" w:rsidRDefault="005423BD" w:rsidP="00F000AD">
            <w:pPr>
              <w:rPr>
                <w:rFonts w:ascii="Times New Roman" w:hAnsi="Times New Roman" w:cs="Times New Roman"/>
                <w:noProof/>
                <w:color w:val="000000"/>
                <w:sz w:val="20"/>
                <w:szCs w:val="20"/>
              </w:rPr>
            </w:pPr>
            <w:r w:rsidRPr="00321DEF">
              <w:rPr>
                <w:rFonts w:ascii="Times New Roman" w:hAnsi="Times New Roman" w:cs="Times New Roman"/>
                <w:noProof/>
                <w:color w:val="000000"/>
                <w:sz w:val="20"/>
                <w:szCs w:val="20"/>
              </w:rPr>
              <w:t>RCO 44</w:t>
            </w:r>
          </w:p>
          <w:p w:rsidR="00DD66FF" w:rsidRPr="00321DEF" w:rsidRDefault="00DD66FF" w:rsidP="00F000AD">
            <w:pPr>
              <w:rPr>
                <w:rFonts w:ascii="Times New Roman" w:hAnsi="Times New Roman" w:cs="Times New Roman"/>
                <w:noProof/>
                <w:color w:val="000000"/>
                <w:sz w:val="20"/>
                <w:szCs w:val="20"/>
              </w:rPr>
            </w:pPr>
          </w:p>
          <w:p w:rsidR="00DD66FF" w:rsidRPr="00321DEF" w:rsidRDefault="00DD66FF" w:rsidP="00F000AD">
            <w:pPr>
              <w:rPr>
                <w:rFonts w:ascii="Times New Roman" w:hAnsi="Times New Roman" w:cs="Times New Roman"/>
                <w:noProof/>
                <w:color w:val="000000"/>
                <w:sz w:val="20"/>
                <w:szCs w:val="20"/>
              </w:rPr>
            </w:pPr>
          </w:p>
          <w:p w:rsidR="00DD66FF" w:rsidRPr="00321DEF" w:rsidRDefault="00DD66FF" w:rsidP="00F000AD">
            <w:pPr>
              <w:rPr>
                <w:rFonts w:ascii="Times New Roman" w:hAnsi="Times New Roman" w:cs="Times New Roman"/>
                <w:b/>
                <w:i/>
                <w:sz w:val="20"/>
                <w:szCs w:val="20"/>
                <w:lang w:val="en-US"/>
              </w:rPr>
            </w:pPr>
          </w:p>
        </w:tc>
        <w:tc>
          <w:tcPr>
            <w:tcW w:w="1204" w:type="pct"/>
            <w:tcBorders>
              <w:top w:val="single" w:sz="4" w:space="0" w:color="auto"/>
              <w:left w:val="single" w:sz="4" w:space="0" w:color="auto"/>
              <w:bottom w:val="single" w:sz="4" w:space="0" w:color="auto"/>
              <w:right w:val="single" w:sz="4" w:space="0" w:color="auto"/>
            </w:tcBorders>
          </w:tcPr>
          <w:p w:rsidR="00F000AD" w:rsidRPr="00321DEF" w:rsidRDefault="00DD66FF" w:rsidP="00F000AD">
            <w:pPr>
              <w:rPr>
                <w:rFonts w:ascii="Times New Roman" w:eastAsia="Times New Roman" w:hAnsi="Times New Roman" w:cs="Times New Roman"/>
                <w:bCs/>
                <w:color w:val="000000"/>
                <w:sz w:val="20"/>
                <w:szCs w:val="20"/>
                <w:lang w:eastAsia="en-GB"/>
              </w:rPr>
            </w:pPr>
            <w:r w:rsidRPr="00321DEF">
              <w:rPr>
                <w:rFonts w:ascii="Times New Roman" w:eastAsia="Times New Roman" w:hAnsi="Times New Roman" w:cs="Times New Roman"/>
                <w:color w:val="000000"/>
                <w:sz w:val="20"/>
                <w:szCs w:val="20"/>
                <w:lang w:eastAsia="en-GB"/>
              </w:rPr>
              <w:t xml:space="preserve">Length of new </w:t>
            </w:r>
            <w:r w:rsidRPr="00321DEF">
              <w:rPr>
                <w:rFonts w:ascii="Times New Roman" w:eastAsia="Times New Roman" w:hAnsi="Times New Roman" w:cs="Times New Roman"/>
                <w:bCs/>
                <w:color w:val="000000"/>
                <w:sz w:val="20"/>
                <w:szCs w:val="20"/>
                <w:lang w:eastAsia="en-GB"/>
              </w:rPr>
              <w:t>or upgraded</w:t>
            </w:r>
            <w:r w:rsidRPr="00321DEF">
              <w:rPr>
                <w:rFonts w:ascii="Times New Roman" w:eastAsia="Times New Roman" w:hAnsi="Times New Roman" w:cs="Times New Roman"/>
                <w:color w:val="000000"/>
                <w:sz w:val="20"/>
                <w:szCs w:val="20"/>
                <w:lang w:eastAsia="en-GB"/>
              </w:rPr>
              <w:t xml:space="preserve"> roads –</w:t>
            </w:r>
            <w:r w:rsidRPr="00321DEF">
              <w:rPr>
                <w:rFonts w:ascii="Times New Roman" w:eastAsia="Times New Roman" w:hAnsi="Times New Roman" w:cs="Times New Roman"/>
                <w:bCs/>
                <w:color w:val="000000"/>
                <w:sz w:val="20"/>
                <w:szCs w:val="20"/>
                <w:lang w:eastAsia="en-GB"/>
              </w:rPr>
              <w:t>non-TEN-T</w:t>
            </w:r>
          </w:p>
          <w:p w:rsidR="00DD66FF" w:rsidRPr="00321DEF" w:rsidRDefault="00DD66FF" w:rsidP="00F000AD">
            <w:pPr>
              <w:rPr>
                <w:rFonts w:ascii="Times New Roman" w:hAnsi="Times New Roman" w:cs="Times New Roman"/>
                <w:b/>
                <w:i/>
                <w:sz w:val="20"/>
                <w:szCs w:val="20"/>
                <w:lang w:val="en-US"/>
              </w:rPr>
            </w:pPr>
          </w:p>
        </w:tc>
        <w:tc>
          <w:tcPr>
            <w:tcW w:w="636" w:type="pct"/>
            <w:tcBorders>
              <w:top w:val="single" w:sz="4" w:space="0" w:color="auto"/>
              <w:left w:val="single" w:sz="4" w:space="0" w:color="auto"/>
              <w:bottom w:val="single" w:sz="4" w:space="0" w:color="auto"/>
              <w:right w:val="single" w:sz="4" w:space="0" w:color="auto"/>
            </w:tcBorders>
          </w:tcPr>
          <w:p w:rsidR="00F000AD" w:rsidRPr="00321DEF" w:rsidRDefault="00DD66FF" w:rsidP="00F000AD">
            <w:pPr>
              <w:rPr>
                <w:rFonts w:ascii="Times New Roman" w:hAnsi="Times New Roman" w:cs="Times New Roman"/>
                <w:b/>
                <w:i/>
                <w:sz w:val="20"/>
                <w:szCs w:val="20"/>
                <w:lang w:val="en-US"/>
              </w:rPr>
            </w:pPr>
            <w:r w:rsidRPr="00321DEF">
              <w:rPr>
                <w:rFonts w:ascii="Times New Roman" w:hAnsi="Times New Roman" w:cs="Times New Roman"/>
                <w:b/>
                <w:i/>
                <w:sz w:val="20"/>
                <w:szCs w:val="20"/>
                <w:lang w:val="en-US"/>
              </w:rPr>
              <w:t>km</w:t>
            </w:r>
          </w:p>
        </w:tc>
        <w:tc>
          <w:tcPr>
            <w:tcW w:w="596" w:type="pct"/>
            <w:tcBorders>
              <w:top w:val="single" w:sz="4" w:space="0" w:color="auto"/>
              <w:left w:val="single" w:sz="4" w:space="0" w:color="auto"/>
              <w:bottom w:val="single" w:sz="4" w:space="0" w:color="auto"/>
              <w:right w:val="single" w:sz="4" w:space="0" w:color="auto"/>
            </w:tcBorders>
          </w:tcPr>
          <w:p w:rsidR="00F000AD" w:rsidRPr="00321DEF" w:rsidRDefault="008239CE" w:rsidP="00F000AD">
            <w:pPr>
              <w:rPr>
                <w:rFonts w:ascii="Times New Roman" w:hAnsi="Times New Roman" w:cs="Times New Roman"/>
                <w:b/>
                <w:i/>
                <w:sz w:val="20"/>
                <w:szCs w:val="20"/>
                <w:lang w:val="en-US"/>
              </w:rPr>
            </w:pPr>
            <w:r>
              <w:rPr>
                <w:rFonts w:ascii="Times New Roman" w:hAnsi="Times New Roman" w:cs="Times New Roman"/>
                <w:b/>
                <w:i/>
                <w:sz w:val="20"/>
                <w:szCs w:val="20"/>
                <w:lang w:val="en-US"/>
              </w:rPr>
              <w:t>3</w:t>
            </w:r>
          </w:p>
        </w:tc>
        <w:tc>
          <w:tcPr>
            <w:tcW w:w="719" w:type="pct"/>
            <w:tcBorders>
              <w:top w:val="single" w:sz="4" w:space="0" w:color="auto"/>
              <w:left w:val="single" w:sz="4" w:space="0" w:color="auto"/>
              <w:bottom w:val="single" w:sz="4" w:space="0" w:color="auto"/>
              <w:right w:val="single" w:sz="4" w:space="0" w:color="auto"/>
            </w:tcBorders>
          </w:tcPr>
          <w:p w:rsidR="00F000AD" w:rsidRPr="00321DEF" w:rsidRDefault="008239CE" w:rsidP="00F000AD">
            <w:pPr>
              <w:rPr>
                <w:rFonts w:ascii="Times New Roman" w:hAnsi="Times New Roman" w:cs="Times New Roman"/>
                <w:b/>
                <w:i/>
                <w:sz w:val="20"/>
                <w:szCs w:val="20"/>
                <w:lang w:val="en-US"/>
              </w:rPr>
            </w:pPr>
            <w:r>
              <w:rPr>
                <w:rFonts w:ascii="Times New Roman" w:hAnsi="Times New Roman" w:cs="Times New Roman"/>
                <w:b/>
                <w:i/>
                <w:sz w:val="20"/>
                <w:szCs w:val="20"/>
                <w:lang w:val="en-US"/>
              </w:rPr>
              <w:t>10</w:t>
            </w:r>
          </w:p>
        </w:tc>
      </w:tr>
      <w:tr w:rsidR="00F000AD" w:rsidRPr="00F000AD" w:rsidTr="00F000AD">
        <w:trPr>
          <w:trHeight w:val="332"/>
        </w:trPr>
        <w:tc>
          <w:tcPr>
            <w:tcW w:w="408"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rPr>
                <w:b/>
                <w:i/>
                <w:lang w:val="en-US"/>
              </w:rPr>
            </w:pPr>
          </w:p>
        </w:tc>
        <w:tc>
          <w:tcPr>
            <w:tcW w:w="447" w:type="pct"/>
            <w:tcBorders>
              <w:top w:val="single" w:sz="4" w:space="0" w:color="auto"/>
              <w:left w:val="single" w:sz="4" w:space="0" w:color="auto"/>
              <w:bottom w:val="single" w:sz="4" w:space="0" w:color="auto"/>
              <w:right w:val="single" w:sz="4" w:space="0" w:color="auto"/>
            </w:tcBorders>
          </w:tcPr>
          <w:p w:rsidR="00F000AD" w:rsidRPr="00321DEF" w:rsidRDefault="00F000AD" w:rsidP="00F000AD">
            <w:pPr>
              <w:rPr>
                <w:rFonts w:ascii="Times New Roman" w:hAnsi="Times New Roman" w:cs="Times New Roman"/>
                <w:b/>
                <w:i/>
                <w:lang w:val="en-US"/>
              </w:rPr>
            </w:pPr>
          </w:p>
        </w:tc>
        <w:tc>
          <w:tcPr>
            <w:tcW w:w="317" w:type="pct"/>
            <w:tcBorders>
              <w:top w:val="single" w:sz="4" w:space="0" w:color="auto"/>
              <w:left w:val="single" w:sz="4" w:space="0" w:color="auto"/>
              <w:bottom w:val="single" w:sz="4" w:space="0" w:color="auto"/>
              <w:right w:val="single" w:sz="4" w:space="0" w:color="auto"/>
            </w:tcBorders>
          </w:tcPr>
          <w:p w:rsidR="00F000AD" w:rsidRPr="00321DEF" w:rsidRDefault="00F000AD" w:rsidP="00F000AD">
            <w:pPr>
              <w:rPr>
                <w:rFonts w:ascii="Times New Roman" w:hAnsi="Times New Roman" w:cs="Times New Roman"/>
                <w:b/>
                <w:i/>
                <w:lang w:val="en-US"/>
              </w:rPr>
            </w:pPr>
          </w:p>
        </w:tc>
        <w:tc>
          <w:tcPr>
            <w:tcW w:w="456" w:type="pct"/>
            <w:tcBorders>
              <w:top w:val="single" w:sz="4" w:space="0" w:color="auto"/>
              <w:left w:val="single" w:sz="4" w:space="0" w:color="auto"/>
              <w:bottom w:val="single" w:sz="4" w:space="0" w:color="auto"/>
              <w:right w:val="single" w:sz="4" w:space="0" w:color="auto"/>
            </w:tcBorders>
          </w:tcPr>
          <w:p w:rsidR="00F000AD" w:rsidRPr="00321DEF" w:rsidRDefault="00F000AD" w:rsidP="00F000AD">
            <w:pPr>
              <w:rPr>
                <w:rFonts w:ascii="Times New Roman" w:hAnsi="Times New Roman" w:cs="Times New Roman"/>
                <w:b/>
                <w:i/>
                <w:lang w:val="en-US"/>
              </w:rPr>
            </w:pPr>
          </w:p>
        </w:tc>
        <w:tc>
          <w:tcPr>
            <w:tcW w:w="217" w:type="pct"/>
            <w:tcBorders>
              <w:top w:val="single" w:sz="4" w:space="0" w:color="auto"/>
              <w:left w:val="single" w:sz="4" w:space="0" w:color="auto"/>
              <w:bottom w:val="single" w:sz="4" w:space="0" w:color="auto"/>
              <w:right w:val="single" w:sz="4" w:space="0" w:color="auto"/>
            </w:tcBorders>
          </w:tcPr>
          <w:p w:rsidR="00F000AD" w:rsidRPr="00321DEF" w:rsidRDefault="00C44223" w:rsidP="00F000AD">
            <w:pPr>
              <w:rPr>
                <w:rFonts w:ascii="Times New Roman" w:hAnsi="Times New Roman" w:cs="Times New Roman"/>
                <w:b/>
                <w:i/>
                <w:sz w:val="20"/>
                <w:szCs w:val="20"/>
                <w:lang w:val="en-US"/>
              </w:rPr>
            </w:pPr>
            <w:r w:rsidRPr="00321DEF">
              <w:rPr>
                <w:rFonts w:ascii="Times New Roman" w:hAnsi="Times New Roman" w:cs="Times New Roman"/>
                <w:b/>
                <w:i/>
                <w:sz w:val="20"/>
                <w:szCs w:val="20"/>
                <w:lang w:val="en-US"/>
              </w:rPr>
              <w:t>RCO 46</w:t>
            </w:r>
          </w:p>
        </w:tc>
        <w:tc>
          <w:tcPr>
            <w:tcW w:w="1204" w:type="pct"/>
            <w:tcBorders>
              <w:top w:val="single" w:sz="4" w:space="0" w:color="auto"/>
              <w:left w:val="single" w:sz="4" w:space="0" w:color="auto"/>
              <w:bottom w:val="single" w:sz="4" w:space="0" w:color="auto"/>
              <w:right w:val="single" w:sz="4" w:space="0" w:color="auto"/>
            </w:tcBorders>
          </w:tcPr>
          <w:p w:rsidR="00F000AD" w:rsidRPr="00321DEF" w:rsidRDefault="00C44223" w:rsidP="00F000AD">
            <w:pPr>
              <w:rPr>
                <w:rFonts w:ascii="Times New Roman" w:hAnsi="Times New Roman" w:cs="Times New Roman"/>
                <w:b/>
                <w:i/>
                <w:sz w:val="20"/>
                <w:szCs w:val="20"/>
                <w:lang w:val="en-US"/>
              </w:rPr>
            </w:pPr>
            <w:r w:rsidRPr="00321DEF">
              <w:rPr>
                <w:rFonts w:ascii="Times New Roman" w:eastAsia="Times New Roman" w:hAnsi="Times New Roman" w:cs="Times New Roman"/>
                <w:color w:val="000000"/>
                <w:sz w:val="20"/>
                <w:szCs w:val="20"/>
                <w:lang w:eastAsia="en-GB"/>
              </w:rPr>
              <w:t xml:space="preserve">Length of roads reconstructed or </w:t>
            </w:r>
            <w:r w:rsidRPr="00321DEF">
              <w:rPr>
                <w:rFonts w:ascii="Times New Roman" w:eastAsia="Times New Roman" w:hAnsi="Times New Roman" w:cs="Times New Roman"/>
                <w:bCs/>
                <w:color w:val="000000"/>
                <w:sz w:val="20"/>
                <w:szCs w:val="20"/>
                <w:lang w:eastAsia="en-GB"/>
              </w:rPr>
              <w:t>modernised</w:t>
            </w:r>
            <w:r w:rsidRPr="00321DEF">
              <w:rPr>
                <w:rFonts w:ascii="Times New Roman" w:eastAsia="Times New Roman" w:hAnsi="Times New Roman" w:cs="Times New Roman"/>
                <w:color w:val="000000"/>
                <w:sz w:val="20"/>
                <w:szCs w:val="20"/>
                <w:lang w:eastAsia="en-GB"/>
              </w:rPr>
              <w:t xml:space="preserve"> - </w:t>
            </w:r>
            <w:r w:rsidRPr="00321DEF">
              <w:rPr>
                <w:rFonts w:ascii="Times New Roman" w:eastAsia="Times New Roman" w:hAnsi="Times New Roman" w:cs="Times New Roman"/>
                <w:bCs/>
                <w:color w:val="000000"/>
                <w:sz w:val="20"/>
                <w:szCs w:val="20"/>
                <w:lang w:eastAsia="en-GB"/>
              </w:rPr>
              <w:t>non-TEN-T</w:t>
            </w:r>
          </w:p>
        </w:tc>
        <w:tc>
          <w:tcPr>
            <w:tcW w:w="636" w:type="pct"/>
            <w:tcBorders>
              <w:top w:val="single" w:sz="4" w:space="0" w:color="auto"/>
              <w:left w:val="single" w:sz="4" w:space="0" w:color="auto"/>
              <w:bottom w:val="single" w:sz="4" w:space="0" w:color="auto"/>
              <w:right w:val="single" w:sz="4" w:space="0" w:color="auto"/>
            </w:tcBorders>
          </w:tcPr>
          <w:p w:rsidR="00F000AD" w:rsidRPr="00321DEF" w:rsidRDefault="00C44223" w:rsidP="00F000AD">
            <w:pPr>
              <w:rPr>
                <w:rFonts w:ascii="Times New Roman" w:hAnsi="Times New Roman" w:cs="Times New Roman"/>
                <w:b/>
                <w:i/>
                <w:sz w:val="20"/>
                <w:szCs w:val="20"/>
                <w:lang w:val="en-US"/>
              </w:rPr>
            </w:pPr>
            <w:r w:rsidRPr="00321DEF">
              <w:rPr>
                <w:rFonts w:ascii="Times New Roman" w:hAnsi="Times New Roman" w:cs="Times New Roman"/>
                <w:b/>
                <w:i/>
                <w:sz w:val="20"/>
                <w:szCs w:val="20"/>
                <w:lang w:val="en-US"/>
              </w:rPr>
              <w:t>km</w:t>
            </w:r>
          </w:p>
        </w:tc>
        <w:tc>
          <w:tcPr>
            <w:tcW w:w="596" w:type="pct"/>
            <w:tcBorders>
              <w:top w:val="single" w:sz="4" w:space="0" w:color="auto"/>
              <w:left w:val="single" w:sz="4" w:space="0" w:color="auto"/>
              <w:bottom w:val="single" w:sz="4" w:space="0" w:color="auto"/>
              <w:right w:val="single" w:sz="4" w:space="0" w:color="auto"/>
            </w:tcBorders>
          </w:tcPr>
          <w:p w:rsidR="00F000AD" w:rsidRPr="00321DEF" w:rsidRDefault="008239CE" w:rsidP="00F000AD">
            <w:pPr>
              <w:rPr>
                <w:rFonts w:ascii="Times New Roman" w:hAnsi="Times New Roman" w:cs="Times New Roman"/>
                <w:b/>
                <w:lang w:val="en-US"/>
              </w:rPr>
            </w:pPr>
            <w:r>
              <w:rPr>
                <w:rFonts w:ascii="Times New Roman" w:hAnsi="Times New Roman" w:cs="Times New Roman"/>
                <w:b/>
                <w:lang w:val="en-US"/>
              </w:rPr>
              <w:t>79</w:t>
            </w:r>
          </w:p>
        </w:tc>
        <w:tc>
          <w:tcPr>
            <w:tcW w:w="719" w:type="pct"/>
            <w:tcBorders>
              <w:top w:val="single" w:sz="4" w:space="0" w:color="auto"/>
              <w:left w:val="single" w:sz="4" w:space="0" w:color="auto"/>
              <w:bottom w:val="single" w:sz="4" w:space="0" w:color="auto"/>
              <w:right w:val="single" w:sz="4" w:space="0" w:color="auto"/>
            </w:tcBorders>
          </w:tcPr>
          <w:p w:rsidR="00F000AD" w:rsidRPr="00321DEF" w:rsidRDefault="008239CE" w:rsidP="00F000AD">
            <w:pPr>
              <w:rPr>
                <w:rFonts w:ascii="Times New Roman" w:hAnsi="Times New Roman" w:cs="Times New Roman"/>
                <w:b/>
                <w:lang w:val="en-US"/>
              </w:rPr>
            </w:pPr>
            <w:r>
              <w:rPr>
                <w:rFonts w:ascii="Times New Roman" w:hAnsi="Times New Roman" w:cs="Times New Roman"/>
                <w:b/>
                <w:lang w:val="en-US"/>
              </w:rPr>
              <w:t>266</w:t>
            </w:r>
          </w:p>
        </w:tc>
      </w:tr>
    </w:tbl>
    <w:p w:rsidR="00F143F9" w:rsidRPr="00F000AD" w:rsidRDefault="00F143F9" w:rsidP="00F000AD">
      <w:pPr>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7"/>
        <w:gridCol w:w="1121"/>
        <w:gridCol w:w="607"/>
        <w:gridCol w:w="806"/>
        <w:gridCol w:w="808"/>
        <w:gridCol w:w="1198"/>
        <w:gridCol w:w="660"/>
        <w:gridCol w:w="845"/>
        <w:gridCol w:w="879"/>
        <w:gridCol w:w="639"/>
        <w:gridCol w:w="664"/>
        <w:gridCol w:w="920"/>
      </w:tblGrid>
      <w:tr w:rsidR="00F000AD" w:rsidRPr="00F000AD" w:rsidTr="00321DEF">
        <w:trPr>
          <w:trHeight w:val="480"/>
        </w:trPr>
        <w:tc>
          <w:tcPr>
            <w:tcW w:w="5000" w:type="pct"/>
            <w:gridSpan w:val="12"/>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rPr>
                <w:b/>
                <w:lang w:val="en-US"/>
              </w:rPr>
            </w:pPr>
            <w:r w:rsidRPr="00F000AD">
              <w:rPr>
                <w:b/>
                <w:iCs/>
                <w:lang w:val="en-US"/>
              </w:rPr>
              <w:t>Table 3: Result indicators</w:t>
            </w:r>
          </w:p>
        </w:tc>
      </w:tr>
      <w:tr w:rsidR="00F000AD" w:rsidRPr="00F000AD" w:rsidTr="00321DEF">
        <w:trPr>
          <w:trHeight w:val="1768"/>
        </w:trPr>
        <w:tc>
          <w:tcPr>
            <w:tcW w:w="358" w:type="pct"/>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rPr>
                <w:b/>
                <w:lang w:val="en-US"/>
              </w:rPr>
            </w:pPr>
            <w:r w:rsidRPr="00F000AD">
              <w:rPr>
                <w:b/>
                <w:lang w:val="en-US"/>
              </w:rPr>
              <w:t xml:space="preserve">Priority </w:t>
            </w:r>
          </w:p>
        </w:tc>
        <w:tc>
          <w:tcPr>
            <w:tcW w:w="569" w:type="pct"/>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rPr>
                <w:b/>
                <w:lang w:val="en-US"/>
              </w:rPr>
            </w:pPr>
            <w:r w:rsidRPr="00F000AD">
              <w:rPr>
                <w:b/>
                <w:lang w:val="en-US"/>
              </w:rPr>
              <w:t>Specific objective (Investment for Jobs and Growth goal or EMFF)</w:t>
            </w:r>
          </w:p>
        </w:tc>
        <w:tc>
          <w:tcPr>
            <w:tcW w:w="308" w:type="pct"/>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rPr>
                <w:b/>
                <w:lang w:val="en-US"/>
              </w:rPr>
            </w:pPr>
            <w:r w:rsidRPr="00F000AD">
              <w:rPr>
                <w:b/>
                <w:lang w:val="en-US"/>
              </w:rPr>
              <w:t>Fund</w:t>
            </w:r>
          </w:p>
        </w:tc>
        <w:tc>
          <w:tcPr>
            <w:tcW w:w="409" w:type="pct"/>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rPr>
                <w:b/>
                <w:lang w:val="en-US"/>
              </w:rPr>
            </w:pPr>
            <w:r w:rsidRPr="00F000AD">
              <w:rPr>
                <w:b/>
                <w:lang w:val="en-US"/>
              </w:rPr>
              <w:t>Category of region</w:t>
            </w:r>
            <w:r w:rsidRPr="00F000AD">
              <w:rPr>
                <w:lang w:val="en-US"/>
              </w:rPr>
              <w:t xml:space="preserve"> </w:t>
            </w:r>
          </w:p>
        </w:tc>
        <w:tc>
          <w:tcPr>
            <w:tcW w:w="410" w:type="pct"/>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rPr>
                <w:b/>
                <w:lang w:val="en-US"/>
              </w:rPr>
            </w:pPr>
            <w:r w:rsidRPr="00F000AD">
              <w:rPr>
                <w:b/>
                <w:lang w:val="en-US"/>
              </w:rPr>
              <w:t>ID [5]</w:t>
            </w:r>
          </w:p>
        </w:tc>
        <w:tc>
          <w:tcPr>
            <w:tcW w:w="608" w:type="pct"/>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rPr>
                <w:b/>
                <w:lang w:val="en-US"/>
              </w:rPr>
            </w:pPr>
            <w:r w:rsidRPr="00F000AD">
              <w:rPr>
                <w:b/>
                <w:lang w:val="en-US"/>
              </w:rPr>
              <w:t>Indicator [255]</w:t>
            </w:r>
          </w:p>
        </w:tc>
        <w:tc>
          <w:tcPr>
            <w:tcW w:w="335" w:type="pct"/>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rPr>
                <w:b/>
                <w:lang w:val="en-US"/>
              </w:rPr>
            </w:pPr>
            <w:r w:rsidRPr="00F000AD">
              <w:rPr>
                <w:b/>
                <w:lang w:val="en-US"/>
              </w:rPr>
              <w:t>Measurement unit</w:t>
            </w:r>
          </w:p>
        </w:tc>
        <w:tc>
          <w:tcPr>
            <w:tcW w:w="429" w:type="pct"/>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rPr>
                <w:b/>
                <w:lang w:val="en-US"/>
              </w:rPr>
            </w:pPr>
            <w:r w:rsidRPr="00F000AD">
              <w:rPr>
                <w:b/>
                <w:lang w:val="en-US"/>
              </w:rPr>
              <w:t>Baseline or reference value</w:t>
            </w:r>
          </w:p>
        </w:tc>
        <w:tc>
          <w:tcPr>
            <w:tcW w:w="446" w:type="pct"/>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rPr>
                <w:b/>
                <w:lang w:val="en-US"/>
              </w:rPr>
            </w:pPr>
            <w:r w:rsidRPr="00F000AD">
              <w:rPr>
                <w:b/>
                <w:lang w:val="en-US"/>
              </w:rPr>
              <w:t>Reference year</w:t>
            </w:r>
          </w:p>
        </w:tc>
        <w:tc>
          <w:tcPr>
            <w:tcW w:w="324"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rPr>
                <w:b/>
                <w:lang w:val="en-US"/>
              </w:rPr>
            </w:pPr>
            <w:r w:rsidRPr="00F000AD">
              <w:rPr>
                <w:b/>
                <w:lang w:val="en-US"/>
              </w:rPr>
              <w:t>Target (2029)</w:t>
            </w:r>
          </w:p>
          <w:p w:rsidR="00F000AD" w:rsidRPr="00F000AD" w:rsidRDefault="00F000AD" w:rsidP="00F000AD">
            <w:pPr>
              <w:rPr>
                <w:b/>
                <w:lang w:val="en-US"/>
              </w:rPr>
            </w:pPr>
          </w:p>
        </w:tc>
        <w:tc>
          <w:tcPr>
            <w:tcW w:w="337" w:type="pct"/>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rPr>
                <w:b/>
                <w:lang w:val="en-US"/>
              </w:rPr>
            </w:pPr>
            <w:r w:rsidRPr="00F000AD">
              <w:rPr>
                <w:b/>
                <w:lang w:val="en-US"/>
              </w:rPr>
              <w:t>Source of data [200]</w:t>
            </w:r>
          </w:p>
        </w:tc>
        <w:tc>
          <w:tcPr>
            <w:tcW w:w="467" w:type="pct"/>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rPr>
                <w:b/>
                <w:lang w:val="en-US"/>
              </w:rPr>
            </w:pPr>
            <w:r w:rsidRPr="00F000AD">
              <w:rPr>
                <w:b/>
                <w:lang w:val="en-US"/>
              </w:rPr>
              <w:t>Comments [200]</w:t>
            </w:r>
          </w:p>
        </w:tc>
      </w:tr>
      <w:tr w:rsidR="00C44223" w:rsidRPr="00F000AD" w:rsidTr="00321DEF">
        <w:trPr>
          <w:trHeight w:val="434"/>
        </w:trPr>
        <w:tc>
          <w:tcPr>
            <w:tcW w:w="358" w:type="pct"/>
            <w:tcBorders>
              <w:top w:val="single" w:sz="4" w:space="0" w:color="auto"/>
              <w:left w:val="single" w:sz="4" w:space="0" w:color="auto"/>
              <w:bottom w:val="single" w:sz="4" w:space="0" w:color="auto"/>
              <w:right w:val="single" w:sz="4" w:space="0" w:color="auto"/>
            </w:tcBorders>
          </w:tcPr>
          <w:p w:rsidR="00C44223" w:rsidRPr="00321DEF" w:rsidRDefault="00C44223" w:rsidP="00C44223">
            <w:pPr>
              <w:rPr>
                <w:rFonts w:ascii="Times New Roman" w:hAnsi="Times New Roman" w:cs="Times New Roman"/>
                <w:b/>
                <w:i/>
                <w:sz w:val="20"/>
                <w:szCs w:val="20"/>
                <w:lang w:val="en-US"/>
              </w:rPr>
            </w:pPr>
            <w:r w:rsidRPr="00321DEF">
              <w:rPr>
                <w:rFonts w:ascii="Times New Roman" w:hAnsi="Times New Roman" w:cs="Times New Roman"/>
                <w:b/>
                <w:i/>
                <w:sz w:val="20"/>
                <w:szCs w:val="20"/>
                <w:lang w:val="en-US"/>
              </w:rPr>
              <w:lastRenderedPageBreak/>
              <w:t>4.0</w:t>
            </w:r>
          </w:p>
        </w:tc>
        <w:tc>
          <w:tcPr>
            <w:tcW w:w="569" w:type="pct"/>
            <w:tcBorders>
              <w:top w:val="single" w:sz="4" w:space="0" w:color="auto"/>
              <w:left w:val="single" w:sz="4" w:space="0" w:color="auto"/>
              <w:bottom w:val="single" w:sz="4" w:space="0" w:color="auto"/>
              <w:right w:val="single" w:sz="4" w:space="0" w:color="auto"/>
            </w:tcBorders>
          </w:tcPr>
          <w:p w:rsidR="00C44223" w:rsidRPr="00321DEF" w:rsidRDefault="00C44223" w:rsidP="00C44223">
            <w:pPr>
              <w:rPr>
                <w:rFonts w:ascii="Times New Roman" w:hAnsi="Times New Roman" w:cs="Times New Roman"/>
                <w:b/>
                <w:i/>
                <w:sz w:val="20"/>
                <w:szCs w:val="20"/>
                <w:lang w:val="en-US"/>
              </w:rPr>
            </w:pPr>
            <w:r w:rsidRPr="00321DEF">
              <w:rPr>
                <w:rFonts w:ascii="Times New Roman" w:hAnsi="Times New Roman" w:cs="Times New Roman"/>
                <w:i/>
                <w:sz w:val="20"/>
                <w:szCs w:val="20"/>
              </w:rPr>
              <w:t>OS c (iii) Dezvoltarea unei mobilități naționale, regionale și locale durabile, reziliente în fața schimbărilor climatice, inteligente și intermodale, inclusiv îmbunătățirea accesului la TEN-T și a mobilității transfrontaliere</w:t>
            </w:r>
          </w:p>
        </w:tc>
        <w:tc>
          <w:tcPr>
            <w:tcW w:w="308" w:type="pct"/>
            <w:tcBorders>
              <w:top w:val="single" w:sz="4" w:space="0" w:color="auto"/>
              <w:left w:val="single" w:sz="4" w:space="0" w:color="auto"/>
              <w:bottom w:val="single" w:sz="4" w:space="0" w:color="auto"/>
              <w:right w:val="single" w:sz="4" w:space="0" w:color="auto"/>
            </w:tcBorders>
          </w:tcPr>
          <w:p w:rsidR="00C44223" w:rsidRPr="00321DEF" w:rsidRDefault="00C44223" w:rsidP="00C44223">
            <w:pPr>
              <w:rPr>
                <w:rFonts w:ascii="Times New Roman" w:hAnsi="Times New Roman" w:cs="Times New Roman"/>
                <w:b/>
                <w:i/>
                <w:sz w:val="20"/>
                <w:szCs w:val="20"/>
                <w:lang w:val="en-US"/>
              </w:rPr>
            </w:pPr>
            <w:r w:rsidRPr="00321DEF">
              <w:rPr>
                <w:rFonts w:ascii="Times New Roman" w:hAnsi="Times New Roman" w:cs="Times New Roman"/>
                <w:b/>
                <w:i/>
                <w:sz w:val="20"/>
                <w:szCs w:val="20"/>
                <w:lang w:val="en-US"/>
              </w:rPr>
              <w:t>FEDR</w:t>
            </w:r>
          </w:p>
        </w:tc>
        <w:tc>
          <w:tcPr>
            <w:tcW w:w="409" w:type="pct"/>
            <w:tcBorders>
              <w:top w:val="single" w:sz="4" w:space="0" w:color="auto"/>
              <w:left w:val="single" w:sz="4" w:space="0" w:color="auto"/>
              <w:bottom w:val="single" w:sz="4" w:space="0" w:color="auto"/>
              <w:right w:val="single" w:sz="4" w:space="0" w:color="auto"/>
            </w:tcBorders>
          </w:tcPr>
          <w:p w:rsidR="00C44223" w:rsidRPr="00321DEF" w:rsidRDefault="00C44223" w:rsidP="00C44223">
            <w:pPr>
              <w:rPr>
                <w:rFonts w:ascii="Times New Roman" w:hAnsi="Times New Roman" w:cs="Times New Roman"/>
                <w:b/>
                <w:i/>
                <w:sz w:val="20"/>
                <w:szCs w:val="20"/>
                <w:lang w:val="en-US"/>
              </w:rPr>
            </w:pPr>
            <w:r w:rsidRPr="00321DEF">
              <w:rPr>
                <w:rFonts w:ascii="Times New Roman" w:hAnsi="Times New Roman" w:cs="Times New Roman"/>
                <w:b/>
                <w:i/>
                <w:sz w:val="20"/>
                <w:szCs w:val="20"/>
                <w:lang w:val="en-US"/>
              </w:rPr>
              <w:t>Mai pu</w:t>
            </w:r>
            <w:r w:rsidR="00652ABF">
              <w:rPr>
                <w:rFonts w:ascii="Times New Roman" w:hAnsi="Times New Roman" w:cs="Times New Roman"/>
                <w:b/>
                <w:i/>
                <w:sz w:val="20"/>
                <w:szCs w:val="20"/>
                <w:lang w:val="en-US"/>
              </w:rPr>
              <w:t>ț</w:t>
            </w:r>
            <w:r w:rsidRPr="00321DEF">
              <w:rPr>
                <w:rFonts w:ascii="Times New Roman" w:hAnsi="Times New Roman" w:cs="Times New Roman"/>
                <w:b/>
                <w:i/>
                <w:sz w:val="20"/>
                <w:szCs w:val="20"/>
                <w:lang w:val="en-US"/>
              </w:rPr>
              <w:t>in dezvoltat</w:t>
            </w:r>
            <w:r w:rsidR="00652ABF">
              <w:rPr>
                <w:rFonts w:ascii="Times New Roman" w:hAnsi="Times New Roman" w:cs="Times New Roman"/>
                <w:b/>
                <w:i/>
                <w:sz w:val="20"/>
                <w:szCs w:val="20"/>
                <w:lang w:val="en-US"/>
              </w:rPr>
              <w:t>ă</w:t>
            </w:r>
          </w:p>
        </w:tc>
        <w:tc>
          <w:tcPr>
            <w:tcW w:w="410" w:type="pct"/>
            <w:tcBorders>
              <w:top w:val="single" w:sz="4" w:space="0" w:color="auto"/>
              <w:left w:val="single" w:sz="4" w:space="0" w:color="auto"/>
              <w:bottom w:val="single" w:sz="4" w:space="0" w:color="auto"/>
              <w:right w:val="single" w:sz="4" w:space="0" w:color="auto"/>
            </w:tcBorders>
          </w:tcPr>
          <w:p w:rsidR="00C44223" w:rsidRPr="00321DEF" w:rsidRDefault="00C44223" w:rsidP="00C44223">
            <w:pPr>
              <w:rPr>
                <w:rFonts w:ascii="Times New Roman" w:hAnsi="Times New Roman" w:cs="Times New Roman"/>
                <w:i/>
                <w:sz w:val="20"/>
                <w:szCs w:val="20"/>
                <w:lang w:val="en-US"/>
              </w:rPr>
            </w:pPr>
            <w:r w:rsidRPr="00321DEF">
              <w:rPr>
                <w:rFonts w:ascii="Times New Roman" w:eastAsia="Times New Roman" w:hAnsi="Times New Roman" w:cs="Times New Roman"/>
                <w:sz w:val="20"/>
                <w:szCs w:val="20"/>
                <w:lang w:eastAsia="en-GB"/>
              </w:rPr>
              <w:t>RCR 55</w:t>
            </w:r>
          </w:p>
        </w:tc>
        <w:tc>
          <w:tcPr>
            <w:tcW w:w="608" w:type="pct"/>
            <w:tcBorders>
              <w:top w:val="single" w:sz="4" w:space="0" w:color="auto"/>
              <w:left w:val="single" w:sz="4" w:space="0" w:color="auto"/>
              <w:bottom w:val="single" w:sz="4" w:space="0" w:color="auto"/>
              <w:right w:val="single" w:sz="4" w:space="0" w:color="auto"/>
            </w:tcBorders>
          </w:tcPr>
          <w:p w:rsidR="00C44223" w:rsidRPr="00321DEF" w:rsidRDefault="00C44223" w:rsidP="00C44223">
            <w:pPr>
              <w:rPr>
                <w:rFonts w:ascii="Times New Roman" w:hAnsi="Times New Roman" w:cs="Times New Roman"/>
                <w:i/>
                <w:sz w:val="20"/>
                <w:szCs w:val="20"/>
                <w:lang w:val="en-US"/>
              </w:rPr>
            </w:pPr>
            <w:r w:rsidRPr="00321DEF">
              <w:rPr>
                <w:rFonts w:ascii="Times New Roman" w:eastAsia="Times New Roman" w:hAnsi="Times New Roman" w:cs="Times New Roman"/>
                <w:bCs/>
                <w:sz w:val="20"/>
                <w:szCs w:val="20"/>
                <w:lang w:eastAsia="en-GB"/>
              </w:rPr>
              <w:t>Annual</w:t>
            </w:r>
            <w:r w:rsidRPr="00321DEF">
              <w:rPr>
                <w:rFonts w:ascii="Times New Roman" w:eastAsia="Times New Roman" w:hAnsi="Times New Roman" w:cs="Times New Roman"/>
                <w:sz w:val="20"/>
                <w:szCs w:val="20"/>
                <w:lang w:eastAsia="en-GB"/>
              </w:rPr>
              <w:t xml:space="preserve"> users of newly built, reconstructed, upgraded </w:t>
            </w:r>
            <w:r w:rsidRPr="00321DEF">
              <w:rPr>
                <w:rFonts w:ascii="Times New Roman" w:eastAsia="Times New Roman" w:hAnsi="Times New Roman" w:cs="Times New Roman"/>
                <w:bCs/>
                <w:sz w:val="20"/>
                <w:szCs w:val="20"/>
                <w:lang w:eastAsia="en-GB"/>
              </w:rPr>
              <w:t>or modernised</w:t>
            </w:r>
            <w:r w:rsidRPr="00321DEF">
              <w:rPr>
                <w:rFonts w:ascii="Times New Roman" w:eastAsia="Times New Roman" w:hAnsi="Times New Roman" w:cs="Times New Roman"/>
                <w:sz w:val="20"/>
                <w:szCs w:val="20"/>
                <w:lang w:eastAsia="en-GB"/>
              </w:rPr>
              <w:t xml:space="preserve"> roads</w:t>
            </w:r>
          </w:p>
        </w:tc>
        <w:tc>
          <w:tcPr>
            <w:tcW w:w="335" w:type="pct"/>
            <w:tcBorders>
              <w:top w:val="single" w:sz="4" w:space="0" w:color="auto"/>
              <w:left w:val="single" w:sz="4" w:space="0" w:color="auto"/>
              <w:bottom w:val="single" w:sz="4" w:space="0" w:color="auto"/>
              <w:right w:val="single" w:sz="4" w:space="0" w:color="auto"/>
            </w:tcBorders>
          </w:tcPr>
          <w:p w:rsidR="00404062" w:rsidRDefault="00404062" w:rsidP="00404062">
            <w:pPr>
              <w:pStyle w:val="Default"/>
              <w:rPr>
                <w:sz w:val="16"/>
                <w:szCs w:val="16"/>
              </w:rPr>
            </w:pPr>
            <w:r>
              <w:rPr>
                <w:sz w:val="16"/>
                <w:szCs w:val="16"/>
              </w:rPr>
              <w:t xml:space="preserve">passenger-km/ year </w:t>
            </w:r>
          </w:p>
          <w:p w:rsidR="00C44223" w:rsidRPr="00321DEF" w:rsidRDefault="00C44223" w:rsidP="00C44223">
            <w:pPr>
              <w:rPr>
                <w:rFonts w:ascii="Times New Roman" w:hAnsi="Times New Roman" w:cs="Times New Roman"/>
                <w:i/>
                <w:sz w:val="20"/>
                <w:szCs w:val="20"/>
                <w:lang w:val="en-US"/>
              </w:rPr>
            </w:pPr>
          </w:p>
        </w:tc>
        <w:tc>
          <w:tcPr>
            <w:tcW w:w="429" w:type="pct"/>
            <w:tcBorders>
              <w:top w:val="single" w:sz="4" w:space="0" w:color="auto"/>
              <w:left w:val="single" w:sz="4" w:space="0" w:color="auto"/>
              <w:bottom w:val="single" w:sz="4" w:space="0" w:color="auto"/>
              <w:right w:val="single" w:sz="4" w:space="0" w:color="auto"/>
            </w:tcBorders>
          </w:tcPr>
          <w:p w:rsidR="00C44223" w:rsidRPr="00321DEF" w:rsidRDefault="00404062" w:rsidP="00C44223">
            <w:pPr>
              <w:rPr>
                <w:rFonts w:ascii="Times New Roman" w:hAnsi="Times New Roman" w:cs="Times New Roman"/>
                <w:i/>
                <w:sz w:val="20"/>
                <w:szCs w:val="20"/>
                <w:lang w:val="en-US"/>
              </w:rPr>
            </w:pPr>
            <w:r>
              <w:rPr>
                <w:rFonts w:ascii="Times New Roman" w:hAnsi="Times New Roman" w:cs="Times New Roman"/>
                <w:i/>
                <w:sz w:val="20"/>
                <w:szCs w:val="20"/>
                <w:lang w:val="en-US"/>
              </w:rPr>
              <w:t>678769</w:t>
            </w:r>
          </w:p>
        </w:tc>
        <w:tc>
          <w:tcPr>
            <w:tcW w:w="446" w:type="pct"/>
            <w:tcBorders>
              <w:top w:val="single" w:sz="4" w:space="0" w:color="auto"/>
              <w:left w:val="single" w:sz="4" w:space="0" w:color="auto"/>
              <w:bottom w:val="single" w:sz="4" w:space="0" w:color="auto"/>
              <w:right w:val="single" w:sz="4" w:space="0" w:color="auto"/>
            </w:tcBorders>
          </w:tcPr>
          <w:p w:rsidR="00C44223" w:rsidRPr="00321DEF" w:rsidRDefault="00404062" w:rsidP="00C44223">
            <w:pPr>
              <w:rPr>
                <w:rFonts w:ascii="Times New Roman" w:hAnsi="Times New Roman" w:cs="Times New Roman"/>
                <w:b/>
                <w:sz w:val="20"/>
                <w:szCs w:val="20"/>
                <w:lang w:val="en-US"/>
              </w:rPr>
            </w:pPr>
            <w:r>
              <w:rPr>
                <w:rFonts w:ascii="Times New Roman" w:hAnsi="Times New Roman" w:cs="Times New Roman"/>
                <w:b/>
                <w:sz w:val="20"/>
                <w:szCs w:val="20"/>
                <w:lang w:val="en-US"/>
              </w:rPr>
              <w:t>2015</w:t>
            </w:r>
          </w:p>
        </w:tc>
        <w:tc>
          <w:tcPr>
            <w:tcW w:w="324" w:type="pct"/>
            <w:tcBorders>
              <w:top w:val="single" w:sz="4" w:space="0" w:color="auto"/>
              <w:left w:val="single" w:sz="4" w:space="0" w:color="auto"/>
              <w:bottom w:val="single" w:sz="4" w:space="0" w:color="auto"/>
              <w:right w:val="single" w:sz="4" w:space="0" w:color="auto"/>
            </w:tcBorders>
          </w:tcPr>
          <w:p w:rsidR="00C44223" w:rsidRPr="00321DEF" w:rsidRDefault="00404062" w:rsidP="00C44223">
            <w:pPr>
              <w:rPr>
                <w:rFonts w:ascii="Times New Roman" w:hAnsi="Times New Roman" w:cs="Times New Roman"/>
                <w:b/>
                <w:sz w:val="20"/>
                <w:szCs w:val="20"/>
                <w:lang w:val="en-US"/>
              </w:rPr>
            </w:pPr>
            <w:r>
              <w:rPr>
                <w:rFonts w:ascii="Times New Roman" w:hAnsi="Times New Roman" w:cs="Times New Roman"/>
                <w:b/>
                <w:sz w:val="20"/>
                <w:szCs w:val="20"/>
                <w:lang w:val="en-US"/>
              </w:rPr>
              <w:t>1024892</w:t>
            </w:r>
          </w:p>
        </w:tc>
        <w:tc>
          <w:tcPr>
            <w:tcW w:w="337" w:type="pct"/>
            <w:tcBorders>
              <w:top w:val="single" w:sz="4" w:space="0" w:color="auto"/>
              <w:left w:val="single" w:sz="4" w:space="0" w:color="auto"/>
              <w:bottom w:val="single" w:sz="4" w:space="0" w:color="auto"/>
              <w:right w:val="single" w:sz="4" w:space="0" w:color="auto"/>
            </w:tcBorders>
          </w:tcPr>
          <w:p w:rsidR="00C44223" w:rsidRDefault="00404062" w:rsidP="00C44223">
            <w:pPr>
              <w:rPr>
                <w:rFonts w:ascii="Times New Roman" w:hAnsi="Times New Roman" w:cs="Times New Roman"/>
                <w:i/>
                <w:sz w:val="20"/>
                <w:szCs w:val="20"/>
                <w:lang w:val="en-US"/>
              </w:rPr>
            </w:pPr>
            <w:r>
              <w:rPr>
                <w:rFonts w:ascii="Times New Roman" w:hAnsi="Times New Roman" w:cs="Times New Roman"/>
                <w:i/>
                <w:sz w:val="20"/>
                <w:szCs w:val="20"/>
                <w:lang w:val="en-US"/>
              </w:rPr>
              <w:t>Cestrin</w:t>
            </w:r>
          </w:p>
          <w:p w:rsidR="00404062" w:rsidRPr="00321DEF" w:rsidRDefault="00404062" w:rsidP="00C44223">
            <w:pPr>
              <w:rPr>
                <w:rFonts w:ascii="Times New Roman" w:hAnsi="Times New Roman" w:cs="Times New Roman"/>
                <w:i/>
                <w:sz w:val="20"/>
                <w:szCs w:val="20"/>
                <w:lang w:val="en-US"/>
              </w:rPr>
            </w:pPr>
            <w:r>
              <w:rPr>
                <w:rFonts w:ascii="Times New Roman" w:hAnsi="Times New Roman" w:cs="Times New Roman"/>
                <w:i/>
                <w:sz w:val="20"/>
                <w:szCs w:val="20"/>
                <w:lang w:val="en-US"/>
              </w:rPr>
              <w:t>Studii de trafic</w:t>
            </w:r>
          </w:p>
        </w:tc>
        <w:tc>
          <w:tcPr>
            <w:tcW w:w="467" w:type="pct"/>
            <w:tcBorders>
              <w:top w:val="single" w:sz="4" w:space="0" w:color="auto"/>
              <w:left w:val="single" w:sz="4" w:space="0" w:color="auto"/>
              <w:bottom w:val="single" w:sz="4" w:space="0" w:color="auto"/>
              <w:right w:val="single" w:sz="4" w:space="0" w:color="auto"/>
            </w:tcBorders>
          </w:tcPr>
          <w:p w:rsidR="00C44223" w:rsidRPr="00321DEF" w:rsidRDefault="00C44223" w:rsidP="00C44223">
            <w:pPr>
              <w:rPr>
                <w:rFonts w:ascii="Times New Roman" w:hAnsi="Times New Roman" w:cs="Times New Roman"/>
                <w:i/>
                <w:sz w:val="20"/>
                <w:szCs w:val="20"/>
                <w:lang w:val="en-US"/>
              </w:rPr>
            </w:pPr>
          </w:p>
        </w:tc>
      </w:tr>
    </w:tbl>
    <w:p w:rsidR="00C44223" w:rsidRPr="00F143F9" w:rsidRDefault="00F000AD" w:rsidP="00F000AD">
      <w:pPr>
        <w:rPr>
          <w:i/>
          <w:lang w:val="en-GB"/>
        </w:rPr>
      </w:pPr>
      <w:r w:rsidRPr="00F000AD">
        <w:rPr>
          <w:i/>
          <w:lang w:val="en-GB"/>
        </w:rPr>
        <w:t>[Point 2.1.1.3 in the Commission proposal has been moved up following changes in Article 17(3)(c) CPR and it is now point 2.1.1.bis]</w:t>
      </w:r>
    </w:p>
    <w:p w:rsidR="00122257" w:rsidRDefault="00AC7A6E" w:rsidP="00174F85">
      <w:pPr>
        <w:spacing w:before="240" w:after="240"/>
        <w:rPr>
          <w:b/>
          <w:iCs/>
          <w:lang w:val="en-GB"/>
        </w:rPr>
      </w:pPr>
      <w:r w:rsidRPr="006F04E2">
        <w:rPr>
          <w:rFonts w:ascii="Times New Roman" w:hAnsi="Times New Roman" w:cs="Times New Roman"/>
          <w:b/>
          <w:sz w:val="28"/>
          <w:szCs w:val="28"/>
          <w:lang w:val="en-GB"/>
        </w:rPr>
        <w:t xml:space="preserve">Prioritatea </w:t>
      </w:r>
      <w:r>
        <w:rPr>
          <w:rFonts w:ascii="Times New Roman" w:hAnsi="Times New Roman" w:cs="Times New Roman"/>
          <w:b/>
          <w:sz w:val="28"/>
          <w:szCs w:val="28"/>
          <w:lang w:val="en-GB"/>
        </w:rPr>
        <w:t>5</w:t>
      </w:r>
      <w:r w:rsidRPr="006F04E2">
        <w:rPr>
          <w:rFonts w:ascii="Times New Roman" w:hAnsi="Times New Roman" w:cs="Times New Roman"/>
          <w:b/>
          <w:sz w:val="28"/>
          <w:szCs w:val="28"/>
          <w:lang w:val="en-GB"/>
        </w:rPr>
        <w:t xml:space="preserve"> - </w:t>
      </w:r>
      <w:r w:rsidR="00122257" w:rsidRPr="00122257">
        <w:rPr>
          <w:rFonts w:ascii="Times New Roman" w:hAnsi="Times New Roman" w:cs="Times New Roman"/>
          <w:b/>
          <w:sz w:val="28"/>
          <w:szCs w:val="28"/>
          <w:lang w:val="en-GB"/>
        </w:rPr>
        <w:t>O regiune educată</w:t>
      </w:r>
      <w:r w:rsidR="00122257" w:rsidRPr="00F000AD">
        <w:rPr>
          <w:b/>
          <w:iCs/>
          <w:lang w:val="en-GB"/>
        </w:rPr>
        <w:t xml:space="preserve"> </w:t>
      </w:r>
    </w:p>
    <w:p w:rsidR="00A26390" w:rsidRPr="00F000AD" w:rsidRDefault="00A26390" w:rsidP="00A26390">
      <w:pPr>
        <w:rPr>
          <w:b/>
          <w:iCs/>
          <w:lang w:val="en-GB"/>
        </w:rPr>
      </w:pPr>
      <w:r w:rsidRPr="00F000AD">
        <w:rPr>
          <w:b/>
          <w:iCs/>
          <w:lang w:val="en-GB"/>
        </w:rPr>
        <w:t xml:space="preserve">2.A.2 Indicative breakdown of the programmed resources (EU) by type of intervention </w:t>
      </w:r>
      <w:r w:rsidRPr="00F000AD">
        <w:rPr>
          <w:iCs/>
          <w:lang w:val="en-GB"/>
        </w:rPr>
        <w:t xml:space="preserve">(not applicable to the EMFF) </w:t>
      </w:r>
      <w:r w:rsidRPr="00F000AD">
        <w:rPr>
          <w:i/>
          <w:lang w:val="en-GB"/>
        </w:rPr>
        <w:t>[This was point 2.1.1.3 in the Commission proposal and has been moved up following changes in Article 17(3)(c) CPR]</w:t>
      </w:r>
    </w:p>
    <w:p w:rsidR="00A26390" w:rsidRDefault="00A26390" w:rsidP="00A26390">
      <w:pPr>
        <w:rPr>
          <w:i/>
          <w:lang w:val="en-GB"/>
        </w:rPr>
      </w:pPr>
      <w:r w:rsidRPr="00F000AD">
        <w:rPr>
          <w:i/>
          <w:lang w:val="en-GB"/>
        </w:rPr>
        <w:t>Reference: Article 17(3)(c) CPR</w:t>
      </w:r>
    </w:p>
    <w:tbl>
      <w:tblPr>
        <w:tblW w:w="8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1353"/>
        <w:gridCol w:w="2191"/>
        <w:gridCol w:w="1642"/>
        <w:gridCol w:w="2425"/>
      </w:tblGrid>
      <w:tr w:rsidR="00371455" w:rsidRPr="00F000AD" w:rsidTr="00371455">
        <w:tc>
          <w:tcPr>
            <w:tcW w:w="8925" w:type="dxa"/>
            <w:gridSpan w:val="5"/>
            <w:tcBorders>
              <w:top w:val="single" w:sz="4" w:space="0" w:color="auto"/>
              <w:left w:val="single" w:sz="4" w:space="0" w:color="auto"/>
              <w:bottom w:val="single" w:sz="4" w:space="0" w:color="auto"/>
              <w:right w:val="single" w:sz="4" w:space="0" w:color="auto"/>
            </w:tcBorders>
            <w:hideMark/>
          </w:tcPr>
          <w:p w:rsidR="00371455" w:rsidRPr="00F000AD" w:rsidRDefault="00371455" w:rsidP="00657C41">
            <w:pPr>
              <w:rPr>
                <w:b/>
                <w:iCs/>
                <w:lang w:val="en-US"/>
              </w:rPr>
            </w:pPr>
            <w:r w:rsidRPr="00F000AD">
              <w:rPr>
                <w:b/>
                <w:iCs/>
                <w:lang w:val="en-US"/>
              </w:rPr>
              <w:t>Table 4: Dimension 1 – intervention field</w:t>
            </w:r>
          </w:p>
        </w:tc>
      </w:tr>
      <w:tr w:rsidR="00371455" w:rsidRPr="00F000AD" w:rsidTr="00371455">
        <w:tc>
          <w:tcPr>
            <w:tcW w:w="1314" w:type="dxa"/>
            <w:tcBorders>
              <w:top w:val="single" w:sz="4" w:space="0" w:color="auto"/>
              <w:left w:val="single" w:sz="4" w:space="0" w:color="auto"/>
              <w:bottom w:val="single" w:sz="4" w:space="0" w:color="auto"/>
              <w:right w:val="single" w:sz="4" w:space="0" w:color="auto"/>
            </w:tcBorders>
            <w:hideMark/>
          </w:tcPr>
          <w:p w:rsidR="00371455" w:rsidRPr="00F000AD" w:rsidRDefault="00371455" w:rsidP="00657C41">
            <w:pPr>
              <w:rPr>
                <w:b/>
                <w:iCs/>
                <w:lang w:val="en-US"/>
              </w:rPr>
            </w:pPr>
            <w:r w:rsidRPr="00F000AD">
              <w:rPr>
                <w:b/>
                <w:iCs/>
                <w:lang w:val="en-US"/>
              </w:rPr>
              <w:t>Priority No</w:t>
            </w:r>
            <w:r>
              <w:rPr>
                <w:b/>
                <w:iCs/>
                <w:lang w:val="en-US"/>
              </w:rPr>
              <w:t xml:space="preserve"> </w:t>
            </w:r>
          </w:p>
        </w:tc>
        <w:tc>
          <w:tcPr>
            <w:tcW w:w="1353" w:type="dxa"/>
            <w:tcBorders>
              <w:top w:val="single" w:sz="4" w:space="0" w:color="auto"/>
              <w:left w:val="single" w:sz="4" w:space="0" w:color="auto"/>
              <w:bottom w:val="single" w:sz="4" w:space="0" w:color="auto"/>
              <w:right w:val="single" w:sz="4" w:space="0" w:color="auto"/>
            </w:tcBorders>
            <w:hideMark/>
          </w:tcPr>
          <w:p w:rsidR="00371455" w:rsidRPr="00F000AD" w:rsidRDefault="00371455" w:rsidP="00657C41">
            <w:pPr>
              <w:rPr>
                <w:b/>
                <w:iCs/>
                <w:lang w:val="en-US"/>
              </w:rPr>
            </w:pPr>
            <w:r w:rsidRPr="00F000AD">
              <w:rPr>
                <w:b/>
                <w:iCs/>
                <w:lang w:val="en-US"/>
              </w:rPr>
              <w:t>Fund</w:t>
            </w:r>
          </w:p>
        </w:tc>
        <w:tc>
          <w:tcPr>
            <w:tcW w:w="2191" w:type="dxa"/>
            <w:tcBorders>
              <w:top w:val="single" w:sz="4" w:space="0" w:color="auto"/>
              <w:left w:val="single" w:sz="4" w:space="0" w:color="auto"/>
              <w:bottom w:val="single" w:sz="4" w:space="0" w:color="auto"/>
              <w:right w:val="single" w:sz="4" w:space="0" w:color="auto"/>
            </w:tcBorders>
            <w:hideMark/>
          </w:tcPr>
          <w:p w:rsidR="00371455" w:rsidRPr="00F000AD" w:rsidRDefault="00371455" w:rsidP="00657C41">
            <w:pPr>
              <w:rPr>
                <w:b/>
                <w:iCs/>
                <w:lang w:val="en-US"/>
              </w:rPr>
            </w:pPr>
            <w:r w:rsidRPr="00F000AD">
              <w:rPr>
                <w:b/>
                <w:iCs/>
                <w:lang w:val="en-US"/>
              </w:rPr>
              <w:t>Category of region</w:t>
            </w:r>
            <w:r w:rsidRPr="00F000AD">
              <w:rPr>
                <w:b/>
                <w:iCs/>
                <w:vertAlign w:val="superscript"/>
                <w:lang w:val="en-US"/>
              </w:rPr>
              <w:footnoteReference w:id="48"/>
            </w:r>
          </w:p>
        </w:tc>
        <w:tc>
          <w:tcPr>
            <w:tcW w:w="1642" w:type="dxa"/>
            <w:tcBorders>
              <w:top w:val="single" w:sz="4" w:space="0" w:color="auto"/>
              <w:left w:val="single" w:sz="4" w:space="0" w:color="auto"/>
              <w:bottom w:val="single" w:sz="4" w:space="0" w:color="auto"/>
              <w:right w:val="single" w:sz="4" w:space="0" w:color="auto"/>
            </w:tcBorders>
            <w:hideMark/>
          </w:tcPr>
          <w:p w:rsidR="00371455" w:rsidRPr="00F000AD" w:rsidRDefault="00371455" w:rsidP="00657C41">
            <w:pPr>
              <w:rPr>
                <w:b/>
                <w:iCs/>
                <w:lang w:val="en-US"/>
              </w:rPr>
            </w:pPr>
            <w:r w:rsidRPr="00F000AD">
              <w:rPr>
                <w:b/>
                <w:iCs/>
                <w:lang w:val="en-US"/>
              </w:rPr>
              <w:t xml:space="preserve">Code </w:t>
            </w:r>
          </w:p>
        </w:tc>
        <w:tc>
          <w:tcPr>
            <w:tcW w:w="2425" w:type="dxa"/>
            <w:tcBorders>
              <w:top w:val="single" w:sz="4" w:space="0" w:color="auto"/>
              <w:left w:val="single" w:sz="4" w:space="0" w:color="auto"/>
              <w:bottom w:val="single" w:sz="4" w:space="0" w:color="auto"/>
              <w:right w:val="single" w:sz="4" w:space="0" w:color="auto"/>
            </w:tcBorders>
            <w:hideMark/>
          </w:tcPr>
          <w:p w:rsidR="00371455" w:rsidRPr="00F000AD" w:rsidRDefault="00371455" w:rsidP="00657C41">
            <w:pPr>
              <w:rPr>
                <w:b/>
                <w:iCs/>
                <w:lang w:val="en-US"/>
              </w:rPr>
            </w:pPr>
            <w:r w:rsidRPr="00F000AD">
              <w:rPr>
                <w:b/>
                <w:iCs/>
                <w:lang w:val="en-US"/>
              </w:rPr>
              <w:t>Amount (EUR)</w:t>
            </w:r>
          </w:p>
        </w:tc>
      </w:tr>
      <w:tr w:rsidR="00371455" w:rsidRPr="00DC4544" w:rsidTr="00371455">
        <w:tc>
          <w:tcPr>
            <w:tcW w:w="1314" w:type="dxa"/>
            <w:tcBorders>
              <w:top w:val="single" w:sz="4" w:space="0" w:color="auto"/>
              <w:left w:val="single" w:sz="4" w:space="0" w:color="auto"/>
              <w:bottom w:val="single" w:sz="4" w:space="0" w:color="auto"/>
              <w:right w:val="single" w:sz="4" w:space="0" w:color="auto"/>
            </w:tcBorders>
          </w:tcPr>
          <w:p w:rsidR="00371455" w:rsidRPr="009B7B00" w:rsidRDefault="00371455" w:rsidP="00657C41">
            <w:pPr>
              <w:pStyle w:val="Default"/>
              <w:jc w:val="both"/>
              <w:rPr>
                <w:rFonts w:ascii="Times New Roman" w:hAnsi="Times New Roman" w:cs="Times New Roman"/>
                <w:sz w:val="20"/>
                <w:szCs w:val="20"/>
              </w:rPr>
            </w:pPr>
            <w:r>
              <w:rPr>
                <w:rFonts w:ascii="Times New Roman" w:hAnsi="Times New Roman" w:cs="Times New Roman"/>
                <w:bCs/>
                <w:sz w:val="20"/>
                <w:szCs w:val="20"/>
                <w:lang w:val="ro-RO"/>
              </w:rPr>
              <w:t>5</w:t>
            </w:r>
          </w:p>
          <w:p w:rsidR="00371455" w:rsidRPr="009B7B00" w:rsidRDefault="00371455" w:rsidP="00657C41">
            <w:pPr>
              <w:rPr>
                <w:rFonts w:ascii="Times New Roman" w:hAnsi="Times New Roman" w:cs="Times New Roman"/>
                <w:iCs/>
                <w:sz w:val="20"/>
                <w:szCs w:val="20"/>
                <w:lang w:val="en-US"/>
              </w:rPr>
            </w:pPr>
          </w:p>
        </w:tc>
        <w:tc>
          <w:tcPr>
            <w:tcW w:w="1353" w:type="dxa"/>
            <w:tcBorders>
              <w:top w:val="single" w:sz="4" w:space="0" w:color="auto"/>
              <w:left w:val="single" w:sz="4" w:space="0" w:color="auto"/>
              <w:bottom w:val="single" w:sz="4" w:space="0" w:color="auto"/>
              <w:right w:val="single" w:sz="4" w:space="0" w:color="auto"/>
            </w:tcBorders>
          </w:tcPr>
          <w:p w:rsidR="00371455" w:rsidRPr="009B7B00" w:rsidRDefault="00371455" w:rsidP="00657C41">
            <w:pPr>
              <w:rPr>
                <w:rFonts w:ascii="Times New Roman" w:hAnsi="Times New Roman" w:cs="Times New Roman"/>
                <w:iCs/>
                <w:sz w:val="20"/>
                <w:szCs w:val="20"/>
                <w:lang w:val="en-US"/>
              </w:rPr>
            </w:pPr>
            <w:r w:rsidRPr="009B7B00">
              <w:rPr>
                <w:rFonts w:ascii="Times New Roman" w:hAnsi="Times New Roman" w:cs="Times New Roman"/>
                <w:iCs/>
                <w:sz w:val="20"/>
                <w:szCs w:val="20"/>
                <w:lang w:val="en-US"/>
              </w:rPr>
              <w:t>ERDF</w:t>
            </w:r>
          </w:p>
        </w:tc>
        <w:tc>
          <w:tcPr>
            <w:tcW w:w="2191" w:type="dxa"/>
            <w:tcBorders>
              <w:top w:val="single" w:sz="4" w:space="0" w:color="auto"/>
              <w:left w:val="single" w:sz="4" w:space="0" w:color="auto"/>
              <w:bottom w:val="single" w:sz="4" w:space="0" w:color="auto"/>
              <w:right w:val="single" w:sz="4" w:space="0" w:color="auto"/>
            </w:tcBorders>
          </w:tcPr>
          <w:p w:rsidR="00371455" w:rsidRPr="009B7B00" w:rsidRDefault="00371455" w:rsidP="00657C41">
            <w:pPr>
              <w:rPr>
                <w:rFonts w:ascii="Times New Roman" w:hAnsi="Times New Roman" w:cs="Times New Roman"/>
                <w:iCs/>
                <w:sz w:val="20"/>
                <w:szCs w:val="20"/>
                <w:lang w:val="en-US"/>
              </w:rPr>
            </w:pPr>
            <w:r w:rsidRPr="009B7B00">
              <w:rPr>
                <w:rFonts w:ascii="Times New Roman" w:hAnsi="Times New Roman" w:cs="Times New Roman"/>
                <w:iCs/>
                <w:sz w:val="20"/>
                <w:szCs w:val="20"/>
                <w:lang w:val="en-US"/>
              </w:rPr>
              <w:t>less developed</w:t>
            </w:r>
          </w:p>
        </w:tc>
        <w:tc>
          <w:tcPr>
            <w:tcW w:w="1642" w:type="dxa"/>
            <w:tcBorders>
              <w:top w:val="single" w:sz="4" w:space="0" w:color="auto"/>
              <w:left w:val="single" w:sz="4" w:space="0" w:color="auto"/>
              <w:bottom w:val="single" w:sz="4" w:space="0" w:color="auto"/>
              <w:right w:val="single" w:sz="4" w:space="0" w:color="auto"/>
            </w:tcBorders>
          </w:tcPr>
          <w:p w:rsidR="00371455" w:rsidRPr="007D6CF4" w:rsidRDefault="00371455" w:rsidP="00657C41">
            <w:pPr>
              <w:rPr>
                <w:rFonts w:ascii="Times New Roman" w:hAnsi="Times New Roman" w:cs="Times New Roman"/>
                <w:noProof/>
                <w:sz w:val="20"/>
                <w:szCs w:val="20"/>
              </w:rPr>
            </w:pPr>
            <w:r w:rsidRPr="007D6CF4">
              <w:rPr>
                <w:rFonts w:ascii="Times New Roman" w:hAnsi="Times New Roman" w:cs="Times New Roman"/>
                <w:noProof/>
                <w:sz w:val="20"/>
                <w:szCs w:val="20"/>
              </w:rPr>
              <w:t>085</w:t>
            </w:r>
          </w:p>
          <w:p w:rsidR="00371455" w:rsidRPr="007D6CF4" w:rsidRDefault="00371455" w:rsidP="00657C41">
            <w:pPr>
              <w:rPr>
                <w:rFonts w:ascii="Times New Roman" w:hAnsi="Times New Roman" w:cs="Times New Roman"/>
                <w:noProof/>
                <w:sz w:val="20"/>
                <w:szCs w:val="20"/>
              </w:rPr>
            </w:pPr>
            <w:r w:rsidRPr="007D6CF4">
              <w:rPr>
                <w:rFonts w:ascii="Times New Roman" w:hAnsi="Times New Roman" w:cs="Times New Roman"/>
                <w:noProof/>
                <w:sz w:val="20"/>
                <w:szCs w:val="20"/>
              </w:rPr>
              <w:t>Infrastructure for early childhood education and care</w:t>
            </w:r>
          </w:p>
        </w:tc>
        <w:tc>
          <w:tcPr>
            <w:tcW w:w="2425" w:type="dxa"/>
            <w:tcBorders>
              <w:top w:val="single" w:sz="4" w:space="0" w:color="auto"/>
              <w:left w:val="single" w:sz="4" w:space="0" w:color="auto"/>
              <w:bottom w:val="single" w:sz="4" w:space="0" w:color="auto"/>
              <w:right w:val="single" w:sz="4" w:space="0" w:color="auto"/>
            </w:tcBorders>
          </w:tcPr>
          <w:p w:rsidR="00371455" w:rsidRPr="00DE593C" w:rsidRDefault="00371455" w:rsidP="00657C41">
            <w:pPr>
              <w:rPr>
                <w:rFonts w:ascii="Times New Roman" w:hAnsi="Times New Roman" w:cs="Times New Roman"/>
                <w:iCs/>
                <w:sz w:val="20"/>
                <w:szCs w:val="20"/>
                <w:lang w:val="en-US"/>
              </w:rPr>
            </w:pPr>
            <w:r w:rsidRPr="00DE593C">
              <w:rPr>
                <w:rFonts w:ascii="Times New Roman" w:hAnsi="Times New Roman" w:cs="Times New Roman"/>
                <w:iCs/>
                <w:sz w:val="20"/>
                <w:szCs w:val="20"/>
                <w:lang w:val="en-US"/>
              </w:rPr>
              <w:t>15,049,692</w:t>
            </w:r>
          </w:p>
        </w:tc>
      </w:tr>
      <w:tr w:rsidR="00371455" w:rsidRPr="00DC4544" w:rsidTr="00371455">
        <w:tc>
          <w:tcPr>
            <w:tcW w:w="1314" w:type="dxa"/>
            <w:tcBorders>
              <w:top w:val="single" w:sz="4" w:space="0" w:color="auto"/>
              <w:left w:val="single" w:sz="4" w:space="0" w:color="auto"/>
              <w:bottom w:val="single" w:sz="4" w:space="0" w:color="auto"/>
              <w:right w:val="single" w:sz="4" w:space="0" w:color="auto"/>
            </w:tcBorders>
          </w:tcPr>
          <w:p w:rsidR="00371455" w:rsidRPr="009B7B00" w:rsidRDefault="00371455" w:rsidP="00657C41">
            <w:pPr>
              <w:pStyle w:val="Default"/>
              <w:jc w:val="both"/>
              <w:rPr>
                <w:rFonts w:ascii="Times New Roman" w:hAnsi="Times New Roman" w:cs="Times New Roman"/>
                <w:bCs/>
                <w:sz w:val="20"/>
                <w:szCs w:val="20"/>
                <w:lang w:val="ro-RO"/>
              </w:rPr>
            </w:pPr>
            <w:r>
              <w:rPr>
                <w:rFonts w:ascii="Times New Roman" w:hAnsi="Times New Roman" w:cs="Times New Roman"/>
                <w:bCs/>
                <w:sz w:val="20"/>
                <w:szCs w:val="20"/>
                <w:lang w:val="ro-RO"/>
              </w:rPr>
              <w:t>5</w:t>
            </w:r>
          </w:p>
        </w:tc>
        <w:tc>
          <w:tcPr>
            <w:tcW w:w="1353" w:type="dxa"/>
            <w:tcBorders>
              <w:top w:val="single" w:sz="4" w:space="0" w:color="auto"/>
              <w:left w:val="single" w:sz="4" w:space="0" w:color="auto"/>
              <w:bottom w:val="single" w:sz="4" w:space="0" w:color="auto"/>
              <w:right w:val="single" w:sz="4" w:space="0" w:color="auto"/>
            </w:tcBorders>
          </w:tcPr>
          <w:p w:rsidR="00371455" w:rsidRPr="00B407D1" w:rsidRDefault="00371455" w:rsidP="00657C41">
            <w:pPr>
              <w:rPr>
                <w:rFonts w:ascii="Times New Roman" w:hAnsi="Times New Roman" w:cs="Times New Roman"/>
                <w:b/>
                <w:iCs/>
                <w:sz w:val="20"/>
                <w:szCs w:val="20"/>
                <w:lang w:val="en-US"/>
              </w:rPr>
            </w:pPr>
            <w:r w:rsidRPr="009B7B00">
              <w:rPr>
                <w:rFonts w:ascii="Times New Roman" w:hAnsi="Times New Roman" w:cs="Times New Roman"/>
                <w:iCs/>
                <w:sz w:val="20"/>
                <w:szCs w:val="20"/>
                <w:lang w:val="en-US"/>
              </w:rPr>
              <w:t>ERDF</w:t>
            </w:r>
          </w:p>
        </w:tc>
        <w:tc>
          <w:tcPr>
            <w:tcW w:w="2191" w:type="dxa"/>
            <w:tcBorders>
              <w:top w:val="single" w:sz="4" w:space="0" w:color="auto"/>
              <w:left w:val="single" w:sz="4" w:space="0" w:color="auto"/>
              <w:bottom w:val="single" w:sz="4" w:space="0" w:color="auto"/>
              <w:right w:val="single" w:sz="4" w:space="0" w:color="auto"/>
            </w:tcBorders>
          </w:tcPr>
          <w:p w:rsidR="00371455" w:rsidRPr="009B7B00" w:rsidRDefault="00371455" w:rsidP="00657C41">
            <w:pPr>
              <w:rPr>
                <w:rFonts w:ascii="Times New Roman" w:hAnsi="Times New Roman" w:cs="Times New Roman"/>
                <w:iCs/>
                <w:sz w:val="20"/>
                <w:szCs w:val="20"/>
                <w:lang w:val="en-US"/>
              </w:rPr>
            </w:pPr>
            <w:r w:rsidRPr="009B7B00">
              <w:rPr>
                <w:rFonts w:ascii="Times New Roman" w:hAnsi="Times New Roman" w:cs="Times New Roman"/>
                <w:iCs/>
                <w:sz w:val="20"/>
                <w:szCs w:val="20"/>
                <w:lang w:val="en-US"/>
              </w:rPr>
              <w:t>less developed</w:t>
            </w:r>
          </w:p>
        </w:tc>
        <w:tc>
          <w:tcPr>
            <w:tcW w:w="1642" w:type="dxa"/>
            <w:tcBorders>
              <w:top w:val="single" w:sz="4" w:space="0" w:color="auto"/>
              <w:left w:val="single" w:sz="4" w:space="0" w:color="auto"/>
              <w:bottom w:val="single" w:sz="4" w:space="0" w:color="auto"/>
              <w:right w:val="single" w:sz="4" w:space="0" w:color="auto"/>
            </w:tcBorders>
          </w:tcPr>
          <w:p w:rsidR="00371455" w:rsidRPr="007D6CF4" w:rsidRDefault="00371455" w:rsidP="00657C41">
            <w:pPr>
              <w:rPr>
                <w:rFonts w:ascii="Times New Roman" w:hAnsi="Times New Roman" w:cs="Times New Roman"/>
                <w:noProof/>
                <w:sz w:val="20"/>
                <w:szCs w:val="20"/>
              </w:rPr>
            </w:pPr>
            <w:r w:rsidRPr="007D6CF4">
              <w:rPr>
                <w:rFonts w:ascii="Times New Roman" w:hAnsi="Times New Roman" w:cs="Times New Roman"/>
                <w:noProof/>
                <w:sz w:val="20"/>
                <w:szCs w:val="20"/>
              </w:rPr>
              <w:t>086</w:t>
            </w:r>
          </w:p>
          <w:p w:rsidR="00371455" w:rsidRPr="007D6CF4" w:rsidRDefault="00371455" w:rsidP="00657C41">
            <w:pPr>
              <w:rPr>
                <w:rFonts w:ascii="Times New Roman" w:hAnsi="Times New Roman" w:cs="Times New Roman"/>
                <w:noProof/>
                <w:sz w:val="20"/>
                <w:szCs w:val="20"/>
              </w:rPr>
            </w:pPr>
            <w:r w:rsidRPr="007D6CF4">
              <w:rPr>
                <w:rFonts w:ascii="Times New Roman" w:hAnsi="Times New Roman" w:cs="Times New Roman"/>
                <w:noProof/>
                <w:sz w:val="20"/>
                <w:szCs w:val="20"/>
              </w:rPr>
              <w:t xml:space="preserve">Infrastructure for </w:t>
            </w:r>
            <w:r w:rsidRPr="007D6CF4">
              <w:rPr>
                <w:rFonts w:ascii="Times New Roman" w:hAnsi="Times New Roman" w:cs="Times New Roman"/>
                <w:noProof/>
                <w:sz w:val="20"/>
                <w:szCs w:val="20"/>
              </w:rPr>
              <w:lastRenderedPageBreak/>
              <w:t>primary and secondary education</w:t>
            </w:r>
          </w:p>
        </w:tc>
        <w:tc>
          <w:tcPr>
            <w:tcW w:w="2425" w:type="dxa"/>
            <w:tcBorders>
              <w:top w:val="single" w:sz="4" w:space="0" w:color="auto"/>
              <w:left w:val="single" w:sz="4" w:space="0" w:color="auto"/>
              <w:bottom w:val="single" w:sz="4" w:space="0" w:color="auto"/>
              <w:right w:val="single" w:sz="4" w:space="0" w:color="auto"/>
            </w:tcBorders>
          </w:tcPr>
          <w:p w:rsidR="00371455" w:rsidRPr="00DE593C" w:rsidRDefault="004043AF" w:rsidP="00657C41">
            <w:pPr>
              <w:rPr>
                <w:rFonts w:ascii="Times New Roman" w:hAnsi="Times New Roman" w:cs="Times New Roman"/>
                <w:iCs/>
                <w:sz w:val="20"/>
                <w:szCs w:val="20"/>
                <w:lang w:val="en-US"/>
              </w:rPr>
            </w:pPr>
            <w:r w:rsidRPr="00DE593C">
              <w:rPr>
                <w:rFonts w:ascii="Times New Roman" w:hAnsi="Times New Roman" w:cs="Times New Roman"/>
                <w:iCs/>
                <w:sz w:val="20"/>
                <w:szCs w:val="20"/>
                <w:lang w:val="en-US"/>
              </w:rPr>
              <w:lastRenderedPageBreak/>
              <w:t>25.291.844</w:t>
            </w:r>
          </w:p>
        </w:tc>
      </w:tr>
      <w:tr w:rsidR="00371455" w:rsidRPr="00DC4544" w:rsidTr="00371455">
        <w:tc>
          <w:tcPr>
            <w:tcW w:w="1314" w:type="dxa"/>
            <w:tcBorders>
              <w:top w:val="single" w:sz="4" w:space="0" w:color="auto"/>
              <w:left w:val="single" w:sz="4" w:space="0" w:color="auto"/>
              <w:bottom w:val="single" w:sz="4" w:space="0" w:color="auto"/>
              <w:right w:val="single" w:sz="4" w:space="0" w:color="auto"/>
            </w:tcBorders>
          </w:tcPr>
          <w:p w:rsidR="00371455" w:rsidRPr="009B7B00" w:rsidRDefault="00371455" w:rsidP="00657C41">
            <w:pPr>
              <w:jc w:val="both"/>
              <w:rPr>
                <w:rFonts w:ascii="Times New Roman" w:hAnsi="Times New Roman" w:cs="Times New Roman"/>
                <w:sz w:val="20"/>
                <w:szCs w:val="20"/>
              </w:rPr>
            </w:pPr>
            <w:r>
              <w:rPr>
                <w:rFonts w:ascii="Times New Roman" w:hAnsi="Times New Roman" w:cs="Times New Roman"/>
                <w:bCs/>
                <w:sz w:val="20"/>
                <w:szCs w:val="20"/>
              </w:rPr>
              <w:lastRenderedPageBreak/>
              <w:t>5</w:t>
            </w:r>
          </w:p>
          <w:p w:rsidR="00371455" w:rsidRPr="009B7B00" w:rsidRDefault="00371455" w:rsidP="00657C41">
            <w:pPr>
              <w:pStyle w:val="Default"/>
              <w:jc w:val="both"/>
              <w:rPr>
                <w:rFonts w:ascii="Times New Roman" w:hAnsi="Times New Roman" w:cs="Times New Roman"/>
                <w:bCs/>
                <w:sz w:val="20"/>
                <w:szCs w:val="20"/>
                <w:lang w:val="ro-RO"/>
              </w:rPr>
            </w:pPr>
          </w:p>
        </w:tc>
        <w:tc>
          <w:tcPr>
            <w:tcW w:w="1353" w:type="dxa"/>
            <w:tcBorders>
              <w:top w:val="single" w:sz="4" w:space="0" w:color="auto"/>
              <w:left w:val="single" w:sz="4" w:space="0" w:color="auto"/>
              <w:bottom w:val="single" w:sz="4" w:space="0" w:color="auto"/>
              <w:right w:val="single" w:sz="4" w:space="0" w:color="auto"/>
            </w:tcBorders>
          </w:tcPr>
          <w:p w:rsidR="00371455" w:rsidRPr="009B7B00" w:rsidRDefault="00371455" w:rsidP="00657C41">
            <w:pPr>
              <w:rPr>
                <w:rFonts w:ascii="Times New Roman" w:hAnsi="Times New Roman" w:cs="Times New Roman"/>
                <w:iCs/>
                <w:sz w:val="20"/>
                <w:szCs w:val="20"/>
                <w:lang w:val="en-US"/>
              </w:rPr>
            </w:pPr>
            <w:r w:rsidRPr="009B7B00">
              <w:rPr>
                <w:rFonts w:ascii="Times New Roman" w:hAnsi="Times New Roman" w:cs="Times New Roman"/>
                <w:iCs/>
                <w:sz w:val="20"/>
                <w:szCs w:val="20"/>
                <w:lang w:val="en-US"/>
              </w:rPr>
              <w:t>ERDF</w:t>
            </w:r>
          </w:p>
        </w:tc>
        <w:tc>
          <w:tcPr>
            <w:tcW w:w="2191" w:type="dxa"/>
            <w:tcBorders>
              <w:top w:val="single" w:sz="4" w:space="0" w:color="auto"/>
              <w:left w:val="single" w:sz="4" w:space="0" w:color="auto"/>
              <w:bottom w:val="single" w:sz="4" w:space="0" w:color="auto"/>
              <w:right w:val="single" w:sz="4" w:space="0" w:color="auto"/>
            </w:tcBorders>
          </w:tcPr>
          <w:p w:rsidR="00371455" w:rsidRPr="009B7B00" w:rsidRDefault="00371455" w:rsidP="00657C41">
            <w:pPr>
              <w:rPr>
                <w:rFonts w:ascii="Times New Roman" w:hAnsi="Times New Roman" w:cs="Times New Roman"/>
                <w:iCs/>
                <w:sz w:val="20"/>
                <w:szCs w:val="20"/>
                <w:lang w:val="en-US"/>
              </w:rPr>
            </w:pPr>
            <w:r w:rsidRPr="009B7B00">
              <w:rPr>
                <w:rFonts w:ascii="Times New Roman" w:hAnsi="Times New Roman" w:cs="Times New Roman"/>
                <w:iCs/>
                <w:sz w:val="20"/>
                <w:szCs w:val="20"/>
                <w:lang w:val="en-US"/>
              </w:rPr>
              <w:t>less developed</w:t>
            </w:r>
          </w:p>
        </w:tc>
        <w:tc>
          <w:tcPr>
            <w:tcW w:w="1642" w:type="dxa"/>
            <w:tcBorders>
              <w:top w:val="single" w:sz="4" w:space="0" w:color="auto"/>
              <w:left w:val="single" w:sz="4" w:space="0" w:color="auto"/>
              <w:bottom w:val="single" w:sz="4" w:space="0" w:color="auto"/>
              <w:right w:val="single" w:sz="4" w:space="0" w:color="auto"/>
            </w:tcBorders>
          </w:tcPr>
          <w:p w:rsidR="00371455" w:rsidRPr="007D6CF4" w:rsidRDefault="00371455" w:rsidP="00657C41">
            <w:pPr>
              <w:rPr>
                <w:rFonts w:ascii="Times New Roman" w:hAnsi="Times New Roman" w:cs="Times New Roman"/>
                <w:noProof/>
                <w:sz w:val="20"/>
                <w:szCs w:val="20"/>
              </w:rPr>
            </w:pPr>
            <w:r w:rsidRPr="007D6CF4">
              <w:rPr>
                <w:rFonts w:ascii="Times New Roman" w:hAnsi="Times New Roman" w:cs="Times New Roman"/>
                <w:noProof/>
                <w:sz w:val="20"/>
                <w:szCs w:val="20"/>
              </w:rPr>
              <w:t>088</w:t>
            </w:r>
          </w:p>
          <w:p w:rsidR="00371455" w:rsidRPr="007D6CF4" w:rsidRDefault="00371455" w:rsidP="00657C41">
            <w:pPr>
              <w:rPr>
                <w:rFonts w:ascii="Times New Roman" w:hAnsi="Times New Roman" w:cs="Times New Roman"/>
                <w:noProof/>
                <w:sz w:val="20"/>
                <w:szCs w:val="20"/>
              </w:rPr>
            </w:pPr>
            <w:r w:rsidRPr="007D6CF4">
              <w:rPr>
                <w:rFonts w:ascii="Times New Roman" w:hAnsi="Times New Roman" w:cs="Times New Roman"/>
                <w:noProof/>
                <w:sz w:val="20"/>
                <w:szCs w:val="20"/>
              </w:rPr>
              <w:t xml:space="preserve">Infrastructure for vocational education and training and adult learning </w:t>
            </w:r>
          </w:p>
        </w:tc>
        <w:tc>
          <w:tcPr>
            <w:tcW w:w="2425" w:type="dxa"/>
            <w:tcBorders>
              <w:top w:val="single" w:sz="4" w:space="0" w:color="auto"/>
              <w:left w:val="single" w:sz="4" w:space="0" w:color="auto"/>
              <w:bottom w:val="single" w:sz="4" w:space="0" w:color="auto"/>
              <w:right w:val="single" w:sz="4" w:space="0" w:color="auto"/>
            </w:tcBorders>
          </w:tcPr>
          <w:p w:rsidR="00371455" w:rsidRPr="00DE593C" w:rsidRDefault="004043AF" w:rsidP="00657C41">
            <w:pPr>
              <w:rPr>
                <w:rFonts w:ascii="Times New Roman" w:hAnsi="Times New Roman" w:cs="Times New Roman"/>
                <w:iCs/>
                <w:sz w:val="20"/>
                <w:szCs w:val="20"/>
                <w:lang w:val="en-US"/>
              </w:rPr>
            </w:pPr>
            <w:r w:rsidRPr="00DE593C">
              <w:rPr>
                <w:rFonts w:ascii="Times New Roman" w:hAnsi="Times New Roman" w:cs="Times New Roman"/>
                <w:iCs/>
                <w:sz w:val="20"/>
                <w:szCs w:val="20"/>
                <w:lang w:val="en-US"/>
              </w:rPr>
              <w:t>20.693.326</w:t>
            </w:r>
          </w:p>
        </w:tc>
      </w:tr>
      <w:tr w:rsidR="00371455" w:rsidRPr="00DC4544" w:rsidTr="00371455">
        <w:tc>
          <w:tcPr>
            <w:tcW w:w="1314" w:type="dxa"/>
            <w:tcBorders>
              <w:top w:val="single" w:sz="4" w:space="0" w:color="auto"/>
              <w:left w:val="single" w:sz="4" w:space="0" w:color="auto"/>
              <w:bottom w:val="single" w:sz="4" w:space="0" w:color="auto"/>
              <w:right w:val="single" w:sz="4" w:space="0" w:color="auto"/>
            </w:tcBorders>
          </w:tcPr>
          <w:p w:rsidR="00371455" w:rsidRPr="009B7B00" w:rsidRDefault="00371455" w:rsidP="00657C41">
            <w:pPr>
              <w:pStyle w:val="Default"/>
              <w:jc w:val="both"/>
              <w:rPr>
                <w:rFonts w:ascii="Times New Roman" w:hAnsi="Times New Roman" w:cs="Times New Roman"/>
                <w:sz w:val="20"/>
                <w:szCs w:val="20"/>
              </w:rPr>
            </w:pPr>
            <w:r>
              <w:rPr>
                <w:rFonts w:ascii="Times New Roman" w:hAnsi="Times New Roman" w:cs="Times New Roman"/>
                <w:bCs/>
                <w:sz w:val="20"/>
                <w:szCs w:val="20"/>
              </w:rPr>
              <w:t>5</w:t>
            </w:r>
          </w:p>
          <w:p w:rsidR="00371455" w:rsidRPr="009B7B00" w:rsidRDefault="00371455" w:rsidP="00657C41">
            <w:pPr>
              <w:jc w:val="both"/>
              <w:rPr>
                <w:rFonts w:ascii="Times New Roman" w:hAnsi="Times New Roman" w:cs="Times New Roman"/>
                <w:bCs/>
                <w:sz w:val="20"/>
                <w:szCs w:val="20"/>
              </w:rPr>
            </w:pPr>
          </w:p>
        </w:tc>
        <w:tc>
          <w:tcPr>
            <w:tcW w:w="1353" w:type="dxa"/>
            <w:tcBorders>
              <w:top w:val="single" w:sz="4" w:space="0" w:color="auto"/>
              <w:left w:val="single" w:sz="4" w:space="0" w:color="auto"/>
              <w:bottom w:val="single" w:sz="4" w:space="0" w:color="auto"/>
              <w:right w:val="single" w:sz="4" w:space="0" w:color="auto"/>
            </w:tcBorders>
          </w:tcPr>
          <w:p w:rsidR="00371455" w:rsidRPr="009B7B00" w:rsidRDefault="00371455" w:rsidP="00657C41">
            <w:pPr>
              <w:rPr>
                <w:rFonts w:ascii="Times New Roman" w:hAnsi="Times New Roman" w:cs="Times New Roman"/>
                <w:iCs/>
                <w:sz w:val="20"/>
                <w:szCs w:val="20"/>
                <w:lang w:val="en-US"/>
              </w:rPr>
            </w:pPr>
            <w:r w:rsidRPr="009B7B00">
              <w:rPr>
                <w:rFonts w:ascii="Times New Roman" w:hAnsi="Times New Roman" w:cs="Times New Roman"/>
                <w:iCs/>
                <w:sz w:val="20"/>
                <w:szCs w:val="20"/>
                <w:lang w:val="en-US"/>
              </w:rPr>
              <w:t>ERDF</w:t>
            </w:r>
          </w:p>
        </w:tc>
        <w:tc>
          <w:tcPr>
            <w:tcW w:w="2191" w:type="dxa"/>
            <w:tcBorders>
              <w:top w:val="single" w:sz="4" w:space="0" w:color="auto"/>
              <w:left w:val="single" w:sz="4" w:space="0" w:color="auto"/>
              <w:bottom w:val="single" w:sz="4" w:space="0" w:color="auto"/>
              <w:right w:val="single" w:sz="4" w:space="0" w:color="auto"/>
            </w:tcBorders>
          </w:tcPr>
          <w:p w:rsidR="00371455" w:rsidRPr="009B7B00" w:rsidRDefault="00371455" w:rsidP="00657C41">
            <w:pPr>
              <w:rPr>
                <w:rFonts w:ascii="Times New Roman" w:hAnsi="Times New Roman" w:cs="Times New Roman"/>
                <w:iCs/>
                <w:sz w:val="20"/>
                <w:szCs w:val="20"/>
                <w:lang w:val="en-US"/>
              </w:rPr>
            </w:pPr>
            <w:r w:rsidRPr="009B7B00">
              <w:rPr>
                <w:rFonts w:ascii="Times New Roman" w:hAnsi="Times New Roman" w:cs="Times New Roman"/>
                <w:iCs/>
                <w:sz w:val="20"/>
                <w:szCs w:val="20"/>
                <w:lang w:val="en-US"/>
              </w:rPr>
              <w:t>less developed</w:t>
            </w:r>
          </w:p>
        </w:tc>
        <w:tc>
          <w:tcPr>
            <w:tcW w:w="1642" w:type="dxa"/>
            <w:tcBorders>
              <w:top w:val="single" w:sz="4" w:space="0" w:color="auto"/>
              <w:left w:val="single" w:sz="4" w:space="0" w:color="auto"/>
              <w:bottom w:val="single" w:sz="4" w:space="0" w:color="auto"/>
              <w:right w:val="single" w:sz="4" w:space="0" w:color="auto"/>
            </w:tcBorders>
          </w:tcPr>
          <w:p w:rsidR="00371455" w:rsidRPr="007D6CF4" w:rsidRDefault="00371455" w:rsidP="00657C41">
            <w:pPr>
              <w:rPr>
                <w:rFonts w:ascii="Times New Roman" w:hAnsi="Times New Roman" w:cs="Times New Roman"/>
                <w:noProof/>
                <w:sz w:val="20"/>
                <w:szCs w:val="20"/>
              </w:rPr>
            </w:pPr>
            <w:r w:rsidRPr="007D6CF4">
              <w:rPr>
                <w:rFonts w:ascii="Times New Roman" w:hAnsi="Times New Roman" w:cs="Times New Roman"/>
                <w:noProof/>
                <w:sz w:val="20"/>
                <w:szCs w:val="20"/>
              </w:rPr>
              <w:t xml:space="preserve">087 </w:t>
            </w:r>
          </w:p>
          <w:p w:rsidR="00371455" w:rsidRPr="007D6CF4" w:rsidRDefault="00371455" w:rsidP="00657C41">
            <w:pPr>
              <w:rPr>
                <w:rFonts w:ascii="Times New Roman" w:hAnsi="Times New Roman" w:cs="Times New Roman"/>
                <w:noProof/>
                <w:sz w:val="20"/>
                <w:szCs w:val="20"/>
              </w:rPr>
            </w:pPr>
            <w:r w:rsidRPr="007D6CF4">
              <w:rPr>
                <w:rFonts w:ascii="Times New Roman" w:hAnsi="Times New Roman" w:cs="Times New Roman"/>
                <w:noProof/>
                <w:sz w:val="20"/>
                <w:szCs w:val="20"/>
              </w:rPr>
              <w:t>Infrastructure for tertiary education</w:t>
            </w:r>
          </w:p>
        </w:tc>
        <w:tc>
          <w:tcPr>
            <w:tcW w:w="2425" w:type="dxa"/>
            <w:tcBorders>
              <w:top w:val="single" w:sz="4" w:space="0" w:color="auto"/>
              <w:left w:val="single" w:sz="4" w:space="0" w:color="auto"/>
              <w:bottom w:val="single" w:sz="4" w:space="0" w:color="auto"/>
              <w:right w:val="single" w:sz="4" w:space="0" w:color="auto"/>
            </w:tcBorders>
          </w:tcPr>
          <w:p w:rsidR="00371455" w:rsidRPr="00DE593C" w:rsidRDefault="006521FE" w:rsidP="006521FE">
            <w:pPr>
              <w:rPr>
                <w:rFonts w:ascii="Times New Roman" w:hAnsi="Times New Roman" w:cs="Times New Roman"/>
                <w:iCs/>
                <w:sz w:val="20"/>
                <w:szCs w:val="20"/>
                <w:highlight w:val="yellow"/>
                <w:lang w:val="en-US"/>
              </w:rPr>
            </w:pPr>
            <w:r>
              <w:rPr>
                <w:rFonts w:ascii="Times New Roman" w:hAnsi="Times New Roman" w:cs="Times New Roman"/>
                <w:iCs/>
                <w:sz w:val="20"/>
                <w:szCs w:val="20"/>
                <w:lang w:val="en-US"/>
              </w:rPr>
              <w:t>16.802.480</w:t>
            </w:r>
          </w:p>
        </w:tc>
      </w:tr>
      <w:tr w:rsidR="00371455" w:rsidRPr="00DC4544" w:rsidTr="00371455">
        <w:tc>
          <w:tcPr>
            <w:tcW w:w="1314" w:type="dxa"/>
            <w:tcBorders>
              <w:top w:val="single" w:sz="4" w:space="0" w:color="auto"/>
              <w:left w:val="single" w:sz="4" w:space="0" w:color="auto"/>
              <w:bottom w:val="single" w:sz="4" w:space="0" w:color="auto"/>
              <w:right w:val="single" w:sz="4" w:space="0" w:color="auto"/>
            </w:tcBorders>
          </w:tcPr>
          <w:p w:rsidR="00371455" w:rsidRPr="00DE593C" w:rsidRDefault="00371455" w:rsidP="00657C41">
            <w:pPr>
              <w:pStyle w:val="Default"/>
              <w:jc w:val="both"/>
              <w:rPr>
                <w:rFonts w:ascii="Times New Roman" w:hAnsi="Times New Roman" w:cs="Times New Roman"/>
                <w:bCs/>
                <w:sz w:val="20"/>
                <w:szCs w:val="20"/>
              </w:rPr>
            </w:pPr>
            <w:r w:rsidRPr="00DE593C">
              <w:rPr>
                <w:rFonts w:ascii="Times New Roman" w:hAnsi="Times New Roman" w:cs="Times New Roman"/>
                <w:bCs/>
                <w:sz w:val="20"/>
                <w:szCs w:val="20"/>
              </w:rPr>
              <w:t>5</w:t>
            </w:r>
          </w:p>
        </w:tc>
        <w:tc>
          <w:tcPr>
            <w:tcW w:w="1353" w:type="dxa"/>
            <w:tcBorders>
              <w:top w:val="single" w:sz="4" w:space="0" w:color="auto"/>
              <w:left w:val="single" w:sz="4" w:space="0" w:color="auto"/>
              <w:bottom w:val="single" w:sz="4" w:space="0" w:color="auto"/>
              <w:right w:val="single" w:sz="4" w:space="0" w:color="auto"/>
            </w:tcBorders>
          </w:tcPr>
          <w:p w:rsidR="00371455" w:rsidRPr="00DE593C" w:rsidRDefault="00371455" w:rsidP="00657C41">
            <w:pPr>
              <w:rPr>
                <w:rFonts w:ascii="Times New Roman" w:hAnsi="Times New Roman" w:cs="Times New Roman"/>
                <w:iCs/>
                <w:sz w:val="20"/>
                <w:szCs w:val="20"/>
                <w:lang w:val="en-US"/>
              </w:rPr>
            </w:pPr>
            <w:r w:rsidRPr="00DE593C">
              <w:rPr>
                <w:rFonts w:ascii="Times New Roman" w:hAnsi="Times New Roman" w:cs="Times New Roman"/>
                <w:iCs/>
                <w:sz w:val="20"/>
                <w:szCs w:val="20"/>
                <w:lang w:val="en-US"/>
              </w:rPr>
              <w:t>ERDF</w:t>
            </w:r>
          </w:p>
        </w:tc>
        <w:tc>
          <w:tcPr>
            <w:tcW w:w="2191" w:type="dxa"/>
            <w:tcBorders>
              <w:top w:val="single" w:sz="4" w:space="0" w:color="auto"/>
              <w:left w:val="single" w:sz="4" w:space="0" w:color="auto"/>
              <w:bottom w:val="single" w:sz="4" w:space="0" w:color="auto"/>
              <w:right w:val="single" w:sz="4" w:space="0" w:color="auto"/>
            </w:tcBorders>
          </w:tcPr>
          <w:p w:rsidR="00371455" w:rsidRPr="00DE593C" w:rsidRDefault="00371455" w:rsidP="00657C41">
            <w:pPr>
              <w:rPr>
                <w:rFonts w:ascii="Times New Roman" w:hAnsi="Times New Roman" w:cs="Times New Roman"/>
                <w:iCs/>
                <w:sz w:val="20"/>
                <w:szCs w:val="20"/>
                <w:lang w:val="en-US"/>
              </w:rPr>
            </w:pPr>
            <w:r w:rsidRPr="00DE593C">
              <w:rPr>
                <w:rFonts w:ascii="Times New Roman" w:hAnsi="Times New Roman" w:cs="Times New Roman"/>
                <w:iCs/>
                <w:sz w:val="20"/>
                <w:szCs w:val="20"/>
                <w:lang w:val="en-US"/>
              </w:rPr>
              <w:t>Less developed</w:t>
            </w:r>
          </w:p>
        </w:tc>
        <w:tc>
          <w:tcPr>
            <w:tcW w:w="1642" w:type="dxa"/>
            <w:tcBorders>
              <w:top w:val="single" w:sz="4" w:space="0" w:color="auto"/>
              <w:left w:val="single" w:sz="4" w:space="0" w:color="auto"/>
              <w:bottom w:val="single" w:sz="4" w:space="0" w:color="auto"/>
              <w:right w:val="single" w:sz="4" w:space="0" w:color="auto"/>
            </w:tcBorders>
          </w:tcPr>
          <w:p w:rsidR="00371455" w:rsidRPr="00DE593C" w:rsidRDefault="00371455" w:rsidP="00657C41">
            <w:pPr>
              <w:rPr>
                <w:rFonts w:ascii="Times New Roman" w:hAnsi="Times New Roman" w:cs="Times New Roman"/>
                <w:noProof/>
                <w:sz w:val="20"/>
                <w:szCs w:val="20"/>
              </w:rPr>
            </w:pPr>
            <w:r w:rsidRPr="00DE593C">
              <w:rPr>
                <w:rFonts w:ascii="Times New Roman" w:hAnsi="Times New Roman" w:cs="Times New Roman"/>
                <w:noProof/>
                <w:sz w:val="20"/>
                <w:szCs w:val="20"/>
              </w:rPr>
              <w:t>Tourism infrastructure for solial inclusion</w:t>
            </w:r>
          </w:p>
        </w:tc>
        <w:tc>
          <w:tcPr>
            <w:tcW w:w="2425" w:type="dxa"/>
            <w:tcBorders>
              <w:top w:val="single" w:sz="4" w:space="0" w:color="auto"/>
              <w:left w:val="single" w:sz="4" w:space="0" w:color="auto"/>
              <w:bottom w:val="single" w:sz="4" w:space="0" w:color="auto"/>
              <w:right w:val="single" w:sz="4" w:space="0" w:color="auto"/>
            </w:tcBorders>
          </w:tcPr>
          <w:p w:rsidR="00371455" w:rsidRPr="00DE593C" w:rsidRDefault="00371455" w:rsidP="00657C41">
            <w:pPr>
              <w:rPr>
                <w:rFonts w:ascii="Times New Roman" w:hAnsi="Times New Roman" w:cs="Times New Roman"/>
                <w:iCs/>
                <w:sz w:val="20"/>
                <w:szCs w:val="20"/>
                <w:lang w:val="en-US"/>
              </w:rPr>
            </w:pPr>
            <w:r w:rsidRPr="00DE593C">
              <w:rPr>
                <w:rFonts w:ascii="Times New Roman" w:hAnsi="Times New Roman" w:cs="Times New Roman"/>
                <w:iCs/>
                <w:sz w:val="20"/>
                <w:szCs w:val="20"/>
                <w:lang w:val="en-US"/>
              </w:rPr>
              <w:t>5,852,658</w:t>
            </w:r>
          </w:p>
        </w:tc>
      </w:tr>
    </w:tbl>
    <w:p w:rsidR="00A26390" w:rsidRPr="00F000AD" w:rsidRDefault="00A26390" w:rsidP="00A26390">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2322"/>
        <w:gridCol w:w="1710"/>
        <w:gridCol w:w="1710"/>
      </w:tblGrid>
      <w:tr w:rsidR="00A26390" w:rsidRPr="00F000AD" w:rsidTr="00662466">
        <w:tc>
          <w:tcPr>
            <w:tcW w:w="8725" w:type="dxa"/>
            <w:gridSpan w:val="5"/>
            <w:tcBorders>
              <w:top w:val="single" w:sz="4" w:space="0" w:color="auto"/>
              <w:left w:val="single" w:sz="4" w:space="0" w:color="auto"/>
              <w:bottom w:val="single" w:sz="4" w:space="0" w:color="auto"/>
              <w:right w:val="single" w:sz="4" w:space="0" w:color="auto"/>
            </w:tcBorders>
            <w:hideMark/>
          </w:tcPr>
          <w:p w:rsidR="00A26390" w:rsidRPr="00F000AD" w:rsidRDefault="00A26390" w:rsidP="0014333D">
            <w:pPr>
              <w:rPr>
                <w:b/>
                <w:iCs/>
                <w:lang w:val="en-US"/>
              </w:rPr>
            </w:pPr>
            <w:r w:rsidRPr="00F000AD">
              <w:rPr>
                <w:b/>
                <w:iCs/>
                <w:lang w:val="en-US"/>
              </w:rPr>
              <w:t>Table 5: Dimension 2 – form of support</w:t>
            </w:r>
          </w:p>
        </w:tc>
      </w:tr>
      <w:tr w:rsidR="00A26390" w:rsidRPr="00F000AD" w:rsidTr="00662466">
        <w:tc>
          <w:tcPr>
            <w:tcW w:w="1599" w:type="dxa"/>
            <w:tcBorders>
              <w:top w:val="single" w:sz="4" w:space="0" w:color="auto"/>
              <w:left w:val="single" w:sz="4" w:space="0" w:color="auto"/>
              <w:bottom w:val="single" w:sz="4" w:space="0" w:color="auto"/>
              <w:right w:val="single" w:sz="4" w:space="0" w:color="auto"/>
            </w:tcBorders>
            <w:hideMark/>
          </w:tcPr>
          <w:p w:rsidR="00A26390" w:rsidRPr="00F000AD" w:rsidRDefault="00A26390" w:rsidP="0014333D">
            <w:pPr>
              <w:rPr>
                <w:b/>
                <w:iCs/>
                <w:lang w:val="en-US"/>
              </w:rPr>
            </w:pPr>
            <w:r w:rsidRPr="00F000AD">
              <w:rPr>
                <w:b/>
                <w:iCs/>
                <w:lang w:val="en-US"/>
              </w:rPr>
              <w:t>Priority No</w:t>
            </w:r>
          </w:p>
        </w:tc>
        <w:tc>
          <w:tcPr>
            <w:tcW w:w="1384" w:type="dxa"/>
            <w:tcBorders>
              <w:top w:val="single" w:sz="4" w:space="0" w:color="auto"/>
              <w:left w:val="single" w:sz="4" w:space="0" w:color="auto"/>
              <w:bottom w:val="single" w:sz="4" w:space="0" w:color="auto"/>
              <w:right w:val="single" w:sz="4" w:space="0" w:color="auto"/>
            </w:tcBorders>
            <w:hideMark/>
          </w:tcPr>
          <w:p w:rsidR="00A26390" w:rsidRPr="00F000AD" w:rsidRDefault="00A26390" w:rsidP="0014333D">
            <w:pPr>
              <w:rPr>
                <w:b/>
                <w:iCs/>
                <w:lang w:val="en-US"/>
              </w:rPr>
            </w:pPr>
            <w:r w:rsidRPr="00F000AD">
              <w:rPr>
                <w:b/>
                <w:iCs/>
                <w:lang w:val="en-US"/>
              </w:rPr>
              <w:t>Fund</w:t>
            </w:r>
          </w:p>
        </w:tc>
        <w:tc>
          <w:tcPr>
            <w:tcW w:w="2322" w:type="dxa"/>
            <w:tcBorders>
              <w:top w:val="single" w:sz="4" w:space="0" w:color="auto"/>
              <w:left w:val="single" w:sz="4" w:space="0" w:color="auto"/>
              <w:bottom w:val="single" w:sz="4" w:space="0" w:color="auto"/>
              <w:right w:val="single" w:sz="4" w:space="0" w:color="auto"/>
            </w:tcBorders>
            <w:hideMark/>
          </w:tcPr>
          <w:p w:rsidR="00A26390" w:rsidRPr="00F000AD" w:rsidRDefault="00A26390" w:rsidP="0014333D">
            <w:pPr>
              <w:rPr>
                <w:b/>
                <w:iCs/>
                <w:lang w:val="en-US"/>
              </w:rPr>
            </w:pPr>
            <w:r w:rsidRPr="00F000AD">
              <w:rPr>
                <w:b/>
                <w:iCs/>
                <w:lang w:val="en-US"/>
              </w:rPr>
              <w:t>Category of region</w:t>
            </w:r>
            <w:r w:rsidRPr="00F000AD">
              <w:rPr>
                <w:b/>
                <w:iCs/>
                <w:vertAlign w:val="superscript"/>
                <w:lang w:val="en-US"/>
              </w:rPr>
              <w:footnoteReference w:id="49"/>
            </w:r>
          </w:p>
        </w:tc>
        <w:tc>
          <w:tcPr>
            <w:tcW w:w="1710" w:type="dxa"/>
            <w:tcBorders>
              <w:top w:val="single" w:sz="4" w:space="0" w:color="auto"/>
              <w:left w:val="single" w:sz="4" w:space="0" w:color="auto"/>
              <w:bottom w:val="single" w:sz="4" w:space="0" w:color="auto"/>
              <w:right w:val="single" w:sz="4" w:space="0" w:color="auto"/>
            </w:tcBorders>
            <w:hideMark/>
          </w:tcPr>
          <w:p w:rsidR="00A26390" w:rsidRPr="00F000AD" w:rsidRDefault="00A26390" w:rsidP="0014333D">
            <w:pPr>
              <w:rPr>
                <w:b/>
                <w:iCs/>
                <w:lang w:val="en-US"/>
              </w:rPr>
            </w:pPr>
            <w:r w:rsidRPr="00F000AD">
              <w:rPr>
                <w:b/>
                <w:iCs/>
                <w:lang w:val="en-US"/>
              </w:rPr>
              <w:t xml:space="preserve">Code </w:t>
            </w:r>
          </w:p>
        </w:tc>
        <w:tc>
          <w:tcPr>
            <w:tcW w:w="1710" w:type="dxa"/>
            <w:tcBorders>
              <w:top w:val="single" w:sz="4" w:space="0" w:color="auto"/>
              <w:left w:val="single" w:sz="4" w:space="0" w:color="auto"/>
              <w:bottom w:val="single" w:sz="4" w:space="0" w:color="auto"/>
              <w:right w:val="single" w:sz="4" w:space="0" w:color="auto"/>
            </w:tcBorders>
            <w:hideMark/>
          </w:tcPr>
          <w:p w:rsidR="00A26390" w:rsidRPr="00F000AD" w:rsidRDefault="00A26390" w:rsidP="0014333D">
            <w:pPr>
              <w:rPr>
                <w:b/>
                <w:iCs/>
                <w:lang w:val="en-US"/>
              </w:rPr>
            </w:pPr>
            <w:r w:rsidRPr="00F000AD">
              <w:rPr>
                <w:b/>
                <w:iCs/>
                <w:lang w:val="en-US"/>
              </w:rPr>
              <w:t>Amount (EUR)</w:t>
            </w:r>
          </w:p>
        </w:tc>
      </w:tr>
      <w:tr w:rsidR="00C44223" w:rsidRPr="00DE593C" w:rsidTr="00662466">
        <w:tc>
          <w:tcPr>
            <w:tcW w:w="1599" w:type="dxa"/>
            <w:tcBorders>
              <w:top w:val="single" w:sz="4" w:space="0" w:color="auto"/>
              <w:left w:val="single" w:sz="4" w:space="0" w:color="auto"/>
              <w:bottom w:val="single" w:sz="4" w:space="0" w:color="auto"/>
              <w:right w:val="single" w:sz="4" w:space="0" w:color="auto"/>
            </w:tcBorders>
          </w:tcPr>
          <w:p w:rsidR="00C44223" w:rsidRPr="00DE593C" w:rsidRDefault="00C44223" w:rsidP="00C44223">
            <w:pPr>
              <w:rPr>
                <w:b/>
                <w:iCs/>
                <w:lang w:val="en-US"/>
              </w:rPr>
            </w:pPr>
            <w:r w:rsidRPr="00DE593C">
              <w:rPr>
                <w:b/>
                <w:iCs/>
                <w:lang w:val="en-US"/>
              </w:rPr>
              <w:t>5.0</w:t>
            </w:r>
          </w:p>
        </w:tc>
        <w:tc>
          <w:tcPr>
            <w:tcW w:w="1384" w:type="dxa"/>
            <w:tcBorders>
              <w:top w:val="single" w:sz="4" w:space="0" w:color="auto"/>
              <w:left w:val="single" w:sz="4" w:space="0" w:color="auto"/>
              <w:bottom w:val="single" w:sz="4" w:space="0" w:color="auto"/>
              <w:right w:val="single" w:sz="4" w:space="0" w:color="auto"/>
            </w:tcBorders>
          </w:tcPr>
          <w:p w:rsidR="00C44223" w:rsidRPr="00DE593C" w:rsidRDefault="00C44223" w:rsidP="00C44223">
            <w:pPr>
              <w:rPr>
                <w:rFonts w:ascii="Arial" w:hAnsi="Arial" w:cs="Arial"/>
                <w:b/>
                <w:iCs/>
                <w:sz w:val="20"/>
                <w:szCs w:val="20"/>
                <w:lang w:val="en-US"/>
              </w:rPr>
            </w:pPr>
            <w:r w:rsidRPr="00DE593C">
              <w:rPr>
                <w:rFonts w:ascii="Arial" w:hAnsi="Arial" w:cs="Arial"/>
                <w:b/>
                <w:iCs/>
                <w:sz w:val="20"/>
                <w:szCs w:val="20"/>
                <w:lang w:val="en-US"/>
              </w:rPr>
              <w:t>ERDF</w:t>
            </w:r>
          </w:p>
        </w:tc>
        <w:tc>
          <w:tcPr>
            <w:tcW w:w="2322" w:type="dxa"/>
            <w:tcBorders>
              <w:top w:val="single" w:sz="4" w:space="0" w:color="auto"/>
              <w:left w:val="single" w:sz="4" w:space="0" w:color="auto"/>
              <w:bottom w:val="single" w:sz="4" w:space="0" w:color="auto"/>
              <w:right w:val="single" w:sz="4" w:space="0" w:color="auto"/>
            </w:tcBorders>
          </w:tcPr>
          <w:p w:rsidR="00C44223" w:rsidRPr="00DE593C" w:rsidRDefault="00C44223" w:rsidP="00C44223">
            <w:pPr>
              <w:rPr>
                <w:rFonts w:ascii="Arial" w:hAnsi="Arial" w:cs="Arial"/>
                <w:b/>
                <w:iCs/>
                <w:sz w:val="20"/>
                <w:szCs w:val="20"/>
                <w:lang w:val="en-US"/>
              </w:rPr>
            </w:pPr>
            <w:r w:rsidRPr="00DE593C">
              <w:rPr>
                <w:rFonts w:ascii="Arial" w:hAnsi="Arial" w:cs="Arial"/>
                <w:b/>
                <w:iCs/>
                <w:sz w:val="20"/>
                <w:szCs w:val="20"/>
                <w:lang w:val="en-US"/>
              </w:rPr>
              <w:t>less developed</w:t>
            </w:r>
          </w:p>
        </w:tc>
        <w:tc>
          <w:tcPr>
            <w:tcW w:w="1710" w:type="dxa"/>
            <w:tcBorders>
              <w:top w:val="single" w:sz="4" w:space="0" w:color="auto"/>
              <w:left w:val="single" w:sz="4" w:space="0" w:color="auto"/>
              <w:bottom w:val="single" w:sz="4" w:space="0" w:color="auto"/>
              <w:right w:val="single" w:sz="4" w:space="0" w:color="auto"/>
            </w:tcBorders>
          </w:tcPr>
          <w:p w:rsidR="00C44223" w:rsidRPr="00DE593C" w:rsidRDefault="00C44223" w:rsidP="00C44223">
            <w:pPr>
              <w:rPr>
                <w:b/>
                <w:iCs/>
                <w:lang w:val="en-US"/>
              </w:rPr>
            </w:pPr>
            <w:r w:rsidRPr="00DE593C">
              <w:rPr>
                <w:b/>
                <w:iCs/>
                <w:lang w:val="en-US"/>
              </w:rPr>
              <w:t>01</w:t>
            </w:r>
          </w:p>
        </w:tc>
        <w:tc>
          <w:tcPr>
            <w:tcW w:w="1710" w:type="dxa"/>
            <w:tcBorders>
              <w:top w:val="single" w:sz="4" w:space="0" w:color="auto"/>
              <w:left w:val="single" w:sz="4" w:space="0" w:color="auto"/>
              <w:bottom w:val="single" w:sz="4" w:space="0" w:color="auto"/>
              <w:right w:val="single" w:sz="4" w:space="0" w:color="auto"/>
            </w:tcBorders>
          </w:tcPr>
          <w:p w:rsidR="00C44223" w:rsidRPr="00DE593C" w:rsidRDefault="00371455" w:rsidP="00C44223">
            <w:pPr>
              <w:rPr>
                <w:b/>
                <w:iCs/>
                <w:lang w:val="en-US"/>
              </w:rPr>
            </w:pPr>
            <w:r w:rsidRPr="00DE593C">
              <w:rPr>
                <w:b/>
                <w:iCs/>
                <w:lang w:val="en-US"/>
              </w:rPr>
              <w:t>83,690,000</w:t>
            </w:r>
          </w:p>
        </w:tc>
      </w:tr>
    </w:tbl>
    <w:p w:rsidR="00A26390" w:rsidRPr="00DE593C" w:rsidRDefault="00A26390" w:rsidP="00A26390">
      <w:pPr>
        <w:rPr>
          <w:b/>
          <w:iC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9"/>
        <w:gridCol w:w="1384"/>
        <w:gridCol w:w="2322"/>
        <w:gridCol w:w="1710"/>
        <w:gridCol w:w="2267"/>
      </w:tblGrid>
      <w:tr w:rsidR="00A26390" w:rsidRPr="00DE593C" w:rsidTr="00E95FAC">
        <w:tc>
          <w:tcPr>
            <w:tcW w:w="9282" w:type="dxa"/>
            <w:gridSpan w:val="5"/>
            <w:tcBorders>
              <w:top w:val="single" w:sz="4" w:space="0" w:color="auto"/>
              <w:left w:val="single" w:sz="4" w:space="0" w:color="auto"/>
              <w:bottom w:val="single" w:sz="4" w:space="0" w:color="auto"/>
              <w:right w:val="single" w:sz="4" w:space="0" w:color="auto"/>
            </w:tcBorders>
            <w:hideMark/>
          </w:tcPr>
          <w:p w:rsidR="00A26390" w:rsidRPr="00DE593C" w:rsidRDefault="00A26390" w:rsidP="0014333D">
            <w:pPr>
              <w:rPr>
                <w:b/>
                <w:iCs/>
                <w:lang w:val="en-US"/>
              </w:rPr>
            </w:pPr>
            <w:r w:rsidRPr="00DE593C">
              <w:rPr>
                <w:b/>
                <w:iCs/>
                <w:lang w:val="en-US"/>
              </w:rPr>
              <w:t>Table 6: Dimension 3 – territorial delivery mechanism and territorial focus</w:t>
            </w:r>
          </w:p>
        </w:tc>
      </w:tr>
      <w:tr w:rsidR="00A26390" w:rsidRPr="00DE593C" w:rsidTr="00E95FAC">
        <w:tc>
          <w:tcPr>
            <w:tcW w:w="1599" w:type="dxa"/>
            <w:tcBorders>
              <w:top w:val="single" w:sz="4" w:space="0" w:color="auto"/>
              <w:left w:val="single" w:sz="4" w:space="0" w:color="auto"/>
              <w:bottom w:val="single" w:sz="4" w:space="0" w:color="auto"/>
              <w:right w:val="single" w:sz="4" w:space="0" w:color="auto"/>
            </w:tcBorders>
            <w:hideMark/>
          </w:tcPr>
          <w:p w:rsidR="00A26390" w:rsidRPr="00DE593C" w:rsidRDefault="00A26390" w:rsidP="0014333D">
            <w:pPr>
              <w:rPr>
                <w:b/>
                <w:iCs/>
                <w:lang w:val="en-US"/>
              </w:rPr>
            </w:pPr>
            <w:r w:rsidRPr="00DE593C">
              <w:rPr>
                <w:b/>
                <w:iCs/>
                <w:lang w:val="en-US"/>
              </w:rPr>
              <w:t>Priority No</w:t>
            </w:r>
          </w:p>
        </w:tc>
        <w:tc>
          <w:tcPr>
            <w:tcW w:w="1384" w:type="dxa"/>
            <w:tcBorders>
              <w:top w:val="single" w:sz="4" w:space="0" w:color="auto"/>
              <w:left w:val="single" w:sz="4" w:space="0" w:color="auto"/>
              <w:bottom w:val="single" w:sz="4" w:space="0" w:color="auto"/>
              <w:right w:val="single" w:sz="4" w:space="0" w:color="auto"/>
            </w:tcBorders>
            <w:hideMark/>
          </w:tcPr>
          <w:p w:rsidR="00A26390" w:rsidRPr="00DE593C" w:rsidRDefault="00A26390" w:rsidP="0014333D">
            <w:pPr>
              <w:rPr>
                <w:b/>
                <w:iCs/>
                <w:lang w:val="en-US"/>
              </w:rPr>
            </w:pPr>
            <w:r w:rsidRPr="00DE593C">
              <w:rPr>
                <w:b/>
                <w:iCs/>
                <w:lang w:val="en-US"/>
              </w:rPr>
              <w:t>Fund</w:t>
            </w:r>
          </w:p>
        </w:tc>
        <w:tc>
          <w:tcPr>
            <w:tcW w:w="2322" w:type="dxa"/>
            <w:tcBorders>
              <w:top w:val="single" w:sz="4" w:space="0" w:color="auto"/>
              <w:left w:val="single" w:sz="4" w:space="0" w:color="auto"/>
              <w:bottom w:val="single" w:sz="4" w:space="0" w:color="auto"/>
              <w:right w:val="single" w:sz="4" w:space="0" w:color="auto"/>
            </w:tcBorders>
            <w:hideMark/>
          </w:tcPr>
          <w:p w:rsidR="00A26390" w:rsidRPr="00DE593C" w:rsidRDefault="00A26390" w:rsidP="0014333D">
            <w:pPr>
              <w:rPr>
                <w:b/>
                <w:iCs/>
                <w:lang w:val="en-US"/>
              </w:rPr>
            </w:pPr>
            <w:r w:rsidRPr="00DE593C">
              <w:rPr>
                <w:b/>
                <w:iCs/>
                <w:lang w:val="en-US"/>
              </w:rPr>
              <w:t>Category of region</w:t>
            </w:r>
            <w:r w:rsidRPr="00DE593C">
              <w:rPr>
                <w:b/>
                <w:iCs/>
                <w:vertAlign w:val="superscript"/>
                <w:lang w:val="en-US"/>
              </w:rPr>
              <w:footnoteReference w:id="50"/>
            </w:r>
          </w:p>
        </w:tc>
        <w:tc>
          <w:tcPr>
            <w:tcW w:w="1710" w:type="dxa"/>
            <w:tcBorders>
              <w:top w:val="single" w:sz="4" w:space="0" w:color="auto"/>
              <w:left w:val="single" w:sz="4" w:space="0" w:color="auto"/>
              <w:bottom w:val="single" w:sz="4" w:space="0" w:color="auto"/>
              <w:right w:val="single" w:sz="4" w:space="0" w:color="auto"/>
            </w:tcBorders>
            <w:hideMark/>
          </w:tcPr>
          <w:p w:rsidR="00A26390" w:rsidRPr="00DE593C" w:rsidRDefault="00A26390" w:rsidP="0014333D">
            <w:pPr>
              <w:rPr>
                <w:b/>
                <w:iCs/>
                <w:lang w:val="en-US"/>
              </w:rPr>
            </w:pPr>
            <w:r w:rsidRPr="00DE593C">
              <w:rPr>
                <w:b/>
                <w:iCs/>
                <w:lang w:val="en-US"/>
              </w:rPr>
              <w:t xml:space="preserve">Code </w:t>
            </w:r>
          </w:p>
        </w:tc>
        <w:tc>
          <w:tcPr>
            <w:tcW w:w="2267" w:type="dxa"/>
            <w:tcBorders>
              <w:top w:val="single" w:sz="4" w:space="0" w:color="auto"/>
              <w:left w:val="single" w:sz="4" w:space="0" w:color="auto"/>
              <w:bottom w:val="single" w:sz="4" w:space="0" w:color="auto"/>
              <w:right w:val="single" w:sz="4" w:space="0" w:color="auto"/>
            </w:tcBorders>
            <w:hideMark/>
          </w:tcPr>
          <w:p w:rsidR="00A26390" w:rsidRPr="00DE593C" w:rsidRDefault="00A26390" w:rsidP="0014333D">
            <w:pPr>
              <w:rPr>
                <w:b/>
                <w:iCs/>
                <w:lang w:val="en-US"/>
              </w:rPr>
            </w:pPr>
            <w:r w:rsidRPr="00DE593C">
              <w:rPr>
                <w:b/>
                <w:iCs/>
                <w:lang w:val="en-US"/>
              </w:rPr>
              <w:t>Amount (EUR)</w:t>
            </w:r>
          </w:p>
        </w:tc>
      </w:tr>
      <w:tr w:rsidR="008E7144" w:rsidRPr="00DE593C" w:rsidTr="00E95FAC">
        <w:tc>
          <w:tcPr>
            <w:tcW w:w="1599" w:type="dxa"/>
            <w:tcBorders>
              <w:top w:val="single" w:sz="4" w:space="0" w:color="auto"/>
              <w:left w:val="single" w:sz="4" w:space="0" w:color="auto"/>
              <w:bottom w:val="single" w:sz="4" w:space="0" w:color="auto"/>
              <w:right w:val="single" w:sz="4" w:space="0" w:color="auto"/>
            </w:tcBorders>
          </w:tcPr>
          <w:p w:rsidR="008E7144" w:rsidRPr="00DE593C" w:rsidRDefault="008E7144" w:rsidP="009B7B00">
            <w:pPr>
              <w:rPr>
                <w:b/>
                <w:iCs/>
                <w:lang w:val="en-US"/>
              </w:rPr>
            </w:pPr>
            <w:r w:rsidRPr="00DE593C">
              <w:rPr>
                <w:b/>
                <w:iCs/>
                <w:lang w:val="en-US"/>
              </w:rPr>
              <w:t>5.0</w:t>
            </w:r>
          </w:p>
        </w:tc>
        <w:tc>
          <w:tcPr>
            <w:tcW w:w="1384" w:type="dxa"/>
            <w:tcBorders>
              <w:top w:val="single" w:sz="4" w:space="0" w:color="auto"/>
              <w:left w:val="single" w:sz="4" w:space="0" w:color="auto"/>
              <w:bottom w:val="single" w:sz="4" w:space="0" w:color="auto"/>
              <w:right w:val="single" w:sz="4" w:space="0" w:color="auto"/>
            </w:tcBorders>
          </w:tcPr>
          <w:p w:rsidR="008E7144" w:rsidRPr="00DE593C" w:rsidRDefault="008E7144" w:rsidP="009B7B00">
            <w:pPr>
              <w:rPr>
                <w:rFonts w:ascii="Arial" w:hAnsi="Arial" w:cs="Arial"/>
                <w:b/>
                <w:iCs/>
                <w:sz w:val="20"/>
                <w:szCs w:val="20"/>
                <w:lang w:val="en-US"/>
              </w:rPr>
            </w:pPr>
            <w:r w:rsidRPr="00DE593C">
              <w:rPr>
                <w:rFonts w:ascii="Arial" w:hAnsi="Arial" w:cs="Arial"/>
                <w:b/>
                <w:iCs/>
                <w:sz w:val="20"/>
                <w:szCs w:val="20"/>
                <w:lang w:val="en-US"/>
              </w:rPr>
              <w:t>ERDF</w:t>
            </w:r>
          </w:p>
        </w:tc>
        <w:tc>
          <w:tcPr>
            <w:tcW w:w="2322" w:type="dxa"/>
            <w:tcBorders>
              <w:top w:val="single" w:sz="4" w:space="0" w:color="auto"/>
              <w:left w:val="single" w:sz="4" w:space="0" w:color="auto"/>
              <w:bottom w:val="single" w:sz="4" w:space="0" w:color="auto"/>
              <w:right w:val="single" w:sz="4" w:space="0" w:color="auto"/>
            </w:tcBorders>
          </w:tcPr>
          <w:p w:rsidR="008E7144" w:rsidRPr="00DE593C" w:rsidRDefault="008E7144" w:rsidP="009B7B00">
            <w:pPr>
              <w:rPr>
                <w:rFonts w:ascii="Arial" w:hAnsi="Arial" w:cs="Arial"/>
                <w:b/>
                <w:iCs/>
                <w:sz w:val="20"/>
                <w:szCs w:val="20"/>
                <w:lang w:val="en-US"/>
              </w:rPr>
            </w:pPr>
            <w:r w:rsidRPr="00DE593C">
              <w:rPr>
                <w:rFonts w:ascii="Arial" w:hAnsi="Arial" w:cs="Arial"/>
                <w:b/>
                <w:iCs/>
                <w:sz w:val="20"/>
                <w:szCs w:val="20"/>
                <w:lang w:val="en-US"/>
              </w:rPr>
              <w:t>less developed</w:t>
            </w:r>
          </w:p>
        </w:tc>
        <w:tc>
          <w:tcPr>
            <w:tcW w:w="1710" w:type="dxa"/>
            <w:tcBorders>
              <w:top w:val="single" w:sz="4" w:space="0" w:color="auto"/>
              <w:left w:val="single" w:sz="4" w:space="0" w:color="auto"/>
              <w:bottom w:val="single" w:sz="4" w:space="0" w:color="auto"/>
              <w:right w:val="single" w:sz="4" w:space="0" w:color="auto"/>
            </w:tcBorders>
          </w:tcPr>
          <w:p w:rsidR="008E7144" w:rsidRPr="00DE593C" w:rsidRDefault="008E7144" w:rsidP="009B7B00">
            <w:pPr>
              <w:rPr>
                <w:b/>
                <w:iCs/>
                <w:lang w:val="en-US"/>
              </w:rPr>
            </w:pPr>
            <w:r w:rsidRPr="00DE593C">
              <w:rPr>
                <w:b/>
                <w:iCs/>
                <w:lang w:val="en-US"/>
              </w:rPr>
              <w:t>48</w:t>
            </w:r>
          </w:p>
        </w:tc>
        <w:tc>
          <w:tcPr>
            <w:tcW w:w="2267" w:type="dxa"/>
            <w:tcBorders>
              <w:top w:val="single" w:sz="4" w:space="0" w:color="auto"/>
              <w:left w:val="single" w:sz="4" w:space="0" w:color="auto"/>
              <w:bottom w:val="single" w:sz="4" w:space="0" w:color="auto"/>
              <w:right w:val="single" w:sz="4" w:space="0" w:color="auto"/>
            </w:tcBorders>
          </w:tcPr>
          <w:p w:rsidR="008E7144" w:rsidRPr="00DE593C" w:rsidRDefault="00371455" w:rsidP="009B7B00">
            <w:pPr>
              <w:rPr>
                <w:b/>
                <w:iCs/>
                <w:lang w:val="en-US"/>
              </w:rPr>
            </w:pPr>
            <w:r w:rsidRPr="00DE593C">
              <w:rPr>
                <w:b/>
                <w:iCs/>
                <w:lang w:val="en-US"/>
              </w:rPr>
              <w:t>83,690,000</w:t>
            </w:r>
          </w:p>
        </w:tc>
      </w:tr>
    </w:tbl>
    <w:p w:rsidR="00A26390" w:rsidRPr="00F000AD" w:rsidRDefault="00A26390" w:rsidP="00A26390">
      <w:pPr>
        <w:rPr>
          <w:b/>
          <w:iC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3042"/>
        <w:gridCol w:w="1080"/>
        <w:gridCol w:w="1620"/>
      </w:tblGrid>
      <w:tr w:rsidR="00A26390" w:rsidRPr="00F000AD" w:rsidTr="008E7144">
        <w:tc>
          <w:tcPr>
            <w:tcW w:w="8725" w:type="dxa"/>
            <w:gridSpan w:val="5"/>
            <w:tcBorders>
              <w:top w:val="single" w:sz="4" w:space="0" w:color="auto"/>
              <w:left w:val="single" w:sz="4" w:space="0" w:color="auto"/>
              <w:bottom w:val="single" w:sz="4" w:space="0" w:color="auto"/>
              <w:right w:val="single" w:sz="4" w:space="0" w:color="auto"/>
            </w:tcBorders>
            <w:hideMark/>
          </w:tcPr>
          <w:p w:rsidR="00A26390" w:rsidRPr="00F000AD" w:rsidRDefault="00A26390" w:rsidP="0014333D">
            <w:pPr>
              <w:rPr>
                <w:b/>
                <w:iCs/>
                <w:lang w:val="en-US"/>
              </w:rPr>
            </w:pPr>
            <w:r w:rsidRPr="00F000AD">
              <w:rPr>
                <w:b/>
                <w:iCs/>
                <w:lang w:val="en-US"/>
              </w:rPr>
              <w:t>Table 7: Dimension 6 – ESF+ secondary themes</w:t>
            </w:r>
          </w:p>
        </w:tc>
      </w:tr>
      <w:tr w:rsidR="00A26390" w:rsidRPr="00F000AD" w:rsidTr="008E7144">
        <w:tc>
          <w:tcPr>
            <w:tcW w:w="1599" w:type="dxa"/>
            <w:tcBorders>
              <w:top w:val="single" w:sz="4" w:space="0" w:color="auto"/>
              <w:left w:val="single" w:sz="4" w:space="0" w:color="auto"/>
              <w:bottom w:val="single" w:sz="4" w:space="0" w:color="auto"/>
              <w:right w:val="single" w:sz="4" w:space="0" w:color="auto"/>
            </w:tcBorders>
            <w:hideMark/>
          </w:tcPr>
          <w:p w:rsidR="00A26390" w:rsidRPr="00DE593C" w:rsidRDefault="00A26390" w:rsidP="0014333D">
            <w:pPr>
              <w:rPr>
                <w:b/>
                <w:iCs/>
                <w:lang w:val="en-US"/>
              </w:rPr>
            </w:pPr>
            <w:r w:rsidRPr="00DE593C">
              <w:rPr>
                <w:b/>
                <w:iCs/>
                <w:lang w:val="en-US"/>
              </w:rPr>
              <w:t>Priority No</w:t>
            </w:r>
          </w:p>
        </w:tc>
        <w:tc>
          <w:tcPr>
            <w:tcW w:w="1384" w:type="dxa"/>
            <w:tcBorders>
              <w:top w:val="single" w:sz="4" w:space="0" w:color="auto"/>
              <w:left w:val="single" w:sz="4" w:space="0" w:color="auto"/>
              <w:bottom w:val="single" w:sz="4" w:space="0" w:color="auto"/>
              <w:right w:val="single" w:sz="4" w:space="0" w:color="auto"/>
            </w:tcBorders>
            <w:hideMark/>
          </w:tcPr>
          <w:p w:rsidR="00A26390" w:rsidRPr="00DE593C" w:rsidRDefault="00A26390" w:rsidP="0014333D">
            <w:pPr>
              <w:rPr>
                <w:b/>
                <w:iCs/>
                <w:lang w:val="en-US"/>
              </w:rPr>
            </w:pPr>
            <w:r w:rsidRPr="00DE593C">
              <w:rPr>
                <w:b/>
                <w:iCs/>
                <w:lang w:val="en-US"/>
              </w:rPr>
              <w:t>Fund</w:t>
            </w:r>
          </w:p>
        </w:tc>
        <w:tc>
          <w:tcPr>
            <w:tcW w:w="3042" w:type="dxa"/>
            <w:tcBorders>
              <w:top w:val="single" w:sz="4" w:space="0" w:color="auto"/>
              <w:left w:val="single" w:sz="4" w:space="0" w:color="auto"/>
              <w:bottom w:val="single" w:sz="4" w:space="0" w:color="auto"/>
              <w:right w:val="single" w:sz="4" w:space="0" w:color="auto"/>
            </w:tcBorders>
            <w:hideMark/>
          </w:tcPr>
          <w:p w:rsidR="00A26390" w:rsidRPr="00DE593C" w:rsidRDefault="00A26390" w:rsidP="0014333D">
            <w:pPr>
              <w:rPr>
                <w:b/>
                <w:iCs/>
                <w:lang w:val="en-US"/>
              </w:rPr>
            </w:pPr>
            <w:r w:rsidRPr="00DE593C">
              <w:rPr>
                <w:b/>
                <w:iCs/>
                <w:lang w:val="en-US"/>
              </w:rPr>
              <w:t>Category of region</w:t>
            </w:r>
          </w:p>
        </w:tc>
        <w:tc>
          <w:tcPr>
            <w:tcW w:w="1080" w:type="dxa"/>
            <w:tcBorders>
              <w:top w:val="single" w:sz="4" w:space="0" w:color="auto"/>
              <w:left w:val="single" w:sz="4" w:space="0" w:color="auto"/>
              <w:bottom w:val="single" w:sz="4" w:space="0" w:color="auto"/>
              <w:right w:val="single" w:sz="4" w:space="0" w:color="auto"/>
            </w:tcBorders>
            <w:hideMark/>
          </w:tcPr>
          <w:p w:rsidR="00A26390" w:rsidRPr="00DE593C" w:rsidRDefault="00A26390" w:rsidP="0014333D">
            <w:pPr>
              <w:rPr>
                <w:b/>
                <w:iCs/>
                <w:lang w:val="en-US"/>
              </w:rPr>
            </w:pPr>
            <w:r w:rsidRPr="00DE593C">
              <w:rPr>
                <w:b/>
                <w:iCs/>
                <w:lang w:val="en-US"/>
              </w:rPr>
              <w:t xml:space="preserve">Code </w:t>
            </w:r>
          </w:p>
        </w:tc>
        <w:tc>
          <w:tcPr>
            <w:tcW w:w="1620" w:type="dxa"/>
            <w:tcBorders>
              <w:top w:val="single" w:sz="4" w:space="0" w:color="auto"/>
              <w:left w:val="single" w:sz="4" w:space="0" w:color="auto"/>
              <w:bottom w:val="single" w:sz="4" w:space="0" w:color="auto"/>
              <w:right w:val="single" w:sz="4" w:space="0" w:color="auto"/>
            </w:tcBorders>
            <w:hideMark/>
          </w:tcPr>
          <w:p w:rsidR="00A26390" w:rsidRPr="00DE593C" w:rsidRDefault="00A26390" w:rsidP="0014333D">
            <w:pPr>
              <w:rPr>
                <w:b/>
                <w:iCs/>
                <w:lang w:val="en-US"/>
              </w:rPr>
            </w:pPr>
            <w:r w:rsidRPr="00DE593C">
              <w:rPr>
                <w:b/>
                <w:iCs/>
                <w:lang w:val="en-US"/>
              </w:rPr>
              <w:t>Amount (EUR)</w:t>
            </w:r>
          </w:p>
        </w:tc>
      </w:tr>
      <w:tr w:rsidR="00A26390" w:rsidRPr="00F000AD" w:rsidTr="008E7144">
        <w:tc>
          <w:tcPr>
            <w:tcW w:w="1599" w:type="dxa"/>
            <w:tcBorders>
              <w:top w:val="single" w:sz="4" w:space="0" w:color="auto"/>
              <w:left w:val="single" w:sz="4" w:space="0" w:color="auto"/>
              <w:bottom w:val="single" w:sz="4" w:space="0" w:color="auto"/>
              <w:right w:val="single" w:sz="4" w:space="0" w:color="auto"/>
            </w:tcBorders>
          </w:tcPr>
          <w:p w:rsidR="00A26390" w:rsidRPr="00DE593C" w:rsidRDefault="008E7144" w:rsidP="0014333D">
            <w:pPr>
              <w:rPr>
                <w:b/>
                <w:iCs/>
                <w:lang w:val="en-US"/>
              </w:rPr>
            </w:pPr>
            <w:r w:rsidRPr="00DE593C">
              <w:rPr>
                <w:b/>
                <w:iCs/>
                <w:lang w:val="en-US"/>
              </w:rPr>
              <w:t>5.0</w:t>
            </w:r>
          </w:p>
        </w:tc>
        <w:tc>
          <w:tcPr>
            <w:tcW w:w="1384" w:type="dxa"/>
            <w:tcBorders>
              <w:top w:val="single" w:sz="4" w:space="0" w:color="auto"/>
              <w:left w:val="single" w:sz="4" w:space="0" w:color="auto"/>
              <w:bottom w:val="single" w:sz="4" w:space="0" w:color="auto"/>
              <w:right w:val="single" w:sz="4" w:space="0" w:color="auto"/>
            </w:tcBorders>
          </w:tcPr>
          <w:p w:rsidR="00A26390" w:rsidRPr="00DE593C" w:rsidRDefault="008E7144" w:rsidP="0014333D">
            <w:pPr>
              <w:rPr>
                <w:b/>
                <w:iCs/>
                <w:lang w:val="en-US"/>
              </w:rPr>
            </w:pPr>
            <w:r w:rsidRPr="00DE593C">
              <w:rPr>
                <w:rFonts w:ascii="Arial" w:hAnsi="Arial" w:cs="Arial"/>
                <w:b/>
                <w:iCs/>
                <w:sz w:val="20"/>
                <w:szCs w:val="20"/>
                <w:lang w:val="en-US"/>
              </w:rPr>
              <w:t>ERDF</w:t>
            </w:r>
          </w:p>
        </w:tc>
        <w:tc>
          <w:tcPr>
            <w:tcW w:w="3042" w:type="dxa"/>
            <w:tcBorders>
              <w:top w:val="single" w:sz="4" w:space="0" w:color="auto"/>
              <w:left w:val="single" w:sz="4" w:space="0" w:color="auto"/>
              <w:bottom w:val="single" w:sz="4" w:space="0" w:color="auto"/>
              <w:right w:val="single" w:sz="4" w:space="0" w:color="auto"/>
            </w:tcBorders>
          </w:tcPr>
          <w:p w:rsidR="00A26390" w:rsidRPr="00DE593C" w:rsidRDefault="008E7144" w:rsidP="0014333D">
            <w:pPr>
              <w:rPr>
                <w:b/>
                <w:iCs/>
                <w:lang w:val="en-US"/>
              </w:rPr>
            </w:pPr>
            <w:r w:rsidRPr="00DE593C">
              <w:rPr>
                <w:rFonts w:ascii="Arial" w:hAnsi="Arial" w:cs="Arial"/>
                <w:b/>
                <w:iCs/>
                <w:sz w:val="20"/>
                <w:szCs w:val="20"/>
                <w:lang w:val="en-US"/>
              </w:rPr>
              <w:t>less developed</w:t>
            </w:r>
          </w:p>
        </w:tc>
        <w:tc>
          <w:tcPr>
            <w:tcW w:w="1080" w:type="dxa"/>
            <w:tcBorders>
              <w:top w:val="single" w:sz="4" w:space="0" w:color="auto"/>
              <w:left w:val="single" w:sz="4" w:space="0" w:color="auto"/>
              <w:bottom w:val="single" w:sz="4" w:space="0" w:color="auto"/>
              <w:right w:val="single" w:sz="4" w:space="0" w:color="auto"/>
            </w:tcBorders>
          </w:tcPr>
          <w:p w:rsidR="00A26390" w:rsidRPr="00DE593C" w:rsidRDefault="00A26390" w:rsidP="0014333D">
            <w:pPr>
              <w:rPr>
                <w:b/>
                <w:iCs/>
                <w:lang w:val="en-US"/>
              </w:rPr>
            </w:pPr>
          </w:p>
        </w:tc>
        <w:tc>
          <w:tcPr>
            <w:tcW w:w="1620" w:type="dxa"/>
            <w:tcBorders>
              <w:top w:val="single" w:sz="4" w:space="0" w:color="auto"/>
              <w:left w:val="single" w:sz="4" w:space="0" w:color="auto"/>
              <w:bottom w:val="single" w:sz="4" w:space="0" w:color="auto"/>
              <w:right w:val="single" w:sz="4" w:space="0" w:color="auto"/>
            </w:tcBorders>
          </w:tcPr>
          <w:p w:rsidR="00A26390" w:rsidRPr="00DE593C" w:rsidRDefault="00A26390" w:rsidP="0014333D">
            <w:pPr>
              <w:rPr>
                <w:b/>
                <w:iCs/>
                <w:lang w:val="en-US"/>
              </w:rPr>
            </w:pPr>
          </w:p>
        </w:tc>
      </w:tr>
    </w:tbl>
    <w:p w:rsidR="00A26390" w:rsidRDefault="00A26390" w:rsidP="00A26390">
      <w:pPr>
        <w:tabs>
          <w:tab w:val="left" w:pos="3150"/>
        </w:tabs>
        <w:rPr>
          <w:lang w:val="en-GB"/>
        </w:rPr>
      </w:pPr>
    </w:p>
    <w:p w:rsidR="00A26390" w:rsidRDefault="00A26390" w:rsidP="00A26390">
      <w:pPr>
        <w:spacing w:before="240" w:after="240" w:line="360" w:lineRule="auto"/>
        <w:rPr>
          <w:rFonts w:ascii="Times New Roman" w:eastAsia="Times New Roman" w:hAnsi="Times New Roman" w:cs="Times New Roman"/>
          <w:b/>
          <w:iCs/>
          <w:noProof/>
          <w:sz w:val="24"/>
          <w:szCs w:val="24"/>
          <w:lang w:val="en-GB"/>
        </w:rPr>
      </w:pPr>
      <w:r w:rsidRPr="002E744B">
        <w:rPr>
          <w:rFonts w:ascii="Times New Roman" w:eastAsia="Times New Roman" w:hAnsi="Times New Roman" w:cs="Times New Roman"/>
          <w:b/>
          <w:iCs/>
          <w:noProof/>
          <w:sz w:val="24"/>
          <w:szCs w:val="24"/>
          <w:lang w:val="en-GB"/>
        </w:rPr>
        <w:t>2.A.3 Specific objective</w:t>
      </w:r>
      <w:r w:rsidRPr="002E744B">
        <w:rPr>
          <w:rFonts w:ascii="Times New Roman" w:eastAsia="Times New Roman" w:hAnsi="Times New Roman" w:cs="Times New Roman"/>
          <w:b/>
          <w:bCs/>
          <w:iCs/>
          <w:noProof/>
          <w:sz w:val="24"/>
          <w:szCs w:val="24"/>
          <w:vertAlign w:val="superscript"/>
          <w:lang w:val="en-GB"/>
        </w:rPr>
        <w:footnoteReference w:id="51"/>
      </w:r>
      <w:r w:rsidRPr="002E744B">
        <w:rPr>
          <w:rFonts w:ascii="Times New Roman" w:eastAsia="Times New Roman" w:hAnsi="Times New Roman" w:cs="Times New Roman"/>
          <w:b/>
          <w:iCs/>
          <w:noProof/>
          <w:sz w:val="24"/>
          <w:szCs w:val="24"/>
          <w:lang w:val="en-GB"/>
        </w:rPr>
        <w:t xml:space="preserve">  (Investment for Jobs and Growth goal) repeated for each selected specific objective for priorities other than technical assistance</w:t>
      </w:r>
    </w:p>
    <w:p w:rsidR="00A26390" w:rsidRPr="009D0444" w:rsidRDefault="00A26390" w:rsidP="00662466">
      <w:pPr>
        <w:spacing w:after="0" w:line="240" w:lineRule="auto"/>
        <w:jc w:val="both"/>
        <w:rPr>
          <w:rFonts w:ascii="Times New Roman" w:eastAsia="Times New Roman" w:hAnsi="Times New Roman" w:cs="Times New Roman"/>
          <w:b/>
          <w:iCs/>
          <w:noProof/>
          <w:color w:val="002060"/>
          <w:sz w:val="24"/>
          <w:szCs w:val="24"/>
          <w:lang w:val="en-GB"/>
        </w:rPr>
      </w:pPr>
      <w:r w:rsidRPr="009D0444">
        <w:rPr>
          <w:rFonts w:ascii="Times New Roman" w:eastAsia="Times New Roman" w:hAnsi="Times New Roman" w:cs="Times New Roman"/>
          <w:b/>
          <w:iCs/>
          <w:noProof/>
          <w:color w:val="002060"/>
          <w:sz w:val="24"/>
          <w:szCs w:val="24"/>
          <w:lang w:val="en-GB"/>
        </w:rPr>
        <w:lastRenderedPageBreak/>
        <w:t xml:space="preserve">OP 4: </w:t>
      </w:r>
      <w:r w:rsidR="009D0444">
        <w:rPr>
          <w:rFonts w:ascii="Times New Roman" w:eastAsia="Times New Roman" w:hAnsi="Times New Roman" w:cs="Times New Roman"/>
          <w:b/>
          <w:iCs/>
          <w:noProof/>
          <w:color w:val="002060"/>
          <w:sz w:val="24"/>
          <w:szCs w:val="24"/>
          <w:lang w:val="en-GB"/>
        </w:rPr>
        <w:t>OS</w:t>
      </w:r>
      <w:r w:rsidRPr="009D0444">
        <w:rPr>
          <w:rFonts w:ascii="Times New Roman" w:eastAsia="Times New Roman" w:hAnsi="Times New Roman" w:cs="Times New Roman"/>
          <w:b/>
          <w:iCs/>
          <w:noProof/>
          <w:color w:val="002060"/>
          <w:sz w:val="24"/>
          <w:szCs w:val="24"/>
          <w:lang w:val="en-GB"/>
        </w:rPr>
        <w:t xml:space="preserve"> 4.ii Îmbunătățirea accesului la servicii de calitate și favorabile incluziunii în educație, formare și învățarea pe tot parcursul vieții prin dezvoltarea infrastructurii</w:t>
      </w:r>
    </w:p>
    <w:p w:rsidR="00A26390" w:rsidRPr="002E744B" w:rsidRDefault="00A26390" w:rsidP="00A26390">
      <w:pPr>
        <w:spacing w:before="240" w:after="240" w:line="360" w:lineRule="auto"/>
        <w:rPr>
          <w:rFonts w:ascii="Times New Roman" w:eastAsia="Times New Roman" w:hAnsi="Times New Roman" w:cs="Times New Roman"/>
          <w:b/>
          <w:iCs/>
          <w:noProof/>
          <w:sz w:val="24"/>
          <w:szCs w:val="24"/>
          <w:lang w:val="en-GB"/>
        </w:rPr>
      </w:pPr>
      <w:r w:rsidRPr="002E744B">
        <w:rPr>
          <w:rFonts w:ascii="Times New Roman" w:eastAsia="Times New Roman" w:hAnsi="Times New Roman" w:cs="Times New Roman"/>
          <w:b/>
          <w:iCs/>
          <w:noProof/>
          <w:sz w:val="24"/>
          <w:szCs w:val="24"/>
          <w:lang w:val="en-GB"/>
        </w:rPr>
        <w:t>2.A.3.1 Interventions of the Funds</w:t>
      </w:r>
    </w:p>
    <w:p w:rsidR="00A26390" w:rsidRPr="002E744B" w:rsidRDefault="00A26390" w:rsidP="00A26390">
      <w:pPr>
        <w:spacing w:before="120" w:after="120" w:line="360" w:lineRule="auto"/>
        <w:rPr>
          <w:rFonts w:ascii="Times New Roman" w:eastAsia="Times New Roman" w:hAnsi="Times New Roman" w:cs="Times New Roman"/>
          <w:i/>
          <w:noProof/>
          <w:sz w:val="24"/>
          <w:szCs w:val="24"/>
          <w:lang w:val="en-GB"/>
        </w:rPr>
      </w:pPr>
      <w:r w:rsidRPr="002E744B">
        <w:rPr>
          <w:rFonts w:ascii="Times New Roman" w:eastAsia="Times New Roman" w:hAnsi="Times New Roman" w:cs="Times New Roman"/>
          <w:i/>
          <w:noProof/>
          <w:sz w:val="24"/>
          <w:szCs w:val="24"/>
          <w:lang w:val="en-GB"/>
        </w:rPr>
        <w:t>Reference: Article 17(3)(d)(i),(iii),(iv),(v),(vi);</w:t>
      </w:r>
    </w:p>
    <w:p w:rsidR="00A26390" w:rsidRPr="002E744B" w:rsidRDefault="00A26390" w:rsidP="00A26390">
      <w:pPr>
        <w:bidi/>
        <w:spacing w:before="120" w:after="120" w:line="360" w:lineRule="auto"/>
        <w:jc w:val="right"/>
        <w:rPr>
          <w:rFonts w:ascii="Times New Roman" w:eastAsia="Times New Roman" w:hAnsi="Times New Roman" w:cs="Times New Roman"/>
          <w:b/>
          <w:bCs/>
          <w:i/>
          <w:iCs/>
          <w:noProof/>
          <w:sz w:val="24"/>
          <w:szCs w:val="24"/>
          <w:u w:val="single"/>
          <w:lang w:val="en-GB"/>
        </w:rPr>
      </w:pPr>
      <w:r w:rsidRPr="002E744B">
        <w:rPr>
          <w:rFonts w:ascii="Times New Roman" w:eastAsia="Times New Roman" w:hAnsi="Times New Roman" w:cs="Times New Roman"/>
          <w:i/>
          <w:noProof/>
          <w:sz w:val="24"/>
          <w:szCs w:val="24"/>
          <w:lang w:val="en-GB"/>
        </w:rPr>
        <w:t>The related types of actions – Article 17(3)(d)(i) CPR; Article 6(2) ESF+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A26390" w:rsidRPr="002E744B" w:rsidTr="00B00861">
        <w:tc>
          <w:tcPr>
            <w:tcW w:w="9288" w:type="dxa"/>
            <w:tcBorders>
              <w:top w:val="single" w:sz="4" w:space="0" w:color="auto"/>
              <w:left w:val="single" w:sz="4" w:space="0" w:color="auto"/>
              <w:bottom w:val="single" w:sz="4" w:space="0" w:color="auto"/>
              <w:right w:val="single" w:sz="4" w:space="0" w:color="auto"/>
            </w:tcBorders>
          </w:tcPr>
          <w:p w:rsidR="00F8597A" w:rsidRPr="00DE593C" w:rsidRDefault="00F8597A" w:rsidP="0002745C">
            <w:pPr>
              <w:spacing w:after="0" w:line="240" w:lineRule="auto"/>
              <w:jc w:val="both"/>
              <w:rPr>
                <w:rFonts w:ascii="Times New Roman" w:hAnsi="Times New Roman" w:cs="Times New Roman"/>
                <w:sz w:val="20"/>
                <w:szCs w:val="20"/>
              </w:rPr>
            </w:pPr>
            <w:r w:rsidRPr="00DE593C">
              <w:rPr>
                <w:rFonts w:ascii="Times New Roman" w:hAnsi="Times New Roman" w:cs="Times New Roman"/>
                <w:b/>
                <w:sz w:val="20"/>
                <w:szCs w:val="20"/>
              </w:rPr>
              <w:t>Rețeaua școlară</w:t>
            </w:r>
            <w:r w:rsidRPr="00DE593C">
              <w:rPr>
                <w:rFonts w:ascii="Times New Roman" w:hAnsi="Times New Roman" w:cs="Times New Roman"/>
                <w:sz w:val="20"/>
                <w:szCs w:val="20"/>
              </w:rPr>
              <w:t xml:space="preserve"> </w:t>
            </w:r>
            <w:r w:rsidRPr="00DE593C">
              <w:rPr>
                <w:rFonts w:ascii="Times New Roman" w:hAnsi="Times New Roman" w:cs="Times New Roman"/>
                <w:b/>
                <w:sz w:val="20"/>
                <w:szCs w:val="20"/>
              </w:rPr>
              <w:t>din Regiunea Centru</w:t>
            </w:r>
            <w:r w:rsidRPr="00DE593C">
              <w:rPr>
                <w:rFonts w:ascii="Times New Roman" w:hAnsi="Times New Roman" w:cs="Times New Roman"/>
                <w:sz w:val="20"/>
                <w:szCs w:val="20"/>
              </w:rPr>
              <w:t xml:space="preserve"> cuprindea în anul 2018:  904 unități școlare de toate nivelurile, dintre care 530 erau</w:t>
            </w:r>
            <w:r w:rsidR="007D6CF4" w:rsidRPr="00DE593C">
              <w:rPr>
                <w:rFonts w:ascii="Times New Roman" w:hAnsi="Times New Roman" w:cs="Times New Roman"/>
                <w:sz w:val="20"/>
                <w:szCs w:val="20"/>
              </w:rPr>
              <w:t xml:space="preserve"> situate în mediul urban, </w:t>
            </w:r>
            <w:r w:rsidR="0002745C" w:rsidRPr="00DE593C">
              <w:rPr>
                <w:rFonts w:ascii="Times New Roman" w:hAnsi="Times New Roman" w:cs="Times New Roman"/>
                <w:sz w:val="20"/>
                <w:szCs w:val="20"/>
              </w:rPr>
              <w:t>fiind în scădere constantă</w:t>
            </w:r>
            <w:r w:rsidRPr="00DE593C">
              <w:rPr>
                <w:rFonts w:ascii="Times New Roman" w:hAnsi="Times New Roman" w:cs="Times New Roman"/>
                <w:sz w:val="20"/>
                <w:szCs w:val="20"/>
              </w:rPr>
              <w:t xml:space="preserve"> față de anul 2007 </w:t>
            </w:r>
            <w:r w:rsidR="0002745C" w:rsidRPr="00DE593C">
              <w:rPr>
                <w:rFonts w:ascii="Times New Roman" w:hAnsi="Times New Roman" w:cs="Times New Roman"/>
                <w:sz w:val="20"/>
                <w:szCs w:val="20"/>
              </w:rPr>
              <w:t>când</w:t>
            </w:r>
            <w:r w:rsidRPr="00DE593C">
              <w:rPr>
                <w:rFonts w:ascii="Times New Roman" w:hAnsi="Times New Roman" w:cs="Times New Roman"/>
                <w:sz w:val="20"/>
                <w:szCs w:val="20"/>
              </w:rPr>
              <w:t xml:space="preserve"> s-a redus cu aproape 20%.  </w:t>
            </w:r>
            <w:r w:rsidR="0002745C" w:rsidRPr="00DE593C">
              <w:rPr>
                <w:rFonts w:ascii="Times New Roman" w:hAnsi="Times New Roman" w:cs="Times New Roman"/>
                <w:sz w:val="20"/>
                <w:szCs w:val="20"/>
              </w:rPr>
              <w:t>Din totalul populației școlare (</w:t>
            </w:r>
            <w:r w:rsidRPr="00DE593C">
              <w:rPr>
                <w:rFonts w:ascii="Times New Roman" w:hAnsi="Times New Roman" w:cs="Times New Roman"/>
                <w:sz w:val="20"/>
                <w:szCs w:val="20"/>
              </w:rPr>
              <w:t>2017</w:t>
            </w:r>
            <w:r w:rsidR="0002745C" w:rsidRPr="00DE593C">
              <w:rPr>
                <w:rFonts w:ascii="Times New Roman" w:hAnsi="Times New Roman" w:cs="Times New Roman"/>
                <w:sz w:val="20"/>
                <w:szCs w:val="20"/>
              </w:rPr>
              <w:t>)</w:t>
            </w:r>
            <w:r w:rsidRPr="00DE593C">
              <w:rPr>
                <w:rFonts w:ascii="Times New Roman" w:hAnsi="Times New Roman" w:cs="Times New Roman"/>
                <w:sz w:val="20"/>
                <w:szCs w:val="20"/>
              </w:rPr>
              <w:t xml:space="preserve">, de 429541 persoane, 72.1% era concentrată în mediul urban  în timp ce doar 27,9 în mediul rural. Ponderi însemnate ale populației școlare în mediul rural (față de media regională de 27,9%) se înregistrează în trei dintre județele Regiunii Centru: Harghita, Covasna și Mureș (între 32% și 43%). </w:t>
            </w:r>
          </w:p>
          <w:p w:rsidR="0002745C" w:rsidRPr="00DE593C" w:rsidRDefault="0002745C" w:rsidP="0002745C">
            <w:pPr>
              <w:spacing w:after="0" w:line="240" w:lineRule="auto"/>
              <w:jc w:val="both"/>
              <w:rPr>
                <w:rFonts w:ascii="Times New Roman" w:hAnsi="Times New Roman" w:cs="Times New Roman"/>
                <w:sz w:val="20"/>
                <w:szCs w:val="20"/>
              </w:rPr>
            </w:pPr>
          </w:p>
          <w:p w:rsidR="00371455" w:rsidRPr="00DE593C" w:rsidRDefault="00371455" w:rsidP="00371455">
            <w:pPr>
              <w:spacing w:after="0" w:line="240" w:lineRule="auto"/>
              <w:jc w:val="both"/>
              <w:rPr>
                <w:rFonts w:ascii="Times New Roman" w:hAnsi="Times New Roman" w:cs="Times New Roman"/>
                <w:sz w:val="20"/>
                <w:szCs w:val="20"/>
              </w:rPr>
            </w:pPr>
            <w:r w:rsidRPr="00DE593C">
              <w:rPr>
                <w:rFonts w:ascii="Times New Roman" w:hAnsi="Times New Roman" w:cs="Times New Roman"/>
                <w:sz w:val="20"/>
                <w:szCs w:val="20"/>
              </w:rPr>
              <w:t>Una din specificitățile Regiunii Centru este diversitata etnică, culturală și lingvistică.  Datele de la recensământul populației din 2011,indică o pondere a populației de etnie maghiară de 28,6% în totalul populației Regiunii Centru, 4,7% a celei de etne roma și cca 5,5% alte etnii.</w:t>
            </w:r>
          </w:p>
          <w:p w:rsidR="00371455" w:rsidRPr="00DE593C" w:rsidRDefault="00371455" w:rsidP="0002745C">
            <w:pPr>
              <w:spacing w:after="0" w:line="240" w:lineRule="auto"/>
              <w:jc w:val="both"/>
              <w:rPr>
                <w:rFonts w:ascii="Times New Roman" w:hAnsi="Times New Roman" w:cs="Times New Roman"/>
                <w:sz w:val="20"/>
                <w:szCs w:val="20"/>
              </w:rPr>
            </w:pPr>
          </w:p>
          <w:p w:rsidR="0002745C" w:rsidRPr="00DE593C" w:rsidRDefault="0002745C" w:rsidP="0002745C">
            <w:pPr>
              <w:spacing w:after="0" w:line="240" w:lineRule="auto"/>
              <w:jc w:val="both"/>
              <w:rPr>
                <w:rFonts w:ascii="Times New Roman" w:hAnsi="Times New Roman" w:cs="Times New Roman"/>
                <w:sz w:val="20"/>
                <w:szCs w:val="20"/>
              </w:rPr>
            </w:pPr>
            <w:r w:rsidRPr="00DE593C">
              <w:rPr>
                <w:rFonts w:ascii="Times New Roman" w:hAnsi="Times New Roman" w:cs="Times New Roman"/>
                <w:sz w:val="20"/>
                <w:szCs w:val="20"/>
              </w:rPr>
              <w:t xml:space="preserve">Accesul copiilor la servicii de îngrijire și educație este încă redus, raportul de țară al CE din 2020 indică faptul că doar </w:t>
            </w:r>
            <w:r w:rsidR="004A79E3" w:rsidRPr="00DE593C">
              <w:rPr>
                <w:rFonts w:ascii="Times New Roman" w:hAnsi="Times New Roman" w:cs="Times New Roman"/>
                <w:sz w:val="20"/>
                <w:szCs w:val="20"/>
              </w:rPr>
              <w:t>15,7 % dintre copiii cu vârsta cuprinsă între 0 și 3 ani sunt înscriși la creșă (UE: 34 %), inclusiv din cauza lipsei de creșe.</w:t>
            </w:r>
            <w:r w:rsidR="00D02249" w:rsidRPr="00DE593C">
              <w:rPr>
                <w:rFonts w:ascii="Times New Roman" w:hAnsi="Times New Roman" w:cs="Times New Roman"/>
                <w:b/>
                <w:color w:val="0070C0"/>
                <w:sz w:val="20"/>
                <w:szCs w:val="20"/>
              </w:rPr>
              <w:t xml:space="preserve"> </w:t>
            </w:r>
            <w:r w:rsidR="00D02249" w:rsidRPr="00DE593C">
              <w:rPr>
                <w:rFonts w:ascii="Times New Roman" w:hAnsi="Times New Roman" w:cs="Times New Roman"/>
                <w:b/>
                <w:sz w:val="20"/>
                <w:szCs w:val="20"/>
              </w:rPr>
              <w:t xml:space="preserve">Condorm specialiștilor în educație, participarea la educația timpurie </w:t>
            </w:r>
            <w:r w:rsidR="00D02249" w:rsidRPr="00DE593C">
              <w:rPr>
                <w:rFonts w:ascii="Times New Roman" w:hAnsi="Times New Roman" w:cs="Times New Roman"/>
                <w:sz w:val="20"/>
                <w:szCs w:val="20"/>
              </w:rPr>
              <w:t>poate avea efecte pozitive asupra părăsirii timpurii a școlii în special pentru grupurile dezavantajate care sunt cele mai expuse acestui fenomen.</w:t>
            </w:r>
          </w:p>
          <w:p w:rsidR="00356D34" w:rsidRPr="00DE593C" w:rsidRDefault="00356D34" w:rsidP="0002745C">
            <w:pPr>
              <w:spacing w:after="0" w:line="240" w:lineRule="auto"/>
              <w:jc w:val="both"/>
              <w:rPr>
                <w:rFonts w:ascii="Times New Roman" w:hAnsi="Times New Roman" w:cs="Times New Roman"/>
                <w:sz w:val="20"/>
                <w:szCs w:val="20"/>
              </w:rPr>
            </w:pPr>
            <w:r w:rsidRPr="00DE593C">
              <w:rPr>
                <w:rFonts w:ascii="Times New Roman" w:hAnsi="Times New Roman" w:cs="Times New Roman"/>
                <w:sz w:val="20"/>
                <w:szCs w:val="20"/>
              </w:rPr>
              <w:t>De asemenea, în condițiile optimizării infrastructurii școlare care a dus la desființarea a cca 20% din școlile din regiune în ultimii 10 ani, ne confruntăm cu provocarea  asigurării accesului elevilor</w:t>
            </w:r>
            <w:r w:rsidR="00DB5890" w:rsidRPr="00DE593C">
              <w:rPr>
                <w:rFonts w:ascii="Times New Roman" w:hAnsi="Times New Roman" w:cs="Times New Roman"/>
                <w:sz w:val="20"/>
                <w:szCs w:val="20"/>
              </w:rPr>
              <w:t xml:space="preserve"> la școli, în special la școlile</w:t>
            </w:r>
            <w:r w:rsidRPr="00DE593C">
              <w:rPr>
                <w:rFonts w:ascii="Times New Roman" w:hAnsi="Times New Roman" w:cs="Times New Roman"/>
                <w:sz w:val="20"/>
                <w:szCs w:val="20"/>
              </w:rPr>
              <w:t xml:space="preserve"> din ÎPT</w:t>
            </w:r>
            <w:r w:rsidR="00DB5890" w:rsidRPr="00DE593C">
              <w:rPr>
                <w:rFonts w:ascii="Times New Roman" w:hAnsi="Times New Roman" w:cs="Times New Roman"/>
                <w:sz w:val="20"/>
                <w:szCs w:val="20"/>
              </w:rPr>
              <w:t>, liceal</w:t>
            </w:r>
            <w:r w:rsidRPr="00DE593C">
              <w:rPr>
                <w:rFonts w:ascii="Times New Roman" w:hAnsi="Times New Roman" w:cs="Times New Roman"/>
                <w:sz w:val="20"/>
                <w:szCs w:val="20"/>
              </w:rPr>
              <w:t xml:space="preserve"> sau universitar</w:t>
            </w:r>
            <w:r w:rsidR="00DB5890" w:rsidRPr="00DE593C">
              <w:rPr>
                <w:rFonts w:ascii="Times New Roman" w:hAnsi="Times New Roman" w:cs="Times New Roman"/>
                <w:sz w:val="20"/>
                <w:szCs w:val="20"/>
              </w:rPr>
              <w:t>, prin asigurarea condițiilor de transport și cazare.</w:t>
            </w:r>
          </w:p>
          <w:p w:rsidR="004A79E3" w:rsidRPr="00DE593C" w:rsidRDefault="004A79E3" w:rsidP="0002745C">
            <w:pPr>
              <w:spacing w:after="0" w:line="240" w:lineRule="auto"/>
              <w:jc w:val="both"/>
              <w:rPr>
                <w:rFonts w:ascii="Times New Roman" w:hAnsi="Times New Roman" w:cs="Times New Roman"/>
                <w:sz w:val="20"/>
                <w:szCs w:val="20"/>
                <w:lang w:val="en-US"/>
              </w:rPr>
            </w:pPr>
          </w:p>
          <w:p w:rsidR="0002745C" w:rsidRPr="00DE593C" w:rsidRDefault="0002745C" w:rsidP="0002745C">
            <w:pPr>
              <w:spacing w:after="0" w:line="240" w:lineRule="auto"/>
              <w:jc w:val="both"/>
              <w:rPr>
                <w:rFonts w:ascii="Times New Roman" w:hAnsi="Times New Roman" w:cs="Times New Roman"/>
                <w:sz w:val="20"/>
                <w:szCs w:val="20"/>
              </w:rPr>
            </w:pPr>
            <w:r w:rsidRPr="00DE593C">
              <w:rPr>
                <w:rFonts w:ascii="Times New Roman" w:hAnsi="Times New Roman" w:cs="Times New Roman"/>
                <w:sz w:val="20"/>
                <w:szCs w:val="20"/>
              </w:rPr>
              <w:t xml:space="preserve">O problemă încă nerezolvată  a unităților de învățământ este asigurarea condițiilor minime de funcționare conform  standardelor de funcționare provizorie a unităților de învățământ preuniversitar, și a Standardelor de acreditare și de evaluare periodică a unităților de învățământ preuniversitar, stabilite prin Hotărârea de Guvern nr. 21/2007. </w:t>
            </w:r>
          </w:p>
          <w:p w:rsidR="0002745C" w:rsidRPr="00DE593C" w:rsidRDefault="0002745C" w:rsidP="0002745C">
            <w:pPr>
              <w:spacing w:after="0" w:line="240" w:lineRule="auto"/>
              <w:jc w:val="both"/>
              <w:rPr>
                <w:rFonts w:ascii="Times New Roman" w:hAnsi="Times New Roman" w:cs="Times New Roman"/>
                <w:sz w:val="20"/>
                <w:szCs w:val="20"/>
              </w:rPr>
            </w:pPr>
            <w:r w:rsidRPr="00DE593C">
              <w:rPr>
                <w:rFonts w:ascii="Times New Roman" w:hAnsi="Times New Roman" w:cs="Times New Roman"/>
                <w:sz w:val="20"/>
                <w:szCs w:val="20"/>
              </w:rPr>
              <w:t xml:space="preserve">Astfel, </w:t>
            </w:r>
            <w:r w:rsidR="00DB5890" w:rsidRPr="00DE593C">
              <w:rPr>
                <w:rFonts w:ascii="Times New Roman" w:hAnsi="Times New Roman" w:cs="Times New Roman"/>
                <w:sz w:val="20"/>
                <w:szCs w:val="20"/>
              </w:rPr>
              <w:t>conform SMIE</w:t>
            </w:r>
            <w:r w:rsidR="00DB5890" w:rsidRPr="00DE593C">
              <w:rPr>
                <w:rStyle w:val="Referinnotdesubsol"/>
                <w:rFonts w:ascii="Times New Roman" w:hAnsi="Times New Roman" w:cs="Times New Roman"/>
                <w:sz w:val="20"/>
                <w:szCs w:val="20"/>
              </w:rPr>
              <w:footnoteReference w:id="52"/>
            </w:r>
            <w:r w:rsidR="00DB5890" w:rsidRPr="00DE593C">
              <w:rPr>
                <w:rFonts w:ascii="Times New Roman" w:hAnsi="Times New Roman" w:cs="Times New Roman"/>
                <w:sz w:val="20"/>
                <w:szCs w:val="20"/>
              </w:rPr>
              <w:t xml:space="preserve"> </w:t>
            </w:r>
            <w:r w:rsidRPr="00DE593C">
              <w:rPr>
                <w:rFonts w:ascii="Times New Roman" w:hAnsi="Times New Roman" w:cs="Times New Roman"/>
                <w:sz w:val="20"/>
                <w:szCs w:val="20"/>
              </w:rPr>
              <w:t>2.220 de școli din România nu au grupuri sanitare în interior, iar diferența dintre mediul urban și cel rural este evidentă: 38% în mediul rural, comparativ cu 7% în mediul urban</w:t>
            </w:r>
            <w:r w:rsidRPr="00DE593C">
              <w:rPr>
                <w:rStyle w:val="Referinnotdesubsol"/>
                <w:rFonts w:ascii="Times New Roman" w:hAnsi="Times New Roman" w:cs="Times New Roman"/>
                <w:sz w:val="20"/>
                <w:szCs w:val="20"/>
              </w:rPr>
              <w:footnoteReference w:id="53"/>
            </w:r>
            <w:r w:rsidRPr="00DE593C">
              <w:rPr>
                <w:rFonts w:ascii="Times New Roman" w:hAnsi="Times New Roman" w:cs="Times New Roman"/>
                <w:sz w:val="20"/>
                <w:szCs w:val="20"/>
              </w:rPr>
              <w:t>.</w:t>
            </w:r>
          </w:p>
          <w:p w:rsidR="0002745C" w:rsidRPr="00DE593C" w:rsidRDefault="0002745C" w:rsidP="0002745C">
            <w:pPr>
              <w:spacing w:after="0" w:line="240" w:lineRule="auto"/>
              <w:jc w:val="both"/>
              <w:rPr>
                <w:rFonts w:ascii="Times New Roman" w:hAnsi="Times New Roman" w:cs="Times New Roman"/>
                <w:sz w:val="20"/>
                <w:szCs w:val="20"/>
              </w:rPr>
            </w:pPr>
          </w:p>
          <w:p w:rsidR="00DB5890" w:rsidRPr="00DE593C" w:rsidRDefault="00B00861" w:rsidP="00B00861">
            <w:pPr>
              <w:jc w:val="both"/>
              <w:rPr>
                <w:rFonts w:ascii="Times New Roman" w:hAnsi="Times New Roman" w:cs="Times New Roman"/>
                <w:sz w:val="20"/>
                <w:szCs w:val="20"/>
              </w:rPr>
            </w:pPr>
            <w:r w:rsidRPr="00DE593C">
              <w:rPr>
                <w:rFonts w:ascii="Times New Roman" w:eastAsia="Times New Roman" w:hAnsi="Times New Roman" w:cs="Times New Roman"/>
                <w:sz w:val="20"/>
                <w:szCs w:val="20"/>
              </w:rPr>
              <w:t>Dotarea școlilor cu echipamente care permit o dezvoltare cognitivă bazată pe experiment, simulare, demostrație precum: laboratoare, ateliere, biblioteci este deficitară în multe școli. Conform analizei SMIE d</w:t>
            </w:r>
            <w:r w:rsidRPr="00DE593C">
              <w:rPr>
                <w:rFonts w:ascii="Times New Roman" w:hAnsi="Times New Roman" w:cs="Times New Roman"/>
                <w:sz w:val="20"/>
                <w:szCs w:val="20"/>
              </w:rPr>
              <w:t>ouă din zece școli din mediul urban și șase din zece școli din mediul rural nu sunt dotate cu bibliotecă. Diferențele dintre județe sunt semnificative. De exemplu în județele Alba, și Mureș, sub 40% dintre unitățile de învățământ primar și secundar au bibliotecă. 72% dintre unitățile de învățământ secundar din mediul rural nu sunt dotate cu laborator, comparativ cu 30% dintre unitățile din mediul urban.</w:t>
            </w:r>
          </w:p>
          <w:p w:rsidR="0077227E" w:rsidRPr="00DE593C" w:rsidRDefault="0077227E" w:rsidP="00B00861">
            <w:pPr>
              <w:jc w:val="both"/>
              <w:rPr>
                <w:rFonts w:ascii="Times New Roman" w:hAnsi="Times New Roman" w:cs="Times New Roman"/>
                <w:sz w:val="20"/>
                <w:szCs w:val="20"/>
              </w:rPr>
            </w:pPr>
            <w:r w:rsidRPr="00DE593C">
              <w:rPr>
                <w:rFonts w:ascii="Times New Roman" w:hAnsi="Times New Roman" w:cs="Times New Roman"/>
                <w:sz w:val="20"/>
                <w:szCs w:val="20"/>
              </w:rPr>
              <w:t>Esențială pentru creșterea adaptabilității sistemului de educație la provocăr</w:t>
            </w:r>
            <w:r w:rsidR="00807512" w:rsidRPr="00DE593C">
              <w:rPr>
                <w:rFonts w:ascii="Times New Roman" w:hAnsi="Times New Roman" w:cs="Times New Roman"/>
                <w:sz w:val="20"/>
                <w:szCs w:val="20"/>
              </w:rPr>
              <w:t>i precum cea generată de pandemi</w:t>
            </w:r>
            <w:r w:rsidRPr="00DE593C">
              <w:rPr>
                <w:rFonts w:ascii="Times New Roman" w:hAnsi="Times New Roman" w:cs="Times New Roman"/>
                <w:sz w:val="20"/>
                <w:szCs w:val="20"/>
              </w:rPr>
              <w:t>a SRS-COV 2 este dotarea și pregătirea școlilor și a elevilor pentru a se adapta educației online și la distanță</w:t>
            </w:r>
          </w:p>
          <w:p w:rsidR="00371455" w:rsidRPr="00DE593C" w:rsidRDefault="00371455" w:rsidP="00371455">
            <w:pPr>
              <w:tabs>
                <w:tab w:val="left" w:pos="1440"/>
              </w:tabs>
              <w:jc w:val="both"/>
              <w:rPr>
                <w:rFonts w:cstheme="minorHAnsi"/>
                <w:color w:val="0070C0"/>
              </w:rPr>
            </w:pPr>
            <w:r w:rsidRPr="00DE593C">
              <w:rPr>
                <w:rFonts w:ascii="Times New Roman" w:hAnsi="Times New Roman" w:cs="Times New Roman"/>
                <w:sz w:val="20"/>
                <w:szCs w:val="20"/>
              </w:rPr>
              <w:t xml:space="preserve">La nivelul Regiunii Centru, în 2018 , peste </w:t>
            </w:r>
            <w:r w:rsidRPr="00DE593C">
              <w:rPr>
                <w:rFonts w:ascii="Times New Roman" w:hAnsi="Times New Roman" w:cs="Times New Roman"/>
                <w:b/>
                <w:sz w:val="20"/>
                <w:szCs w:val="20"/>
              </w:rPr>
              <w:t>13700 elevi erau înscriși în școli profesionale</w:t>
            </w:r>
            <w:r w:rsidRPr="00DE593C">
              <w:rPr>
                <w:rFonts w:ascii="Times New Roman" w:hAnsi="Times New Roman" w:cs="Times New Roman"/>
                <w:sz w:val="20"/>
                <w:szCs w:val="20"/>
              </w:rPr>
              <w:t>, peste 8200 elevi erau înrolați în învățământul postliceal și de maiștri iar 21000 elevi studiau în licee tehnologice.. Învățământul profesional înregistrează o pondere însemnată în totalul elevilor înscriși în această formă de învățământ la nivel național, cca 15,16%.</w:t>
            </w:r>
            <w:r w:rsidRPr="00DE593C">
              <w:rPr>
                <w:rFonts w:ascii="Arial" w:hAnsi="Arial" w:cs="Arial"/>
                <w:sz w:val="20"/>
                <w:szCs w:val="20"/>
              </w:rPr>
              <w:t xml:space="preserve">. </w:t>
            </w:r>
            <w:r w:rsidRPr="00DE593C">
              <w:rPr>
                <w:rFonts w:ascii="Times New Roman" w:hAnsi="Times New Roman" w:cs="Times New Roman"/>
                <w:sz w:val="20"/>
                <w:szCs w:val="20"/>
              </w:rPr>
              <w:t>Învățământul profesional dual  înregistra în anul școlar 2019-2020, 2394 de elevi care funcționau în 32 de unități școlare din regiune.</w:t>
            </w:r>
          </w:p>
          <w:p w:rsidR="00371455" w:rsidRPr="00DE593C" w:rsidRDefault="00B00861" w:rsidP="00B00861">
            <w:pPr>
              <w:jc w:val="both"/>
              <w:rPr>
                <w:rFonts w:ascii="Times New Roman" w:hAnsi="Times New Roman" w:cs="Times New Roman"/>
                <w:sz w:val="20"/>
                <w:szCs w:val="20"/>
              </w:rPr>
            </w:pPr>
            <w:r w:rsidRPr="00DE593C">
              <w:rPr>
                <w:rFonts w:ascii="Times New Roman" w:hAnsi="Times New Roman" w:cs="Times New Roman"/>
                <w:sz w:val="20"/>
                <w:szCs w:val="20"/>
              </w:rPr>
              <w:t xml:space="preserve">Evoluția tehnologică a dus la schimbări în </w:t>
            </w:r>
            <w:r w:rsidR="00573F58" w:rsidRPr="00DE593C">
              <w:rPr>
                <w:rFonts w:ascii="Times New Roman" w:hAnsi="Times New Roman" w:cs="Times New Roman"/>
                <w:sz w:val="20"/>
                <w:szCs w:val="20"/>
              </w:rPr>
              <w:t xml:space="preserve">cererea de competențe pentru piața muncii traduse în multe cazuri în specializări noi. În timp ce pentru companii aceste schimbări s-au produs deja și continuă să se producă progresiv, pentru școală </w:t>
            </w:r>
            <w:r w:rsidR="00D02249" w:rsidRPr="00DE593C">
              <w:rPr>
                <w:rFonts w:ascii="Times New Roman" w:hAnsi="Times New Roman" w:cs="Times New Roman"/>
                <w:sz w:val="20"/>
                <w:szCs w:val="20"/>
              </w:rPr>
              <w:t>schimbarea este lentă și depinde de doi factori importanți:  baza materială</w:t>
            </w:r>
            <w:r w:rsidR="00573F58" w:rsidRPr="00DE593C">
              <w:rPr>
                <w:rFonts w:ascii="Times New Roman" w:hAnsi="Times New Roman" w:cs="Times New Roman"/>
                <w:sz w:val="20"/>
                <w:szCs w:val="20"/>
              </w:rPr>
              <w:t xml:space="preserve"> pentru </w:t>
            </w:r>
            <w:r w:rsidR="00573F58" w:rsidRPr="00DE593C">
              <w:rPr>
                <w:rFonts w:ascii="Times New Roman" w:hAnsi="Times New Roman" w:cs="Times New Roman"/>
                <w:sz w:val="20"/>
                <w:szCs w:val="20"/>
              </w:rPr>
              <w:lastRenderedPageBreak/>
              <w:t xml:space="preserve">practica elevilor dar și </w:t>
            </w:r>
            <w:r w:rsidR="00D02249" w:rsidRPr="00DE593C">
              <w:rPr>
                <w:rFonts w:ascii="Times New Roman" w:hAnsi="Times New Roman" w:cs="Times New Roman"/>
                <w:sz w:val="20"/>
                <w:szCs w:val="20"/>
              </w:rPr>
              <w:t xml:space="preserve">profesori și </w:t>
            </w:r>
            <w:r w:rsidR="00573F58" w:rsidRPr="00DE593C">
              <w:rPr>
                <w:rFonts w:ascii="Times New Roman" w:hAnsi="Times New Roman" w:cs="Times New Roman"/>
                <w:sz w:val="20"/>
                <w:szCs w:val="20"/>
              </w:rPr>
              <w:t xml:space="preserve"> mentori</w:t>
            </w:r>
            <w:r w:rsidR="00D02249" w:rsidRPr="00DE593C">
              <w:rPr>
                <w:rFonts w:ascii="Times New Roman" w:hAnsi="Times New Roman" w:cs="Times New Roman"/>
                <w:sz w:val="20"/>
                <w:szCs w:val="20"/>
              </w:rPr>
              <w:t>/tutori pregătiți</w:t>
            </w:r>
            <w:r w:rsidR="00573F58" w:rsidRPr="00DE593C">
              <w:rPr>
                <w:rFonts w:ascii="Times New Roman" w:hAnsi="Times New Roman" w:cs="Times New Roman"/>
                <w:sz w:val="20"/>
                <w:szCs w:val="20"/>
              </w:rPr>
              <w:t>.</w:t>
            </w:r>
            <w:r w:rsidR="00D02249" w:rsidRPr="00DE593C">
              <w:rPr>
                <w:rFonts w:ascii="Times New Roman" w:hAnsi="Times New Roman" w:cs="Times New Roman"/>
                <w:sz w:val="20"/>
                <w:szCs w:val="20"/>
              </w:rPr>
              <w:t xml:space="preserve"> </w:t>
            </w:r>
          </w:p>
          <w:p w:rsidR="00B00861" w:rsidRPr="00DE593C" w:rsidRDefault="00371455" w:rsidP="00B00861">
            <w:pPr>
              <w:jc w:val="both"/>
              <w:rPr>
                <w:rFonts w:ascii="Times New Roman" w:hAnsi="Times New Roman" w:cs="Times New Roman"/>
                <w:sz w:val="20"/>
                <w:szCs w:val="20"/>
                <w:lang w:val="en-GB"/>
              </w:rPr>
            </w:pPr>
            <w:r w:rsidRPr="00DE593C">
              <w:rPr>
                <w:rFonts w:ascii="Times New Roman" w:hAnsi="Times New Roman" w:cs="Times New Roman"/>
                <w:sz w:val="20"/>
                <w:szCs w:val="20"/>
                <w:lang w:val="en-GB"/>
              </w:rPr>
              <w:t xml:space="preserve">Din perspectiva PRAI Centru 2016/2025, este necesară continuarea investițiilor în infrastructura pentru formarea profesională, prin </w:t>
            </w:r>
            <w:r w:rsidRPr="00DE593C">
              <w:rPr>
                <w:rFonts w:ascii="Times New Roman" w:hAnsi="Times New Roman" w:cs="Times New Roman"/>
                <w:bCs/>
                <w:sz w:val="20"/>
                <w:szCs w:val="20"/>
              </w:rPr>
              <w:t>construcţia/consolidarea/reabilitarea/modernizarea/extinderea infrastructurii de formare profesională</w:t>
            </w:r>
            <w:r w:rsidRPr="00DE593C">
              <w:rPr>
                <w:rFonts w:ascii="Times New Roman" w:hAnsi="Times New Roman" w:cs="Times New Roman"/>
                <w:sz w:val="20"/>
                <w:szCs w:val="20"/>
                <w:lang w:val="en-GB"/>
              </w:rPr>
              <w:t xml:space="preserve"> și dotarea cu mijloace didactice și echipamente pentru a se îmbunătăți condițiile de învățare în ÎPT din Regiunea Centru. </w:t>
            </w:r>
            <w:r w:rsidR="00573F58" w:rsidRPr="00DE593C">
              <w:rPr>
                <w:rFonts w:ascii="Times New Roman" w:hAnsi="Times New Roman" w:cs="Times New Roman"/>
                <w:sz w:val="20"/>
                <w:szCs w:val="20"/>
              </w:rPr>
              <w:t xml:space="preserve"> </w:t>
            </w:r>
          </w:p>
          <w:p w:rsidR="00DB5890" w:rsidRPr="00DE593C" w:rsidRDefault="00DB5890" w:rsidP="00DB5890">
            <w:pPr>
              <w:jc w:val="both"/>
              <w:rPr>
                <w:rFonts w:ascii="Times New Roman" w:hAnsi="Times New Roman" w:cs="Times New Roman"/>
                <w:sz w:val="20"/>
                <w:szCs w:val="20"/>
              </w:rPr>
            </w:pPr>
            <w:r w:rsidRPr="00DE593C">
              <w:rPr>
                <w:rFonts w:ascii="Times New Roman" w:hAnsi="Times New Roman" w:cs="Times New Roman"/>
                <w:b/>
                <w:sz w:val="20"/>
                <w:szCs w:val="20"/>
              </w:rPr>
              <w:t xml:space="preserve">În anul 2018 în Regiunea Centru funcționau 10 instituții de învățământ superior (7 în proprietate publică și 3 în proprietate privată).  </w:t>
            </w:r>
            <w:r w:rsidR="0077227E" w:rsidRPr="00DE593C">
              <w:rPr>
                <w:rFonts w:ascii="Times New Roman" w:hAnsi="Times New Roman" w:cs="Times New Roman"/>
                <w:sz w:val="20"/>
                <w:szCs w:val="20"/>
              </w:rPr>
              <w:t>În insttituțiile învățământ superior din regiune erau înscriți</w:t>
            </w:r>
            <w:r w:rsidRPr="00DE593C">
              <w:rPr>
                <w:rFonts w:ascii="Times New Roman" w:hAnsi="Times New Roman" w:cs="Times New Roman"/>
                <w:sz w:val="20"/>
                <w:szCs w:val="20"/>
              </w:rPr>
              <w:t xml:space="preserve"> 56.803 </w:t>
            </w:r>
            <w:r w:rsidRPr="00DE593C">
              <w:rPr>
                <w:rFonts w:ascii="Times New Roman" w:hAnsi="Times New Roman" w:cs="Times New Roman"/>
                <w:b/>
                <w:sz w:val="20"/>
                <w:szCs w:val="20"/>
              </w:rPr>
              <w:t>studenți</w:t>
            </w:r>
            <w:r w:rsidRPr="00DE593C">
              <w:rPr>
                <w:rStyle w:val="Referinnotdesubsol"/>
                <w:rFonts w:ascii="Times New Roman" w:hAnsi="Times New Roman" w:cs="Times New Roman"/>
                <w:sz w:val="20"/>
                <w:szCs w:val="20"/>
              </w:rPr>
              <w:footnoteReference w:id="54"/>
            </w:r>
            <w:r w:rsidRPr="00DE593C">
              <w:rPr>
                <w:rFonts w:ascii="Times New Roman" w:hAnsi="Times New Roman" w:cs="Times New Roman"/>
                <w:sz w:val="20"/>
                <w:szCs w:val="20"/>
              </w:rPr>
              <w:t xml:space="preserve"> (10,5% din numărul total </w:t>
            </w:r>
            <w:r w:rsidR="0077227E" w:rsidRPr="00DE593C">
              <w:rPr>
                <w:rFonts w:ascii="Times New Roman" w:hAnsi="Times New Roman" w:cs="Times New Roman"/>
                <w:sz w:val="20"/>
                <w:szCs w:val="20"/>
              </w:rPr>
              <w:t>de studenți la nivel național).</w:t>
            </w:r>
          </w:p>
          <w:p w:rsidR="00DB5890" w:rsidRPr="00DE593C" w:rsidRDefault="00DB5890" w:rsidP="00DB5890">
            <w:pPr>
              <w:jc w:val="both"/>
              <w:rPr>
                <w:rFonts w:ascii="Times New Roman" w:eastAsia="Times New Roman" w:hAnsi="Times New Roman" w:cs="Times New Roman"/>
                <w:sz w:val="20"/>
                <w:szCs w:val="20"/>
              </w:rPr>
            </w:pPr>
            <w:r w:rsidRPr="00DE593C">
              <w:rPr>
                <w:rFonts w:ascii="Times New Roman" w:hAnsi="Times New Roman" w:cs="Times New Roman"/>
                <w:b/>
                <w:sz w:val="20"/>
                <w:szCs w:val="20"/>
              </w:rPr>
              <w:t>În ultimii 5 ani se constată o scădere a interesului pentru instituțiile de educație terțiară din Regiunea Centru</w:t>
            </w:r>
            <w:r w:rsidRPr="00DE593C">
              <w:rPr>
                <w:rFonts w:ascii="Times New Roman" w:hAnsi="Times New Roman" w:cs="Times New Roman"/>
                <w:sz w:val="20"/>
                <w:szCs w:val="20"/>
              </w:rPr>
              <w:t>, numărul anual de absolvenți scăzând cu aproape 3000, iar numărul de studenți înscriși cu cca 1000.</w:t>
            </w:r>
            <w:r w:rsidR="0077227E" w:rsidRPr="00DE593C">
              <w:rPr>
                <w:rFonts w:ascii="Times New Roman" w:hAnsi="Times New Roman" w:cs="Times New Roman"/>
                <w:sz w:val="20"/>
                <w:szCs w:val="20"/>
              </w:rPr>
              <w:t xml:space="preserve"> </w:t>
            </w:r>
            <w:r w:rsidR="0077227E" w:rsidRPr="00DE593C">
              <w:rPr>
                <w:rFonts w:ascii="Times New Roman" w:hAnsi="Times New Roman" w:cs="Times New Roman"/>
                <w:b/>
                <w:sz w:val="20"/>
                <w:szCs w:val="20"/>
              </w:rPr>
              <w:t>Dacă analizăm evoluția regională a p</w:t>
            </w:r>
            <w:r w:rsidR="0077227E" w:rsidRPr="00DE593C">
              <w:rPr>
                <w:rFonts w:ascii="Times New Roman" w:hAnsi="Times New Roman" w:cs="Times New Roman"/>
                <w:b/>
                <w:bCs/>
                <w:sz w:val="20"/>
                <w:szCs w:val="20"/>
              </w:rPr>
              <w:t xml:space="preserve">onderii </w:t>
            </w:r>
            <w:r w:rsidR="0077227E" w:rsidRPr="00DE593C">
              <w:rPr>
                <w:rFonts w:ascii="Times New Roman" w:eastAsia="Times New Roman" w:hAnsi="Times New Roman" w:cs="Times New Roman"/>
                <w:b/>
                <w:sz w:val="20"/>
                <w:szCs w:val="20"/>
              </w:rPr>
              <w:t>persoanelor cu studii superioare în totalul populației din grupa de vârstă 30-34 de ani, se observă că aceasta a crescut de la 21,3% în 2013 la 26,6% în 2017, însă se menține sub valorile la nivelul Uniunii Europene</w:t>
            </w:r>
            <w:r w:rsidR="0077227E" w:rsidRPr="00DE593C">
              <w:rPr>
                <w:rFonts w:ascii="Times New Roman" w:eastAsia="Times New Roman" w:hAnsi="Times New Roman" w:cs="Times New Roman"/>
                <w:sz w:val="20"/>
                <w:szCs w:val="20"/>
              </w:rPr>
              <w:t xml:space="preserve"> (39,9% în 2017), dar în apropierea țintei naționale de 26,7%.</w:t>
            </w:r>
          </w:p>
          <w:p w:rsidR="0077227E" w:rsidRPr="00DE593C" w:rsidRDefault="0077227E" w:rsidP="0077227E">
            <w:pPr>
              <w:jc w:val="both"/>
              <w:rPr>
                <w:rFonts w:ascii="Times New Roman" w:hAnsi="Times New Roman" w:cs="Times New Roman"/>
                <w:sz w:val="20"/>
                <w:szCs w:val="20"/>
              </w:rPr>
            </w:pPr>
            <w:r w:rsidRPr="00DE593C">
              <w:rPr>
                <w:rFonts w:ascii="Times New Roman" w:hAnsi="Times New Roman" w:cs="Times New Roman"/>
                <w:sz w:val="20"/>
                <w:szCs w:val="20"/>
              </w:rPr>
              <w:t xml:space="preserve">Învățământul universitar este un pilon esențial al creșterii inteligente, educația superioară joacă un rol important în societate,  contribuind la accelerarea inovării, creșterea economică și prosperitatea societății. Odată cu evoluția tehnologică, digitalizarea proceselor de producție, a apărut necesitatea de noi competențe , universitățile fiind în prima linie atât în ceea ce privește generarea evoluției tehnologice cât și crearea competențelor necesare utilizării acesteia. </w:t>
            </w:r>
          </w:p>
          <w:p w:rsidR="0077227E" w:rsidRPr="00DE593C" w:rsidRDefault="0077227E" w:rsidP="0077227E">
            <w:pPr>
              <w:jc w:val="both"/>
              <w:rPr>
                <w:rFonts w:ascii="Times New Roman" w:eastAsia="Times New Roman" w:hAnsi="Times New Roman" w:cs="Times New Roman"/>
                <w:sz w:val="20"/>
                <w:szCs w:val="20"/>
              </w:rPr>
            </w:pPr>
            <w:r w:rsidRPr="00DE593C">
              <w:rPr>
                <w:rFonts w:ascii="Times New Roman" w:hAnsi="Times New Roman" w:cs="Times New Roman"/>
                <w:sz w:val="20"/>
                <w:szCs w:val="20"/>
              </w:rPr>
              <w:t xml:space="preserve">Subfinanțarea educației și întârzierea modernizării infrastructurii educaționale și a actului de predare-învățare au avut efecte în lanț asupra calității și relevanței </w:t>
            </w:r>
            <w:r w:rsidRPr="00DE593C">
              <w:rPr>
                <w:rFonts w:ascii="Times New Roman" w:eastAsia="Times New Roman" w:hAnsi="Times New Roman" w:cs="Times New Roman"/>
                <w:sz w:val="20"/>
                <w:szCs w:val="20"/>
              </w:rPr>
              <w:t>educației și formării pentru piața muncii. O parte importantă a absolvenților din învățământul secundar superior cu rezultate deosebite sunt preluați de universități de prestigiu iar o altă pondere foarte mare a absolvenților din învățământul superior sunt absorbiți pe piața muncii din statele membre ale uniunii Europene sau din afară.</w:t>
            </w:r>
          </w:p>
          <w:p w:rsidR="00807512" w:rsidRPr="00DE593C" w:rsidRDefault="00807512" w:rsidP="00807512">
            <w:pPr>
              <w:spacing w:line="259" w:lineRule="auto"/>
              <w:jc w:val="both"/>
              <w:rPr>
                <w:rFonts w:ascii="Times New Roman" w:hAnsi="Times New Roman" w:cs="Times New Roman"/>
                <w:b/>
                <w:sz w:val="20"/>
                <w:szCs w:val="20"/>
              </w:rPr>
            </w:pPr>
            <w:r w:rsidRPr="00DE593C">
              <w:rPr>
                <w:rFonts w:ascii="Times New Roman" w:hAnsi="Times New Roman" w:cs="Times New Roman"/>
                <w:b/>
                <w:sz w:val="20"/>
                <w:szCs w:val="20"/>
              </w:rPr>
              <w:t>Intervențiile prevăzute în cadrul acestui obiectiv specific au în vedere creșterea calității și relevanței educației și formării profesionale pentru piața muncii.</w:t>
            </w:r>
          </w:p>
          <w:p w:rsidR="00807512" w:rsidRPr="00DE593C" w:rsidRDefault="00807512" w:rsidP="00807512">
            <w:pPr>
              <w:pStyle w:val="Default"/>
              <w:jc w:val="both"/>
              <w:rPr>
                <w:rFonts w:ascii="Times New Roman" w:hAnsi="Times New Roman" w:cs="Times New Roman"/>
                <w:sz w:val="20"/>
                <w:szCs w:val="20"/>
              </w:rPr>
            </w:pPr>
            <w:r w:rsidRPr="00DE593C">
              <w:rPr>
                <w:rFonts w:ascii="Times New Roman" w:hAnsi="Times New Roman" w:cs="Times New Roman"/>
                <w:bCs/>
                <w:sz w:val="20"/>
                <w:szCs w:val="20"/>
                <w:lang w:val="ro-RO"/>
              </w:rPr>
              <w:t xml:space="preserve">Acțiunea </w:t>
            </w:r>
            <w:r w:rsidRPr="00DE593C">
              <w:rPr>
                <w:rFonts w:ascii="Times New Roman" w:hAnsi="Times New Roman" w:cs="Times New Roman"/>
                <w:b/>
                <w:bCs/>
                <w:sz w:val="20"/>
                <w:szCs w:val="20"/>
                <w:lang w:val="ro-RO"/>
              </w:rPr>
              <w:t>5</w:t>
            </w:r>
            <w:r w:rsidRPr="00DE593C">
              <w:rPr>
                <w:rFonts w:ascii="Times New Roman" w:hAnsi="Times New Roman" w:cs="Times New Roman"/>
                <w:b/>
                <w:sz w:val="20"/>
                <w:szCs w:val="20"/>
                <w:lang w:val="ro-RO"/>
              </w:rPr>
              <w:t xml:space="preserve">.1 </w:t>
            </w:r>
            <w:r w:rsidRPr="00DE593C">
              <w:rPr>
                <w:rFonts w:ascii="Times New Roman" w:hAnsi="Times New Roman" w:cs="Times New Roman"/>
                <w:b/>
                <w:sz w:val="20"/>
                <w:szCs w:val="20"/>
              </w:rPr>
              <w:t>Creșterea gradului de participare la nivelul educației timpurii și învățământului obligatoriu-  cu excepția ÎPT (învățământ antepreșcolar, preșcolar, primar, gimnazial, inclusiv, înv. Liceal, învățământul special)</w:t>
            </w:r>
          </w:p>
          <w:p w:rsidR="00807512" w:rsidRPr="00DE593C" w:rsidRDefault="00807512" w:rsidP="00807512">
            <w:pPr>
              <w:pStyle w:val="Default"/>
              <w:jc w:val="both"/>
              <w:rPr>
                <w:rFonts w:ascii="Times New Roman" w:hAnsi="Times New Roman" w:cs="Times New Roman"/>
                <w:sz w:val="20"/>
                <w:szCs w:val="20"/>
                <w:u w:val="single"/>
              </w:rPr>
            </w:pPr>
          </w:p>
          <w:p w:rsidR="00807512" w:rsidRPr="00DE593C" w:rsidRDefault="00807512" w:rsidP="00807512">
            <w:pPr>
              <w:pStyle w:val="Default"/>
              <w:jc w:val="both"/>
              <w:rPr>
                <w:rFonts w:ascii="Times New Roman" w:hAnsi="Times New Roman" w:cs="Times New Roman"/>
                <w:b/>
                <w:sz w:val="20"/>
                <w:szCs w:val="20"/>
              </w:rPr>
            </w:pPr>
            <w:r w:rsidRPr="00DE593C">
              <w:rPr>
                <w:rFonts w:ascii="Times New Roman" w:hAnsi="Times New Roman" w:cs="Times New Roman"/>
                <w:b/>
                <w:sz w:val="20"/>
                <w:szCs w:val="20"/>
              </w:rPr>
              <w:t>Tipuri de operațiuni:</w:t>
            </w:r>
          </w:p>
          <w:p w:rsidR="00807512" w:rsidRPr="00DE593C" w:rsidRDefault="00807512" w:rsidP="00E16AA6">
            <w:pPr>
              <w:pStyle w:val="Listparagraf"/>
              <w:numPr>
                <w:ilvl w:val="0"/>
                <w:numId w:val="61"/>
              </w:numPr>
              <w:spacing w:after="0" w:line="259" w:lineRule="auto"/>
              <w:jc w:val="both"/>
              <w:rPr>
                <w:sz w:val="20"/>
                <w:szCs w:val="20"/>
              </w:rPr>
            </w:pPr>
            <w:r w:rsidRPr="00DE593C">
              <w:rPr>
                <w:sz w:val="20"/>
                <w:szCs w:val="20"/>
              </w:rPr>
              <w:t>Asigurarea accesului la serviciile de educație în unitățile școlare din Regiunea Centru prin: Îmbunătățirea accesului la servicii de educație în zonele insuficient deservite</w:t>
            </w:r>
            <w:r w:rsidR="00A5682B" w:rsidRPr="00DE593C">
              <w:rPr>
                <w:sz w:val="20"/>
                <w:szCs w:val="20"/>
              </w:rPr>
              <w:t>, grupuri dezavantajate</w:t>
            </w:r>
            <w:r w:rsidRPr="00DE593C">
              <w:rPr>
                <w:sz w:val="20"/>
                <w:szCs w:val="20"/>
              </w:rPr>
              <w:t xml:space="preserve"> și în unitățile de învățământ supraaglomerate, o mai bună utilizare a spațiilor, flexibilizarea spațiilor, </w:t>
            </w:r>
            <w:r w:rsidR="00D63E18" w:rsidRPr="00DE593C">
              <w:rPr>
                <w:sz w:val="20"/>
                <w:szCs w:val="20"/>
              </w:rPr>
              <w:t xml:space="preserve">astel încât să poată fi realizată și adaptarea la situații precum cea generată de pandemia COVID 19, </w:t>
            </w:r>
            <w:r w:rsidRPr="00DE593C">
              <w:rPr>
                <w:sz w:val="20"/>
                <w:szCs w:val="20"/>
              </w:rPr>
              <w:t>Creșterea capacității de școlarizare în învățământul antepreșcolar (creșe și grădinițe); Îmbunătățirea condițiilor de cazare și posibilităților de transport pentru elevi;</w:t>
            </w:r>
          </w:p>
          <w:p w:rsidR="00807512" w:rsidRPr="00DE593C" w:rsidRDefault="00807512" w:rsidP="00E16AA6">
            <w:pPr>
              <w:pStyle w:val="Listparagraf"/>
              <w:numPr>
                <w:ilvl w:val="0"/>
                <w:numId w:val="61"/>
              </w:numPr>
              <w:spacing w:after="0" w:line="259" w:lineRule="auto"/>
              <w:jc w:val="both"/>
              <w:rPr>
                <w:sz w:val="20"/>
                <w:szCs w:val="20"/>
              </w:rPr>
            </w:pPr>
            <w:r w:rsidRPr="00DE593C">
              <w:rPr>
                <w:sz w:val="20"/>
                <w:szCs w:val="20"/>
              </w:rPr>
              <w:t xml:space="preserve">Creșterea calității, condițiilor de siguranță și funcționare în unitățile școlare din Regiune prin respectarea unor standarde minime pentru infrastructură și alinierea modului de proiectare a facilităților la principiile de învățare; adecvarea utilităților școlare, în care se includ sistemele de încălzire și de ventilație, canalizarea, colectarea deșeurilor și condițiile sanitare. </w:t>
            </w:r>
          </w:p>
          <w:p w:rsidR="00807512" w:rsidRPr="00DE593C" w:rsidRDefault="00807512" w:rsidP="00E16AA6">
            <w:pPr>
              <w:pStyle w:val="Listparagraf"/>
              <w:numPr>
                <w:ilvl w:val="0"/>
                <w:numId w:val="61"/>
              </w:numPr>
              <w:spacing w:after="0" w:line="259" w:lineRule="auto"/>
              <w:jc w:val="both"/>
              <w:rPr>
                <w:sz w:val="20"/>
                <w:szCs w:val="20"/>
              </w:rPr>
            </w:pPr>
            <w:r w:rsidRPr="00DE593C">
              <w:rPr>
                <w:sz w:val="20"/>
                <w:szCs w:val="20"/>
              </w:rPr>
              <w:t>Îmbunătățirea calității și relevanței mediilor de învățare prin Asigurarea și dezvoltarea unor medii de învățare de calitate care să sprijine procesul de învățare și stimularea dezvoltării competențelor solicitate pe piața forței de muncă sau a celor fundamentale pentru succesul în viață și în societate: asigurarea spațiilor necesare și dotărilor pentru biblioteci școlare, laboratoare etc.</w:t>
            </w:r>
          </w:p>
          <w:p w:rsidR="00807512" w:rsidRPr="00DE593C" w:rsidRDefault="00807512" w:rsidP="00807512">
            <w:pPr>
              <w:jc w:val="both"/>
              <w:rPr>
                <w:rFonts w:ascii="Times New Roman" w:hAnsi="Times New Roman" w:cs="Times New Roman"/>
                <w:b/>
                <w:sz w:val="20"/>
                <w:szCs w:val="20"/>
              </w:rPr>
            </w:pPr>
            <w:r w:rsidRPr="00DE593C">
              <w:rPr>
                <w:rFonts w:ascii="Times New Roman" w:hAnsi="Times New Roman" w:cs="Times New Roman"/>
                <w:bCs/>
                <w:sz w:val="20"/>
                <w:szCs w:val="20"/>
              </w:rPr>
              <w:t xml:space="preserve">Acțiunea  </w:t>
            </w:r>
            <w:r w:rsidRPr="00DE593C">
              <w:rPr>
                <w:rFonts w:ascii="Times New Roman" w:hAnsi="Times New Roman" w:cs="Times New Roman"/>
                <w:b/>
                <w:bCs/>
                <w:sz w:val="20"/>
                <w:szCs w:val="20"/>
              </w:rPr>
              <w:t xml:space="preserve">5.2 </w:t>
            </w:r>
            <w:r w:rsidRPr="00DE593C">
              <w:rPr>
                <w:rFonts w:ascii="Times New Roman" w:hAnsi="Times New Roman" w:cs="Times New Roman"/>
                <w:b/>
                <w:sz w:val="20"/>
                <w:szCs w:val="20"/>
              </w:rPr>
              <w:t xml:space="preserve">Creșterea gradului de participare la învățământul profesional și tehnic </w:t>
            </w:r>
          </w:p>
          <w:p w:rsidR="00807512" w:rsidRPr="00DE593C" w:rsidRDefault="00807512" w:rsidP="00807512">
            <w:pPr>
              <w:jc w:val="both"/>
              <w:rPr>
                <w:rFonts w:ascii="Times New Roman" w:hAnsi="Times New Roman" w:cs="Times New Roman"/>
                <w:b/>
                <w:sz w:val="20"/>
                <w:szCs w:val="20"/>
              </w:rPr>
            </w:pPr>
            <w:r w:rsidRPr="00DE593C">
              <w:rPr>
                <w:rFonts w:ascii="Times New Roman" w:hAnsi="Times New Roman" w:cs="Times New Roman"/>
                <w:b/>
                <w:sz w:val="20"/>
                <w:szCs w:val="20"/>
              </w:rPr>
              <w:lastRenderedPageBreak/>
              <w:t>Tipuri de operațiuni:</w:t>
            </w:r>
          </w:p>
          <w:p w:rsidR="00807512" w:rsidRPr="00DE593C" w:rsidRDefault="00807512" w:rsidP="00807512">
            <w:pPr>
              <w:jc w:val="both"/>
              <w:rPr>
                <w:rFonts w:ascii="Times New Roman" w:hAnsi="Times New Roman" w:cs="Times New Roman"/>
                <w:sz w:val="20"/>
                <w:szCs w:val="20"/>
              </w:rPr>
            </w:pPr>
            <w:r w:rsidRPr="00DE593C">
              <w:rPr>
                <w:rFonts w:ascii="Times New Roman" w:hAnsi="Times New Roman" w:cs="Times New Roman"/>
                <w:sz w:val="20"/>
                <w:szCs w:val="20"/>
              </w:rPr>
              <w:t xml:space="preserve">Intervențiile din cadrul acestei axe vizează creșterea gradului de participare la ÎPT prin asigurarea condițiilor și cadrului necesar dobândirii competențelor și calificărilor în acord cu cerințele pieței muncii.  </w:t>
            </w:r>
          </w:p>
          <w:p w:rsidR="00807512" w:rsidRPr="00DE593C" w:rsidRDefault="00807512" w:rsidP="00E16AA6">
            <w:pPr>
              <w:pStyle w:val="Listparagraf"/>
              <w:numPr>
                <w:ilvl w:val="0"/>
                <w:numId w:val="61"/>
              </w:numPr>
              <w:spacing w:before="0" w:after="0" w:line="240" w:lineRule="auto"/>
              <w:ind w:left="714" w:hanging="357"/>
              <w:jc w:val="both"/>
              <w:rPr>
                <w:sz w:val="20"/>
                <w:szCs w:val="20"/>
              </w:rPr>
            </w:pPr>
            <w:r w:rsidRPr="00DE593C">
              <w:rPr>
                <w:sz w:val="20"/>
                <w:szCs w:val="20"/>
              </w:rPr>
              <w:t xml:space="preserve">Intervenții in infrastructura unităților școlare din ÎPT, inclusiv în sistem dual, care vizează creșterea standardelor sau conformarea cu standardele de funcționare în vigoare, adaptarea infrastructurii pentru accesul elevilor cu deficienţe/ nevoi speciale, investițiile vor viza </w:t>
            </w:r>
            <w:r w:rsidR="00D63E18" w:rsidRPr="00DE593C">
              <w:rPr>
                <w:sz w:val="20"/>
                <w:szCs w:val="20"/>
              </w:rPr>
              <w:t>pe lângă lucrările de moderizare/extindere/construcție și dotarea atelierelor școlare cu echipamente didactice/aparatură pentru practica elevilor, dotarea l</w:t>
            </w:r>
            <w:r w:rsidRPr="00DE593C">
              <w:rPr>
                <w:sz w:val="20"/>
                <w:szCs w:val="20"/>
              </w:rPr>
              <w:t>, laboratoarelor, bibliotecilor, sălilor și terenurilor de sport etc Îmbunătățirea condițiilor de cazare și posibilităților de transport pentru elevi;</w:t>
            </w:r>
          </w:p>
          <w:p w:rsidR="00D63E18" w:rsidRPr="00DE593C" w:rsidRDefault="00D63E18" w:rsidP="00807512">
            <w:pPr>
              <w:pStyle w:val="Default"/>
              <w:jc w:val="both"/>
              <w:rPr>
                <w:rFonts w:ascii="Times New Roman" w:hAnsi="Times New Roman" w:cs="Times New Roman"/>
                <w:b/>
                <w:bCs/>
                <w:sz w:val="20"/>
                <w:szCs w:val="20"/>
                <w:lang w:val="ro-RO"/>
              </w:rPr>
            </w:pPr>
          </w:p>
          <w:p w:rsidR="00807512" w:rsidRPr="00DE593C" w:rsidRDefault="00807512" w:rsidP="00807512">
            <w:pPr>
              <w:pStyle w:val="Default"/>
              <w:jc w:val="both"/>
              <w:rPr>
                <w:rFonts w:ascii="Times New Roman" w:hAnsi="Times New Roman" w:cs="Times New Roman"/>
                <w:b/>
                <w:sz w:val="20"/>
                <w:szCs w:val="20"/>
              </w:rPr>
            </w:pPr>
            <w:r w:rsidRPr="00DE593C">
              <w:rPr>
                <w:rFonts w:ascii="Times New Roman" w:hAnsi="Times New Roman" w:cs="Times New Roman"/>
                <w:b/>
                <w:bCs/>
                <w:sz w:val="20"/>
                <w:szCs w:val="20"/>
                <w:lang w:val="ro-RO"/>
              </w:rPr>
              <w:t xml:space="preserve">Acțiunea  5.3 </w:t>
            </w:r>
            <w:r w:rsidRPr="00DE593C">
              <w:rPr>
                <w:rFonts w:ascii="Times New Roman" w:hAnsi="Times New Roman" w:cs="Times New Roman"/>
                <w:b/>
                <w:sz w:val="20"/>
                <w:szCs w:val="20"/>
              </w:rPr>
              <w:t>Creșterea relevanței învățământului terțiar</w:t>
            </w:r>
          </w:p>
          <w:p w:rsidR="00807512" w:rsidRPr="00DE593C" w:rsidRDefault="00807512" w:rsidP="00807512">
            <w:pPr>
              <w:pStyle w:val="Default"/>
              <w:jc w:val="both"/>
              <w:rPr>
                <w:rFonts w:ascii="Times New Roman" w:hAnsi="Times New Roman" w:cs="Times New Roman"/>
                <w:b/>
                <w:sz w:val="20"/>
                <w:szCs w:val="20"/>
                <w:lang w:val="ro-RO"/>
              </w:rPr>
            </w:pPr>
          </w:p>
          <w:p w:rsidR="00807512" w:rsidRPr="00DE593C" w:rsidRDefault="00807512" w:rsidP="00807512">
            <w:pPr>
              <w:pStyle w:val="Default"/>
              <w:jc w:val="both"/>
              <w:rPr>
                <w:rFonts w:ascii="Times New Roman" w:hAnsi="Times New Roman" w:cs="Times New Roman"/>
                <w:b/>
                <w:sz w:val="20"/>
                <w:szCs w:val="20"/>
                <w:lang w:val="ro-RO"/>
              </w:rPr>
            </w:pPr>
            <w:r w:rsidRPr="00DE593C">
              <w:rPr>
                <w:rFonts w:ascii="Times New Roman" w:hAnsi="Times New Roman" w:cs="Times New Roman"/>
                <w:b/>
                <w:sz w:val="20"/>
                <w:szCs w:val="20"/>
                <w:lang w:val="ro-RO"/>
              </w:rPr>
              <w:t>Tipuri de operațiuni:</w:t>
            </w:r>
          </w:p>
          <w:p w:rsidR="00807512" w:rsidRPr="00DE593C" w:rsidRDefault="00807512" w:rsidP="00807512">
            <w:pPr>
              <w:pStyle w:val="Default"/>
              <w:jc w:val="both"/>
              <w:rPr>
                <w:rFonts w:ascii="Times New Roman" w:hAnsi="Times New Roman" w:cs="Times New Roman"/>
                <w:b/>
                <w:sz w:val="20"/>
                <w:szCs w:val="20"/>
                <w:lang w:val="ro-RO"/>
              </w:rPr>
            </w:pPr>
          </w:p>
          <w:p w:rsidR="00807512" w:rsidRPr="00DE593C" w:rsidRDefault="00807512" w:rsidP="00807512">
            <w:pPr>
              <w:pStyle w:val="Default"/>
              <w:jc w:val="both"/>
              <w:rPr>
                <w:rFonts w:ascii="Times New Roman" w:hAnsi="Times New Roman" w:cs="Times New Roman"/>
                <w:bCs/>
                <w:sz w:val="20"/>
                <w:szCs w:val="20"/>
                <w:lang w:val="ro-RO"/>
              </w:rPr>
            </w:pPr>
            <w:r w:rsidRPr="00DE593C">
              <w:rPr>
                <w:rFonts w:ascii="Times New Roman" w:hAnsi="Times New Roman" w:cs="Times New Roman"/>
                <w:bCs/>
                <w:sz w:val="20"/>
                <w:szCs w:val="20"/>
                <w:lang w:val="ro-RO"/>
              </w:rPr>
              <w:t>Intervențiile vizate în această prioritate vor duce la consolidarea poziției universităților din Regiune ca furnizori de cunoaștere și competențe în sprijinul economiei regionale.</w:t>
            </w:r>
          </w:p>
          <w:p w:rsidR="00807512" w:rsidRPr="00DE593C" w:rsidRDefault="00807512" w:rsidP="00807512">
            <w:pPr>
              <w:pStyle w:val="Default"/>
              <w:jc w:val="both"/>
              <w:rPr>
                <w:rFonts w:ascii="Times New Roman" w:hAnsi="Times New Roman" w:cs="Times New Roman"/>
                <w:bCs/>
                <w:sz w:val="20"/>
                <w:szCs w:val="20"/>
                <w:lang w:val="ro-RO"/>
              </w:rPr>
            </w:pPr>
          </w:p>
          <w:p w:rsidR="00807512" w:rsidRPr="00DE593C" w:rsidRDefault="00807512" w:rsidP="00E16AA6">
            <w:pPr>
              <w:pStyle w:val="Default"/>
              <w:numPr>
                <w:ilvl w:val="0"/>
                <w:numId w:val="61"/>
              </w:numPr>
              <w:jc w:val="both"/>
              <w:rPr>
                <w:rFonts w:ascii="Times New Roman" w:hAnsi="Times New Roman" w:cs="Times New Roman"/>
                <w:sz w:val="20"/>
                <w:szCs w:val="20"/>
              </w:rPr>
            </w:pPr>
            <w:r w:rsidRPr="00DE593C">
              <w:rPr>
                <w:rFonts w:ascii="Times New Roman" w:hAnsi="Times New Roman" w:cs="Times New Roman"/>
                <w:bCs/>
                <w:sz w:val="20"/>
                <w:szCs w:val="20"/>
                <w:lang w:val="ro-RO"/>
              </w:rPr>
              <w:t>intervenții asupra</w:t>
            </w:r>
            <w:r w:rsidRPr="00DE593C">
              <w:rPr>
                <w:rFonts w:ascii="Times New Roman" w:hAnsi="Times New Roman" w:cs="Times New Roman"/>
                <w:sz w:val="20"/>
                <w:szCs w:val="20"/>
              </w:rPr>
              <w:t xml:space="preserve"> infrastructurii educaționale din învățământul terțiar pentru aducerea bazei materiale și a dotărilor la standarde comparabile cu universitățile din Europa, în acord cu nevoile de specializare inteligentă și competențele cerute pe piața regională. </w:t>
            </w:r>
          </w:p>
          <w:p w:rsidR="00807512" w:rsidRPr="00DE593C" w:rsidRDefault="00807512" w:rsidP="00807512">
            <w:pPr>
              <w:pStyle w:val="Default"/>
              <w:jc w:val="both"/>
              <w:rPr>
                <w:rFonts w:ascii="Times New Roman" w:hAnsi="Times New Roman" w:cs="Times New Roman"/>
                <w:sz w:val="20"/>
                <w:szCs w:val="20"/>
              </w:rPr>
            </w:pPr>
          </w:p>
          <w:p w:rsidR="00A26390" w:rsidRPr="00DE593C" w:rsidRDefault="00807512" w:rsidP="00E16AA6">
            <w:pPr>
              <w:pStyle w:val="Default"/>
              <w:numPr>
                <w:ilvl w:val="0"/>
                <w:numId w:val="61"/>
              </w:numPr>
              <w:jc w:val="both"/>
              <w:rPr>
                <w:rFonts w:ascii="Times New Roman" w:hAnsi="Times New Roman" w:cs="Times New Roman"/>
                <w:sz w:val="20"/>
                <w:szCs w:val="20"/>
              </w:rPr>
            </w:pPr>
            <w:r w:rsidRPr="00DE593C">
              <w:rPr>
                <w:rFonts w:ascii="Times New Roman" w:hAnsi="Times New Roman" w:cs="Times New Roman"/>
                <w:sz w:val="20"/>
                <w:szCs w:val="20"/>
              </w:rPr>
              <w:t>crearea condițiilor pentru atragerea de noi studenți (din mediul rural sau din alte localități sau județe), prin asigurarea condițiilor de cazare și alte facilități care sunt complementare actului educațional (săli de sport, terenuri de sport), precum și prin accesibilizarea infrastructurii pentru persoanele cu dizabilități.</w:t>
            </w:r>
          </w:p>
        </w:tc>
      </w:tr>
      <w:tr w:rsidR="00A26390" w:rsidRPr="002E744B" w:rsidTr="00B00861">
        <w:tc>
          <w:tcPr>
            <w:tcW w:w="9288" w:type="dxa"/>
            <w:tcBorders>
              <w:top w:val="single" w:sz="4" w:space="0" w:color="auto"/>
              <w:left w:val="single" w:sz="4" w:space="0" w:color="auto"/>
              <w:bottom w:val="single" w:sz="4" w:space="0" w:color="auto"/>
              <w:right w:val="single" w:sz="4" w:space="0" w:color="auto"/>
            </w:tcBorders>
          </w:tcPr>
          <w:p w:rsidR="00A26390" w:rsidRPr="009D0444" w:rsidRDefault="00A26390" w:rsidP="0014333D">
            <w:pPr>
              <w:pStyle w:val="Default"/>
              <w:jc w:val="both"/>
              <w:rPr>
                <w:rFonts w:ascii="Times New Roman" w:hAnsi="Times New Roman" w:cs="Times New Roman"/>
                <w:b/>
                <w:bCs/>
                <w:sz w:val="20"/>
                <w:szCs w:val="20"/>
                <w:lang w:val="ro-RO"/>
              </w:rPr>
            </w:pPr>
            <w:r w:rsidRPr="009D0444">
              <w:rPr>
                <w:rFonts w:ascii="Times New Roman" w:hAnsi="Times New Roman" w:cs="Times New Roman"/>
                <w:b/>
                <w:bCs/>
                <w:sz w:val="20"/>
                <w:szCs w:val="20"/>
                <w:lang w:val="ro-RO"/>
              </w:rPr>
              <w:lastRenderedPageBreak/>
              <w:t xml:space="preserve">Contribuția la strategia regională </w:t>
            </w:r>
          </w:p>
          <w:p w:rsidR="00A26390" w:rsidRPr="009D0444" w:rsidRDefault="00A26390" w:rsidP="009D0444">
            <w:pPr>
              <w:jc w:val="both"/>
              <w:rPr>
                <w:rFonts w:ascii="Times New Roman" w:hAnsi="Times New Roman" w:cs="Times New Roman"/>
                <w:sz w:val="20"/>
                <w:szCs w:val="20"/>
              </w:rPr>
            </w:pPr>
            <w:r w:rsidRPr="009D0444">
              <w:rPr>
                <w:rFonts w:ascii="Times New Roman" w:hAnsi="Times New Roman" w:cs="Times New Roman"/>
                <w:bCs/>
                <w:sz w:val="20"/>
                <w:szCs w:val="20"/>
              </w:rPr>
              <w:t xml:space="preserve">Măsurile prevăzute în cadrul acestei priorități vor contribui în mod direct la realizarea obiectivelor </w:t>
            </w:r>
            <w:r w:rsidRPr="009D0444">
              <w:rPr>
                <w:rFonts w:ascii="Times New Roman" w:hAnsi="Times New Roman" w:cs="Times New Roman"/>
                <w:b/>
                <w:bCs/>
                <w:sz w:val="20"/>
                <w:szCs w:val="20"/>
              </w:rPr>
              <w:t>PDR Centru</w:t>
            </w:r>
            <w:r w:rsidRPr="009D0444">
              <w:rPr>
                <w:rFonts w:ascii="Times New Roman" w:hAnsi="Times New Roman" w:cs="Times New Roman"/>
                <w:bCs/>
                <w:sz w:val="20"/>
                <w:szCs w:val="20"/>
              </w:rPr>
              <w:t xml:space="preserve"> 2021/2027, Direcția Strategică 3 – Prioritatea .3.1. Îmbunătățirea calității, eficacității și relevanței ofertei educaționale regionale, a serviciilor şi accesului la educație la toate nivelurile</w:t>
            </w:r>
            <w:r w:rsidRPr="009D0444">
              <w:rPr>
                <w:rFonts w:ascii="Times New Roman" w:hAnsi="Times New Roman" w:cs="Times New Roman"/>
                <w:b/>
                <w:bCs/>
                <w:sz w:val="20"/>
                <w:szCs w:val="20"/>
                <w:lang w:val="en-GB"/>
              </w:rPr>
              <w:t xml:space="preserve"> </w:t>
            </w:r>
            <w:r w:rsidRPr="009D0444">
              <w:rPr>
                <w:rFonts w:ascii="Times New Roman" w:hAnsi="Times New Roman" w:cs="Times New Roman"/>
                <w:bCs/>
                <w:sz w:val="20"/>
                <w:szCs w:val="20"/>
                <w:lang w:val="en-GB"/>
              </w:rPr>
              <w:t xml:space="preserve">precum și la: </w:t>
            </w:r>
            <w:r w:rsidRPr="009D0444">
              <w:rPr>
                <w:rFonts w:ascii="Times New Roman" w:hAnsi="Times New Roman" w:cs="Times New Roman"/>
                <w:sz w:val="20"/>
                <w:szCs w:val="20"/>
              </w:rPr>
              <w:t>Strategia privind reducerea părăsirii timpurii a școlii, Strategia Națională Pentru Învățământ Terțiar 2015–2020, Planul Regional de Acțiune pentru Învățământ Profesional și Tehnic</w:t>
            </w:r>
            <w:r w:rsidR="00A5682B">
              <w:rPr>
                <w:rFonts w:ascii="Times New Roman" w:hAnsi="Times New Roman" w:cs="Times New Roman"/>
                <w:sz w:val="20"/>
                <w:szCs w:val="20"/>
              </w:rPr>
              <w:t>, Strategia Europa 2030</w:t>
            </w:r>
            <w:r w:rsidR="00DE455A">
              <w:rPr>
                <w:rFonts w:ascii="Times New Roman" w:hAnsi="Times New Roman" w:cs="Times New Roman"/>
                <w:sz w:val="20"/>
                <w:szCs w:val="20"/>
              </w:rPr>
              <w:t>.</w:t>
            </w:r>
          </w:p>
        </w:tc>
      </w:tr>
    </w:tbl>
    <w:p w:rsidR="00A26390" w:rsidRPr="002E744B" w:rsidRDefault="00A26390" w:rsidP="00A26390">
      <w:pPr>
        <w:spacing w:before="120" w:after="120" w:line="360" w:lineRule="auto"/>
        <w:rPr>
          <w:rFonts w:ascii="Times New Roman" w:eastAsia="Times New Roman" w:hAnsi="Times New Roman" w:cs="Times New Roman"/>
          <w:b/>
          <w:i/>
          <w:iCs/>
          <w:noProof/>
          <w:sz w:val="24"/>
          <w:szCs w:val="24"/>
          <w:lang w:val="en-GB"/>
        </w:rPr>
      </w:pPr>
      <w:r w:rsidRPr="002E744B">
        <w:rPr>
          <w:rFonts w:ascii="Times New Roman" w:eastAsia="Times New Roman" w:hAnsi="Times New Roman" w:cs="Times New Roman"/>
          <w:i/>
          <w:noProof/>
          <w:sz w:val="24"/>
          <w:szCs w:val="24"/>
          <w:lang w:val="en-GB"/>
        </w:rPr>
        <w:t>The main target groups - Article 17(3)(d)(iii):</w:t>
      </w:r>
    </w:p>
    <w:p w:rsidR="00A26390" w:rsidRDefault="00A26390" w:rsidP="00A26390">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iCs/>
          <w:noProof/>
          <w:sz w:val="24"/>
          <w:szCs w:val="24"/>
          <w:lang w:val="en-GB"/>
        </w:rPr>
      </w:pPr>
      <w:r w:rsidRPr="002E744B">
        <w:rPr>
          <w:rFonts w:ascii="Times New Roman" w:eastAsia="Times New Roman" w:hAnsi="Times New Roman" w:cs="Times New Roman"/>
          <w:i/>
          <w:iCs/>
          <w:noProof/>
          <w:sz w:val="24"/>
          <w:szCs w:val="24"/>
          <w:lang w:val="en-GB"/>
        </w:rPr>
        <w:t>Text field [1 000]</w:t>
      </w:r>
    </w:p>
    <w:p w:rsidR="00A26390" w:rsidRPr="009D0444" w:rsidRDefault="00A26390" w:rsidP="00A26390">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bCs/>
          <w:iCs/>
          <w:sz w:val="20"/>
          <w:szCs w:val="20"/>
        </w:rPr>
      </w:pPr>
      <w:r w:rsidRPr="009D0444">
        <w:rPr>
          <w:rFonts w:ascii="Times New Roman" w:hAnsi="Times New Roman" w:cs="Times New Roman"/>
          <w:bCs/>
          <w:iCs/>
          <w:sz w:val="20"/>
          <w:szCs w:val="20"/>
        </w:rPr>
        <w:t>Grupul țintă vizat, în principal, este reprezentat de</w:t>
      </w:r>
      <w:r w:rsidR="00C43AA2">
        <w:rPr>
          <w:rFonts w:ascii="Times New Roman" w:hAnsi="Times New Roman" w:cs="Times New Roman"/>
          <w:bCs/>
          <w:iCs/>
          <w:sz w:val="20"/>
          <w:szCs w:val="20"/>
        </w:rPr>
        <w:t xml:space="preserve"> copiii,</w:t>
      </w:r>
      <w:r w:rsidRPr="009D0444">
        <w:rPr>
          <w:rFonts w:ascii="Times New Roman" w:hAnsi="Times New Roman" w:cs="Times New Roman"/>
          <w:bCs/>
          <w:iCs/>
          <w:sz w:val="20"/>
          <w:szCs w:val="20"/>
        </w:rPr>
        <w:t xml:space="preserve"> elevii și studenții care beneficiază de infrastructura </w:t>
      </w:r>
      <w:r w:rsidR="00C43AA2">
        <w:rPr>
          <w:rFonts w:ascii="Times New Roman" w:hAnsi="Times New Roman" w:cs="Times New Roman"/>
          <w:bCs/>
          <w:iCs/>
          <w:sz w:val="20"/>
          <w:szCs w:val="20"/>
        </w:rPr>
        <w:t xml:space="preserve">de învățământ și formare profesională asupra căreia se va interveni din: creșe, grădinițe, unități de învățământ primar și gimnazial, licee, </w:t>
      </w:r>
      <w:r w:rsidR="0053385B">
        <w:rPr>
          <w:rFonts w:ascii="Times New Roman" w:hAnsi="Times New Roman" w:cs="Times New Roman"/>
          <w:bCs/>
          <w:iCs/>
          <w:sz w:val="20"/>
          <w:szCs w:val="20"/>
        </w:rPr>
        <w:t xml:space="preserve">inclusiv scoli speciale, </w:t>
      </w:r>
      <w:r w:rsidR="00C43AA2">
        <w:rPr>
          <w:rFonts w:ascii="Times New Roman" w:hAnsi="Times New Roman" w:cs="Times New Roman"/>
          <w:bCs/>
          <w:iCs/>
          <w:sz w:val="20"/>
          <w:szCs w:val="20"/>
        </w:rPr>
        <w:t>școli profesionale și licee tehnologice, universități etc</w:t>
      </w:r>
    </w:p>
    <w:p w:rsidR="00A26390" w:rsidRPr="009D0444" w:rsidRDefault="00A26390" w:rsidP="00A26390">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bCs/>
          <w:iCs/>
          <w:sz w:val="20"/>
          <w:szCs w:val="20"/>
        </w:rPr>
      </w:pPr>
    </w:p>
    <w:p w:rsidR="00A26390" w:rsidRPr="002E744B" w:rsidRDefault="00A26390" w:rsidP="00A26390">
      <w:pPr>
        <w:spacing w:before="120" w:after="120" w:line="360" w:lineRule="auto"/>
        <w:rPr>
          <w:rFonts w:ascii="Times New Roman" w:eastAsia="Times New Roman" w:hAnsi="Times New Roman" w:cs="Times New Roman"/>
          <w:i/>
          <w:noProof/>
          <w:sz w:val="24"/>
          <w:szCs w:val="24"/>
          <w:lang w:val="en-GB"/>
        </w:rPr>
      </w:pPr>
      <w:r w:rsidRPr="002E744B">
        <w:rPr>
          <w:rFonts w:ascii="Times New Roman" w:eastAsia="Times New Roman" w:hAnsi="Times New Roman" w:cs="Times New Roman"/>
          <w:i/>
          <w:noProof/>
          <w:sz w:val="24"/>
          <w:szCs w:val="24"/>
          <w:lang w:val="en-GB"/>
        </w:rPr>
        <w:t>Specific territories tageted, including the planned use of territorial tools – Article 17(3)(d)(iv)</w:t>
      </w:r>
    </w:p>
    <w:p w:rsidR="00A26390" w:rsidRDefault="00A26390" w:rsidP="00662466">
      <w:pPr>
        <w:pBdr>
          <w:top w:val="single" w:sz="4" w:space="1" w:color="auto"/>
          <w:left w:val="single" w:sz="4" w:space="4" w:color="auto"/>
          <w:bottom w:val="single" w:sz="4" w:space="1" w:color="auto"/>
          <w:right w:val="single" w:sz="4" w:space="4" w:color="auto"/>
        </w:pBdr>
        <w:spacing w:before="120" w:after="120" w:line="360" w:lineRule="auto"/>
        <w:jc w:val="both"/>
        <w:rPr>
          <w:rFonts w:ascii="Times New Roman" w:eastAsia="Times New Roman" w:hAnsi="Times New Roman" w:cs="Times New Roman"/>
          <w:i/>
          <w:iCs/>
          <w:noProof/>
          <w:sz w:val="24"/>
          <w:szCs w:val="24"/>
          <w:lang w:val="en-GB"/>
        </w:rPr>
      </w:pPr>
      <w:r w:rsidRPr="002E744B">
        <w:rPr>
          <w:rFonts w:ascii="Times New Roman" w:eastAsia="Times New Roman" w:hAnsi="Times New Roman" w:cs="Times New Roman"/>
          <w:i/>
          <w:iCs/>
          <w:noProof/>
          <w:sz w:val="24"/>
          <w:szCs w:val="24"/>
          <w:lang w:val="en-GB"/>
        </w:rPr>
        <w:t>Text field [2 000]</w:t>
      </w:r>
    </w:p>
    <w:p w:rsidR="00A26390" w:rsidRPr="009D0444" w:rsidRDefault="00A26390" w:rsidP="00662466">
      <w:pPr>
        <w:pBdr>
          <w:top w:val="single" w:sz="4" w:space="1" w:color="auto"/>
          <w:left w:val="single" w:sz="4" w:space="4" w:color="auto"/>
          <w:bottom w:val="single" w:sz="4" w:space="1" w:color="auto"/>
          <w:right w:val="single" w:sz="4" w:space="4" w:color="auto"/>
        </w:pBdr>
        <w:spacing w:before="120" w:after="120" w:line="360" w:lineRule="auto"/>
        <w:jc w:val="both"/>
        <w:rPr>
          <w:rFonts w:ascii="Times New Roman" w:eastAsia="Times New Roman" w:hAnsi="Times New Roman" w:cs="Times New Roman"/>
          <w:i/>
          <w:noProof/>
          <w:sz w:val="20"/>
          <w:szCs w:val="20"/>
          <w:lang w:val="en-US"/>
        </w:rPr>
      </w:pPr>
      <w:r w:rsidRPr="00DE593C">
        <w:rPr>
          <w:rFonts w:ascii="Times New Roman" w:eastAsia="Times New Roman" w:hAnsi="Times New Roman" w:cs="Times New Roman"/>
          <w:i/>
          <w:iCs/>
          <w:noProof/>
          <w:sz w:val="20"/>
          <w:szCs w:val="20"/>
          <w:lang w:val="en-GB"/>
        </w:rPr>
        <w:t xml:space="preserve">Teritoriul vizat de aceste intervenții este Regiunea Centru, România, cu zona urbană și rurală </w:t>
      </w:r>
      <w:r w:rsidRPr="009D0444">
        <w:rPr>
          <w:rFonts w:ascii="Times New Roman" w:eastAsia="Times New Roman" w:hAnsi="Times New Roman" w:cs="Times New Roman"/>
          <w:i/>
          <w:iCs/>
          <w:noProof/>
          <w:sz w:val="20"/>
          <w:szCs w:val="20"/>
          <w:lang w:val="en-GB"/>
        </w:rPr>
        <w:t>aferentă unităților administrativ teritoriale componente.</w:t>
      </w:r>
    </w:p>
    <w:p w:rsidR="00A26390" w:rsidRPr="002E744B" w:rsidRDefault="00A26390" w:rsidP="00A26390">
      <w:pPr>
        <w:spacing w:before="120" w:after="120" w:line="360" w:lineRule="auto"/>
        <w:rPr>
          <w:rFonts w:ascii="Times New Roman" w:eastAsia="Times New Roman" w:hAnsi="Times New Roman" w:cs="Times New Roman"/>
          <w:b/>
          <w:i/>
          <w:iCs/>
          <w:noProof/>
          <w:sz w:val="24"/>
          <w:szCs w:val="24"/>
          <w:lang w:val="en-GB"/>
        </w:rPr>
      </w:pPr>
      <w:r w:rsidRPr="002E744B">
        <w:rPr>
          <w:rFonts w:ascii="Times New Roman" w:eastAsia="Times New Roman" w:hAnsi="Times New Roman" w:cs="Times New Roman"/>
          <w:i/>
          <w:noProof/>
          <w:sz w:val="24"/>
          <w:szCs w:val="24"/>
          <w:lang w:val="en-GB"/>
        </w:rPr>
        <w:t>The interregional and transnational actions  –Article – 17(3)(d)(v)</w:t>
      </w:r>
    </w:p>
    <w:p w:rsidR="00A26390" w:rsidRPr="002E744B" w:rsidRDefault="00A26390" w:rsidP="00A26390">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lang w:val="en-GB"/>
        </w:rPr>
      </w:pPr>
      <w:r w:rsidRPr="002E744B">
        <w:rPr>
          <w:rFonts w:ascii="Times New Roman" w:eastAsia="Times New Roman" w:hAnsi="Times New Roman" w:cs="Times New Roman"/>
          <w:i/>
          <w:iCs/>
          <w:noProof/>
          <w:sz w:val="24"/>
          <w:szCs w:val="24"/>
          <w:lang w:val="en-GB"/>
        </w:rPr>
        <w:t>Text field [2 000]</w:t>
      </w:r>
    </w:p>
    <w:p w:rsidR="00A26390" w:rsidRPr="002E744B" w:rsidRDefault="00A26390" w:rsidP="00A26390">
      <w:pPr>
        <w:spacing w:before="120" w:after="120" w:line="360" w:lineRule="auto"/>
        <w:rPr>
          <w:rFonts w:ascii="Times New Roman" w:eastAsia="Times New Roman" w:hAnsi="Times New Roman" w:cs="Times New Roman"/>
          <w:b/>
          <w:i/>
          <w:iCs/>
          <w:noProof/>
          <w:sz w:val="24"/>
          <w:szCs w:val="24"/>
          <w:lang w:val="en-GB"/>
        </w:rPr>
      </w:pPr>
      <w:r w:rsidRPr="002E744B">
        <w:rPr>
          <w:rFonts w:ascii="Times New Roman" w:eastAsia="Times New Roman" w:hAnsi="Times New Roman" w:cs="Times New Roman"/>
          <w:i/>
          <w:noProof/>
          <w:sz w:val="24"/>
          <w:szCs w:val="24"/>
          <w:lang w:val="en-GB"/>
        </w:rPr>
        <w:t>The planned use of financial instruments – Article – 17(3)(d)(vi)</w:t>
      </w:r>
    </w:p>
    <w:p w:rsidR="00A26390" w:rsidRPr="002E744B" w:rsidRDefault="00A26390" w:rsidP="00A26390">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lang w:val="en-GB"/>
        </w:rPr>
      </w:pPr>
      <w:r w:rsidRPr="002E744B">
        <w:rPr>
          <w:rFonts w:ascii="Times New Roman" w:eastAsia="Times New Roman" w:hAnsi="Times New Roman" w:cs="Times New Roman"/>
          <w:i/>
          <w:iCs/>
          <w:noProof/>
          <w:sz w:val="24"/>
          <w:szCs w:val="24"/>
          <w:lang w:val="en-GB"/>
        </w:rPr>
        <w:lastRenderedPageBreak/>
        <w:t>Text field [1 000]</w:t>
      </w:r>
    </w:p>
    <w:p w:rsidR="00A26390" w:rsidRPr="00AB5DFC" w:rsidRDefault="00A26390" w:rsidP="00AB5DFC">
      <w:pPr>
        <w:spacing w:before="120" w:after="120" w:line="240" w:lineRule="auto"/>
        <w:rPr>
          <w:rFonts w:ascii="Times New Roman" w:eastAsia="Times New Roman" w:hAnsi="Times New Roman" w:cs="Times New Roman"/>
          <w:b/>
          <w:iCs/>
          <w:noProof/>
          <w:sz w:val="24"/>
          <w:szCs w:val="24"/>
          <w:lang w:val="en-GB"/>
        </w:rPr>
        <w:sectPr w:rsidR="00A26390" w:rsidRPr="00AB5DFC" w:rsidSect="00F000AD">
          <w:headerReference w:type="default" r:id="rId17"/>
          <w:footerReference w:type="default" r:id="rId18"/>
          <w:pgSz w:w="11906" w:h="16838"/>
          <w:pgMar w:top="1134" w:right="1134" w:bottom="1134" w:left="1134" w:header="567" w:footer="567" w:gutter="0"/>
          <w:cols w:space="720"/>
          <w:docGrid w:linePitch="326"/>
        </w:sectPr>
      </w:pPr>
    </w:p>
    <w:p w:rsidR="00A26390" w:rsidRPr="00F000AD" w:rsidRDefault="00A26390" w:rsidP="00A26390">
      <w:pPr>
        <w:rPr>
          <w:b/>
          <w:iCs/>
          <w:lang w:val="en-GB"/>
        </w:rPr>
      </w:pPr>
      <w:r w:rsidRPr="00F000AD">
        <w:rPr>
          <w:b/>
          <w:iCs/>
          <w:lang w:val="en-GB"/>
        </w:rPr>
        <w:lastRenderedPageBreak/>
        <w:t>2.A.3.2 Indicators</w:t>
      </w:r>
    </w:p>
    <w:p w:rsidR="00A26390" w:rsidRDefault="00A26390" w:rsidP="00A26390">
      <w:pPr>
        <w:rPr>
          <w:i/>
          <w:lang w:val="en-GB"/>
        </w:rPr>
      </w:pPr>
      <w:r w:rsidRPr="00F000AD">
        <w:rPr>
          <w:i/>
          <w:lang w:val="en-GB"/>
        </w:rPr>
        <w:t xml:space="preserve">Reference: Article 17(3)(d)(ii) CPR </w:t>
      </w:r>
    </w:p>
    <w:tbl>
      <w:tblPr>
        <w:tblW w:w="5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6"/>
        <w:gridCol w:w="1357"/>
        <w:gridCol w:w="745"/>
        <w:gridCol w:w="1062"/>
        <w:gridCol w:w="642"/>
        <w:gridCol w:w="1521"/>
        <w:gridCol w:w="1620"/>
        <w:gridCol w:w="1166"/>
        <w:gridCol w:w="1006"/>
      </w:tblGrid>
      <w:tr w:rsidR="00805892" w:rsidRPr="00F000AD" w:rsidTr="00805892">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rsidR="00805892" w:rsidRPr="00805892" w:rsidRDefault="00805892" w:rsidP="00657C41">
            <w:pPr>
              <w:rPr>
                <w:b/>
                <w:iCs/>
                <w:lang w:val="en-US"/>
              </w:rPr>
            </w:pPr>
            <w:r w:rsidRPr="00F000AD">
              <w:rPr>
                <w:b/>
                <w:iCs/>
                <w:lang w:val="en-US"/>
              </w:rPr>
              <w:t>Table 2: Output indicators</w:t>
            </w:r>
          </w:p>
        </w:tc>
      </w:tr>
      <w:tr w:rsidR="00805892" w:rsidRPr="00F000AD" w:rsidTr="00657C41">
        <w:trPr>
          <w:trHeight w:val="1647"/>
        </w:trPr>
        <w:tc>
          <w:tcPr>
            <w:tcW w:w="457" w:type="pct"/>
            <w:tcBorders>
              <w:top w:val="single" w:sz="4" w:space="0" w:color="auto"/>
              <w:left w:val="single" w:sz="4" w:space="0" w:color="auto"/>
              <w:bottom w:val="single" w:sz="4" w:space="0" w:color="auto"/>
              <w:right w:val="single" w:sz="4" w:space="0" w:color="auto"/>
            </w:tcBorders>
            <w:hideMark/>
          </w:tcPr>
          <w:p w:rsidR="00805892" w:rsidRPr="00F000AD" w:rsidRDefault="00805892" w:rsidP="00657C41">
            <w:pPr>
              <w:rPr>
                <w:b/>
                <w:lang w:val="en-US"/>
              </w:rPr>
            </w:pPr>
            <w:r w:rsidRPr="00F000AD">
              <w:rPr>
                <w:b/>
                <w:lang w:val="en-US"/>
              </w:rPr>
              <w:t xml:space="preserve">Priority </w:t>
            </w:r>
            <w:r>
              <w:rPr>
                <w:b/>
                <w:lang w:val="en-US"/>
              </w:rPr>
              <w:t>5</w:t>
            </w:r>
          </w:p>
        </w:tc>
        <w:tc>
          <w:tcPr>
            <w:tcW w:w="676" w:type="pct"/>
            <w:tcBorders>
              <w:top w:val="single" w:sz="4" w:space="0" w:color="auto"/>
              <w:left w:val="single" w:sz="4" w:space="0" w:color="auto"/>
              <w:bottom w:val="single" w:sz="4" w:space="0" w:color="auto"/>
              <w:right w:val="single" w:sz="4" w:space="0" w:color="auto"/>
            </w:tcBorders>
            <w:hideMark/>
          </w:tcPr>
          <w:p w:rsidR="00805892" w:rsidRPr="00F000AD" w:rsidRDefault="00805892" w:rsidP="00657C41">
            <w:pPr>
              <w:rPr>
                <w:b/>
                <w:lang w:val="en-US"/>
              </w:rPr>
            </w:pPr>
            <w:r w:rsidRPr="00F000AD">
              <w:rPr>
                <w:b/>
                <w:lang w:val="en-US"/>
              </w:rPr>
              <w:t>Specific objective (Investment for Jobs and Growth goal or EMFF)</w:t>
            </w:r>
          </w:p>
        </w:tc>
        <w:tc>
          <w:tcPr>
            <w:tcW w:w="371" w:type="pct"/>
            <w:tcBorders>
              <w:top w:val="single" w:sz="4" w:space="0" w:color="auto"/>
              <w:left w:val="single" w:sz="4" w:space="0" w:color="auto"/>
              <w:bottom w:val="single" w:sz="4" w:space="0" w:color="auto"/>
              <w:right w:val="single" w:sz="4" w:space="0" w:color="auto"/>
            </w:tcBorders>
            <w:hideMark/>
          </w:tcPr>
          <w:p w:rsidR="00805892" w:rsidRPr="00F000AD" w:rsidRDefault="00805892" w:rsidP="00657C41">
            <w:pPr>
              <w:rPr>
                <w:b/>
                <w:lang w:val="en-US"/>
              </w:rPr>
            </w:pPr>
            <w:r w:rsidRPr="00F000AD">
              <w:rPr>
                <w:b/>
                <w:lang w:val="en-US"/>
              </w:rPr>
              <w:t>Fund</w:t>
            </w:r>
          </w:p>
        </w:tc>
        <w:tc>
          <w:tcPr>
            <w:tcW w:w="529" w:type="pct"/>
            <w:tcBorders>
              <w:top w:val="single" w:sz="4" w:space="0" w:color="auto"/>
              <w:left w:val="single" w:sz="4" w:space="0" w:color="auto"/>
              <w:bottom w:val="single" w:sz="4" w:space="0" w:color="auto"/>
              <w:right w:val="single" w:sz="4" w:space="0" w:color="auto"/>
            </w:tcBorders>
            <w:hideMark/>
          </w:tcPr>
          <w:p w:rsidR="00805892" w:rsidRPr="00F000AD" w:rsidRDefault="00805892" w:rsidP="00657C41">
            <w:pPr>
              <w:rPr>
                <w:b/>
                <w:lang w:val="en-US"/>
              </w:rPr>
            </w:pPr>
            <w:r w:rsidRPr="00F000AD">
              <w:rPr>
                <w:b/>
                <w:lang w:val="en-US"/>
              </w:rPr>
              <w:t>Category of region</w:t>
            </w:r>
          </w:p>
        </w:tc>
        <w:tc>
          <w:tcPr>
            <w:tcW w:w="320" w:type="pct"/>
            <w:tcBorders>
              <w:top w:val="single" w:sz="4" w:space="0" w:color="auto"/>
              <w:left w:val="single" w:sz="4" w:space="0" w:color="auto"/>
              <w:bottom w:val="single" w:sz="4" w:space="0" w:color="auto"/>
              <w:right w:val="single" w:sz="4" w:space="0" w:color="auto"/>
            </w:tcBorders>
            <w:hideMark/>
          </w:tcPr>
          <w:p w:rsidR="00805892" w:rsidRPr="00F000AD" w:rsidRDefault="00805892" w:rsidP="00657C41">
            <w:pPr>
              <w:rPr>
                <w:b/>
                <w:lang w:val="en-US"/>
              </w:rPr>
            </w:pPr>
            <w:r w:rsidRPr="00F000AD">
              <w:rPr>
                <w:b/>
                <w:lang w:val="en-US"/>
              </w:rPr>
              <w:t>ID [5]</w:t>
            </w:r>
          </w:p>
        </w:tc>
        <w:tc>
          <w:tcPr>
            <w:tcW w:w="758" w:type="pct"/>
            <w:tcBorders>
              <w:top w:val="single" w:sz="4" w:space="0" w:color="auto"/>
              <w:left w:val="single" w:sz="4" w:space="0" w:color="auto"/>
              <w:bottom w:val="single" w:sz="4" w:space="0" w:color="auto"/>
              <w:right w:val="single" w:sz="4" w:space="0" w:color="auto"/>
            </w:tcBorders>
            <w:hideMark/>
          </w:tcPr>
          <w:p w:rsidR="00805892" w:rsidRPr="00F000AD" w:rsidRDefault="00805892" w:rsidP="00657C41">
            <w:pPr>
              <w:rPr>
                <w:b/>
                <w:lang w:val="en-US"/>
              </w:rPr>
            </w:pPr>
            <w:r w:rsidRPr="00F000AD">
              <w:rPr>
                <w:b/>
                <w:lang w:val="en-US"/>
              </w:rPr>
              <w:t xml:space="preserve">Indicator [255] </w:t>
            </w:r>
          </w:p>
        </w:tc>
        <w:tc>
          <w:tcPr>
            <w:tcW w:w="807" w:type="pct"/>
            <w:tcBorders>
              <w:top w:val="single" w:sz="4" w:space="0" w:color="auto"/>
              <w:left w:val="single" w:sz="4" w:space="0" w:color="auto"/>
              <w:bottom w:val="single" w:sz="4" w:space="0" w:color="auto"/>
              <w:right w:val="single" w:sz="4" w:space="0" w:color="auto"/>
            </w:tcBorders>
            <w:hideMark/>
          </w:tcPr>
          <w:p w:rsidR="00805892" w:rsidRPr="00F000AD" w:rsidRDefault="00805892" w:rsidP="00657C41">
            <w:pPr>
              <w:rPr>
                <w:b/>
                <w:lang w:val="en-US"/>
              </w:rPr>
            </w:pPr>
            <w:r w:rsidRPr="00F000AD">
              <w:rPr>
                <w:b/>
                <w:lang w:val="en-US"/>
              </w:rPr>
              <w:t>Measurement unit</w:t>
            </w:r>
          </w:p>
        </w:tc>
        <w:tc>
          <w:tcPr>
            <w:tcW w:w="581" w:type="pct"/>
            <w:tcBorders>
              <w:top w:val="single" w:sz="4" w:space="0" w:color="auto"/>
              <w:left w:val="single" w:sz="4" w:space="0" w:color="auto"/>
              <w:bottom w:val="single" w:sz="4" w:space="0" w:color="auto"/>
              <w:right w:val="single" w:sz="4" w:space="0" w:color="auto"/>
            </w:tcBorders>
          </w:tcPr>
          <w:p w:rsidR="00805892" w:rsidRPr="00F000AD" w:rsidRDefault="00805892" w:rsidP="00657C41">
            <w:pPr>
              <w:rPr>
                <w:b/>
                <w:lang w:val="en-US"/>
              </w:rPr>
            </w:pPr>
            <w:r w:rsidRPr="00F000AD">
              <w:rPr>
                <w:b/>
                <w:lang w:val="en-US"/>
              </w:rPr>
              <w:t>Milestone (2024)</w:t>
            </w:r>
          </w:p>
          <w:p w:rsidR="00805892" w:rsidRPr="00F000AD" w:rsidRDefault="00805892" w:rsidP="00657C41">
            <w:pPr>
              <w:rPr>
                <w:b/>
                <w:lang w:val="en-US"/>
              </w:rPr>
            </w:pPr>
          </w:p>
        </w:tc>
        <w:tc>
          <w:tcPr>
            <w:tcW w:w="501" w:type="pct"/>
            <w:tcBorders>
              <w:top w:val="single" w:sz="4" w:space="0" w:color="auto"/>
              <w:left w:val="single" w:sz="4" w:space="0" w:color="auto"/>
              <w:bottom w:val="single" w:sz="4" w:space="0" w:color="auto"/>
              <w:right w:val="single" w:sz="4" w:space="0" w:color="auto"/>
            </w:tcBorders>
          </w:tcPr>
          <w:p w:rsidR="00805892" w:rsidRPr="00F000AD" w:rsidRDefault="00805892" w:rsidP="00657C41">
            <w:pPr>
              <w:rPr>
                <w:b/>
                <w:lang w:val="en-US"/>
              </w:rPr>
            </w:pPr>
            <w:r w:rsidRPr="00F000AD">
              <w:rPr>
                <w:b/>
                <w:lang w:val="en-US"/>
              </w:rPr>
              <w:t>Target (2029)</w:t>
            </w:r>
          </w:p>
          <w:p w:rsidR="00805892" w:rsidRPr="00F000AD" w:rsidRDefault="00805892" w:rsidP="00657C41">
            <w:pPr>
              <w:rPr>
                <w:b/>
                <w:lang w:val="en-US"/>
              </w:rPr>
            </w:pPr>
          </w:p>
        </w:tc>
      </w:tr>
      <w:tr w:rsidR="00805892" w:rsidRPr="00F000AD" w:rsidTr="00657C41">
        <w:trPr>
          <w:trHeight w:val="340"/>
        </w:trPr>
        <w:tc>
          <w:tcPr>
            <w:tcW w:w="457" w:type="pct"/>
            <w:vMerge w:val="restart"/>
            <w:tcBorders>
              <w:top w:val="single" w:sz="4" w:space="0" w:color="auto"/>
              <w:left w:val="single" w:sz="4" w:space="0" w:color="auto"/>
              <w:right w:val="single" w:sz="4" w:space="0" w:color="auto"/>
            </w:tcBorders>
          </w:tcPr>
          <w:p w:rsidR="00805892" w:rsidRPr="0091380F" w:rsidRDefault="00805892" w:rsidP="00657C41">
            <w:pPr>
              <w:pStyle w:val="Default"/>
              <w:rPr>
                <w:rFonts w:ascii="Times New Roman" w:hAnsi="Times New Roman" w:cs="Times New Roman"/>
                <w:sz w:val="20"/>
                <w:szCs w:val="20"/>
                <w:lang w:val="ro-RO"/>
              </w:rPr>
            </w:pPr>
            <w:r>
              <w:rPr>
                <w:rFonts w:ascii="Times New Roman" w:hAnsi="Times New Roman" w:cs="Times New Roman"/>
                <w:sz w:val="20"/>
                <w:szCs w:val="20"/>
              </w:rPr>
              <w:t>5.1</w:t>
            </w:r>
          </w:p>
        </w:tc>
        <w:tc>
          <w:tcPr>
            <w:tcW w:w="676" w:type="pct"/>
            <w:vMerge w:val="restart"/>
            <w:tcBorders>
              <w:top w:val="single" w:sz="4" w:space="0" w:color="auto"/>
              <w:left w:val="single" w:sz="4" w:space="0" w:color="auto"/>
              <w:right w:val="single" w:sz="4" w:space="0" w:color="auto"/>
            </w:tcBorders>
          </w:tcPr>
          <w:p w:rsidR="00805892" w:rsidRPr="0091380F" w:rsidRDefault="00805892" w:rsidP="00657C41">
            <w:pPr>
              <w:pStyle w:val="Default"/>
              <w:rPr>
                <w:rFonts w:ascii="Times New Roman" w:hAnsi="Times New Roman" w:cs="Times New Roman"/>
                <w:sz w:val="20"/>
                <w:szCs w:val="20"/>
                <w:lang w:val="ro-RO"/>
              </w:rPr>
            </w:pPr>
            <w:r w:rsidRPr="0091380F">
              <w:rPr>
                <w:rFonts w:ascii="Times New Roman" w:hAnsi="Times New Roman" w:cs="Times New Roman"/>
                <w:sz w:val="20"/>
                <w:szCs w:val="20"/>
                <w:lang w:val="ro-RO"/>
              </w:rPr>
              <w:t>4.ii îmbunătățirea accesului la servicii de calitate și favorabile incluziunii în educație, formare și învățarea pe tot parcursul vieții prin dezvoltarea infrastructurii</w:t>
            </w:r>
          </w:p>
        </w:tc>
        <w:tc>
          <w:tcPr>
            <w:tcW w:w="371" w:type="pct"/>
            <w:vMerge w:val="restart"/>
            <w:tcBorders>
              <w:top w:val="single" w:sz="4" w:space="0" w:color="auto"/>
              <w:left w:val="single" w:sz="4" w:space="0" w:color="auto"/>
              <w:right w:val="single" w:sz="4" w:space="0" w:color="auto"/>
            </w:tcBorders>
          </w:tcPr>
          <w:p w:rsidR="00805892" w:rsidRPr="0091380F" w:rsidRDefault="00805892" w:rsidP="00657C41">
            <w:pPr>
              <w:pStyle w:val="Default"/>
              <w:rPr>
                <w:rFonts w:ascii="Times New Roman" w:hAnsi="Times New Roman" w:cs="Times New Roman"/>
                <w:sz w:val="20"/>
                <w:szCs w:val="20"/>
                <w:lang w:val="ro-RO"/>
              </w:rPr>
            </w:pPr>
            <w:r w:rsidRPr="0091380F">
              <w:rPr>
                <w:rFonts w:ascii="Times New Roman" w:hAnsi="Times New Roman" w:cs="Times New Roman"/>
                <w:sz w:val="20"/>
                <w:szCs w:val="20"/>
                <w:lang w:val="ro-RO"/>
              </w:rPr>
              <w:t>FEDR</w:t>
            </w:r>
          </w:p>
        </w:tc>
        <w:tc>
          <w:tcPr>
            <w:tcW w:w="529" w:type="pct"/>
            <w:vMerge w:val="restart"/>
            <w:tcBorders>
              <w:top w:val="single" w:sz="4" w:space="0" w:color="auto"/>
              <w:left w:val="single" w:sz="4" w:space="0" w:color="auto"/>
              <w:right w:val="single" w:sz="4" w:space="0" w:color="auto"/>
            </w:tcBorders>
          </w:tcPr>
          <w:p w:rsidR="00805892" w:rsidRPr="0091380F" w:rsidRDefault="00805892" w:rsidP="00657C41">
            <w:pPr>
              <w:pStyle w:val="Default"/>
              <w:rPr>
                <w:rFonts w:ascii="Times New Roman" w:hAnsi="Times New Roman" w:cs="Times New Roman"/>
                <w:sz w:val="20"/>
                <w:szCs w:val="20"/>
                <w:lang w:val="ro-RO"/>
              </w:rPr>
            </w:pPr>
            <w:r w:rsidRPr="0091380F">
              <w:rPr>
                <w:rFonts w:ascii="Times New Roman" w:hAnsi="Times New Roman" w:cs="Times New Roman"/>
                <w:sz w:val="20"/>
                <w:szCs w:val="20"/>
                <w:lang w:val="ro-RO"/>
              </w:rPr>
              <w:t xml:space="preserve">Mai puțin </w:t>
            </w:r>
            <w:r>
              <w:rPr>
                <w:rFonts w:ascii="Times New Roman" w:hAnsi="Times New Roman" w:cs="Times New Roman"/>
                <w:sz w:val="20"/>
                <w:szCs w:val="20"/>
                <w:lang w:val="ro-RO"/>
              </w:rPr>
              <w:t>d</w:t>
            </w:r>
            <w:r w:rsidRPr="0091380F">
              <w:rPr>
                <w:rFonts w:ascii="Times New Roman" w:hAnsi="Times New Roman" w:cs="Times New Roman"/>
                <w:sz w:val="20"/>
                <w:szCs w:val="20"/>
                <w:lang w:val="ro-RO"/>
              </w:rPr>
              <w:t>ezvoltate</w:t>
            </w:r>
          </w:p>
        </w:tc>
        <w:tc>
          <w:tcPr>
            <w:tcW w:w="320" w:type="pct"/>
            <w:tcBorders>
              <w:top w:val="single" w:sz="4" w:space="0" w:color="auto"/>
              <w:left w:val="single" w:sz="4" w:space="0" w:color="auto"/>
              <w:bottom w:val="single" w:sz="4" w:space="0" w:color="auto"/>
              <w:right w:val="single" w:sz="4" w:space="0" w:color="auto"/>
            </w:tcBorders>
          </w:tcPr>
          <w:p w:rsidR="00805892" w:rsidRPr="0091380F" w:rsidRDefault="00805892" w:rsidP="00657C41">
            <w:pPr>
              <w:pStyle w:val="Default"/>
              <w:rPr>
                <w:rFonts w:ascii="Times New Roman" w:hAnsi="Times New Roman" w:cs="Times New Roman"/>
                <w:sz w:val="20"/>
                <w:szCs w:val="20"/>
                <w:lang w:val="ro-RO"/>
              </w:rPr>
            </w:pPr>
            <w:r w:rsidRPr="0091380F">
              <w:rPr>
                <w:rFonts w:ascii="Times New Roman" w:hAnsi="Times New Roman" w:cs="Times New Roman"/>
                <w:sz w:val="20"/>
                <w:szCs w:val="20"/>
                <w:lang w:val="ro-RO"/>
              </w:rPr>
              <w:t>RCO 66</w:t>
            </w:r>
          </w:p>
        </w:tc>
        <w:tc>
          <w:tcPr>
            <w:tcW w:w="758" w:type="pct"/>
            <w:tcBorders>
              <w:top w:val="single" w:sz="4" w:space="0" w:color="auto"/>
              <w:left w:val="single" w:sz="4" w:space="0" w:color="auto"/>
              <w:bottom w:val="single" w:sz="4" w:space="0" w:color="auto"/>
              <w:right w:val="single" w:sz="4" w:space="0" w:color="auto"/>
            </w:tcBorders>
          </w:tcPr>
          <w:p w:rsidR="00805892" w:rsidRPr="0091380F" w:rsidRDefault="00805892" w:rsidP="00657C41">
            <w:pPr>
              <w:pStyle w:val="Default"/>
              <w:rPr>
                <w:rFonts w:ascii="Times New Roman" w:hAnsi="Times New Roman" w:cs="Times New Roman"/>
                <w:sz w:val="20"/>
                <w:szCs w:val="20"/>
                <w:lang w:val="ro-RO"/>
              </w:rPr>
            </w:pPr>
            <w:r w:rsidRPr="0091380F">
              <w:rPr>
                <w:rFonts w:ascii="Times New Roman" w:hAnsi="Times New Roman" w:cs="Times New Roman"/>
                <w:sz w:val="20"/>
                <w:szCs w:val="20"/>
                <w:lang w:val="ro-RO"/>
              </w:rPr>
              <w:t>Capacitatea claselor din cadrul infrastructurilor pentru îngrijirea copiilor care beneficiază de sprijin (noi sau modernizate)</w:t>
            </w:r>
          </w:p>
        </w:tc>
        <w:tc>
          <w:tcPr>
            <w:tcW w:w="807" w:type="pct"/>
            <w:tcBorders>
              <w:top w:val="single" w:sz="4" w:space="0" w:color="auto"/>
              <w:left w:val="single" w:sz="4" w:space="0" w:color="auto"/>
              <w:bottom w:val="single" w:sz="4" w:space="0" w:color="auto"/>
              <w:right w:val="single" w:sz="4" w:space="0" w:color="auto"/>
            </w:tcBorders>
          </w:tcPr>
          <w:p w:rsidR="00805892" w:rsidRDefault="00805892" w:rsidP="00657C41">
            <w:pPr>
              <w:rPr>
                <w:b/>
                <w:i/>
                <w:lang w:val="en-US"/>
              </w:rPr>
            </w:pPr>
            <w:r>
              <w:rPr>
                <w:b/>
                <w:i/>
                <w:lang w:val="en-US"/>
              </w:rPr>
              <w:t>Nr. perso</w:t>
            </w:r>
            <w:r w:rsidR="005A114F">
              <w:rPr>
                <w:b/>
                <w:i/>
                <w:lang w:val="en-US"/>
              </w:rPr>
              <w:t>ane</w:t>
            </w:r>
          </w:p>
          <w:p w:rsidR="00805892" w:rsidRPr="00F000AD" w:rsidRDefault="00805892" w:rsidP="00657C41">
            <w:pPr>
              <w:rPr>
                <w:b/>
                <w:i/>
                <w:lang w:val="en-US"/>
              </w:rPr>
            </w:pPr>
            <w:r>
              <w:rPr>
                <w:b/>
                <w:i/>
                <w:lang w:val="en-US"/>
              </w:rPr>
              <w:t>Antepresolar si prescolar</w:t>
            </w:r>
          </w:p>
        </w:tc>
        <w:tc>
          <w:tcPr>
            <w:tcW w:w="581" w:type="pct"/>
            <w:tcBorders>
              <w:top w:val="single" w:sz="4" w:space="0" w:color="auto"/>
              <w:left w:val="single" w:sz="4" w:space="0" w:color="auto"/>
              <w:bottom w:val="single" w:sz="4" w:space="0" w:color="auto"/>
              <w:right w:val="single" w:sz="4" w:space="0" w:color="auto"/>
            </w:tcBorders>
          </w:tcPr>
          <w:p w:rsidR="00805892" w:rsidRPr="00F000AD" w:rsidRDefault="00805892" w:rsidP="00657C41">
            <w:pPr>
              <w:rPr>
                <w:b/>
                <w:i/>
                <w:lang w:val="en-US"/>
              </w:rPr>
            </w:pPr>
            <w:r>
              <w:rPr>
                <w:b/>
                <w:i/>
                <w:lang w:val="en-US"/>
              </w:rPr>
              <w:t>108</w:t>
            </w:r>
          </w:p>
        </w:tc>
        <w:tc>
          <w:tcPr>
            <w:tcW w:w="501" w:type="pct"/>
            <w:tcBorders>
              <w:top w:val="single" w:sz="4" w:space="0" w:color="auto"/>
              <w:left w:val="single" w:sz="4" w:space="0" w:color="auto"/>
              <w:bottom w:val="single" w:sz="4" w:space="0" w:color="auto"/>
              <w:right w:val="single" w:sz="4" w:space="0" w:color="auto"/>
            </w:tcBorders>
          </w:tcPr>
          <w:p w:rsidR="00805892" w:rsidRPr="00F000AD" w:rsidRDefault="00805892" w:rsidP="00657C41">
            <w:pPr>
              <w:rPr>
                <w:b/>
                <w:i/>
                <w:lang w:val="en-US"/>
              </w:rPr>
            </w:pPr>
            <w:r>
              <w:rPr>
                <w:b/>
                <w:i/>
                <w:lang w:val="en-US"/>
              </w:rPr>
              <w:t>1085</w:t>
            </w:r>
            <w:r>
              <w:rPr>
                <w:rStyle w:val="Referinnotdesubsol"/>
                <w:b w:val="0"/>
                <w:i/>
                <w:lang w:val="en-US"/>
              </w:rPr>
              <w:footnoteReference w:id="55"/>
            </w:r>
          </w:p>
        </w:tc>
      </w:tr>
      <w:tr w:rsidR="00805892" w:rsidRPr="00F000AD" w:rsidTr="00657C41">
        <w:trPr>
          <w:trHeight w:val="340"/>
        </w:trPr>
        <w:tc>
          <w:tcPr>
            <w:tcW w:w="457" w:type="pct"/>
            <w:vMerge/>
            <w:tcBorders>
              <w:left w:val="single" w:sz="4" w:space="0" w:color="auto"/>
              <w:right w:val="single" w:sz="4" w:space="0" w:color="auto"/>
            </w:tcBorders>
          </w:tcPr>
          <w:p w:rsidR="00805892" w:rsidRPr="0091380F" w:rsidRDefault="00805892" w:rsidP="00657C41">
            <w:pPr>
              <w:pStyle w:val="Default"/>
              <w:rPr>
                <w:rFonts w:ascii="Times New Roman" w:hAnsi="Times New Roman" w:cs="Times New Roman"/>
                <w:sz w:val="20"/>
                <w:szCs w:val="20"/>
              </w:rPr>
            </w:pPr>
          </w:p>
        </w:tc>
        <w:tc>
          <w:tcPr>
            <w:tcW w:w="676" w:type="pct"/>
            <w:vMerge/>
            <w:tcBorders>
              <w:left w:val="single" w:sz="4" w:space="0" w:color="auto"/>
              <w:right w:val="single" w:sz="4" w:space="0" w:color="auto"/>
            </w:tcBorders>
          </w:tcPr>
          <w:p w:rsidR="00805892" w:rsidRPr="0091380F" w:rsidRDefault="00805892" w:rsidP="00657C41">
            <w:pPr>
              <w:pStyle w:val="Default"/>
              <w:rPr>
                <w:rFonts w:ascii="Times New Roman" w:hAnsi="Times New Roman" w:cs="Times New Roman"/>
                <w:sz w:val="20"/>
                <w:szCs w:val="20"/>
                <w:lang w:val="ro-RO"/>
              </w:rPr>
            </w:pPr>
          </w:p>
        </w:tc>
        <w:tc>
          <w:tcPr>
            <w:tcW w:w="371" w:type="pct"/>
            <w:vMerge/>
            <w:tcBorders>
              <w:left w:val="single" w:sz="4" w:space="0" w:color="auto"/>
              <w:right w:val="single" w:sz="4" w:space="0" w:color="auto"/>
            </w:tcBorders>
          </w:tcPr>
          <w:p w:rsidR="00805892" w:rsidRPr="0091380F" w:rsidRDefault="00805892" w:rsidP="00657C41">
            <w:pPr>
              <w:pStyle w:val="Default"/>
              <w:rPr>
                <w:rFonts w:ascii="Times New Roman" w:hAnsi="Times New Roman" w:cs="Times New Roman"/>
                <w:sz w:val="20"/>
                <w:szCs w:val="20"/>
                <w:lang w:val="ro-RO"/>
              </w:rPr>
            </w:pPr>
          </w:p>
        </w:tc>
        <w:tc>
          <w:tcPr>
            <w:tcW w:w="529" w:type="pct"/>
            <w:vMerge/>
            <w:tcBorders>
              <w:left w:val="single" w:sz="4" w:space="0" w:color="auto"/>
              <w:bottom w:val="single" w:sz="4" w:space="0" w:color="auto"/>
              <w:right w:val="single" w:sz="4" w:space="0" w:color="auto"/>
            </w:tcBorders>
          </w:tcPr>
          <w:p w:rsidR="00805892" w:rsidRPr="0091380F" w:rsidRDefault="00805892" w:rsidP="00657C41">
            <w:pPr>
              <w:pStyle w:val="Default"/>
              <w:rPr>
                <w:rFonts w:ascii="Times New Roman" w:hAnsi="Times New Roman" w:cs="Times New Roman"/>
                <w:sz w:val="20"/>
                <w:szCs w:val="20"/>
                <w:lang w:val="ro-RO"/>
              </w:rPr>
            </w:pPr>
          </w:p>
        </w:tc>
        <w:tc>
          <w:tcPr>
            <w:tcW w:w="320" w:type="pct"/>
            <w:tcBorders>
              <w:top w:val="single" w:sz="4" w:space="0" w:color="auto"/>
              <w:left w:val="single" w:sz="4" w:space="0" w:color="auto"/>
              <w:bottom w:val="single" w:sz="4" w:space="0" w:color="auto"/>
              <w:right w:val="single" w:sz="4" w:space="0" w:color="auto"/>
            </w:tcBorders>
          </w:tcPr>
          <w:p w:rsidR="00805892" w:rsidRPr="0091380F" w:rsidRDefault="00805892" w:rsidP="00657C41">
            <w:pPr>
              <w:pStyle w:val="Default"/>
              <w:rPr>
                <w:rFonts w:ascii="Times New Roman" w:hAnsi="Times New Roman" w:cs="Times New Roman"/>
                <w:sz w:val="20"/>
                <w:szCs w:val="20"/>
                <w:lang w:val="ro-RO"/>
              </w:rPr>
            </w:pPr>
            <w:r w:rsidRPr="0091380F">
              <w:rPr>
                <w:rFonts w:ascii="Times New Roman" w:hAnsi="Times New Roman" w:cs="Times New Roman"/>
                <w:sz w:val="20"/>
                <w:szCs w:val="20"/>
                <w:lang w:val="ro-RO"/>
              </w:rPr>
              <w:t>RCO 67</w:t>
            </w:r>
          </w:p>
        </w:tc>
        <w:tc>
          <w:tcPr>
            <w:tcW w:w="758" w:type="pct"/>
            <w:tcBorders>
              <w:top w:val="single" w:sz="4" w:space="0" w:color="auto"/>
              <w:left w:val="single" w:sz="4" w:space="0" w:color="auto"/>
              <w:bottom w:val="single" w:sz="4" w:space="0" w:color="auto"/>
              <w:right w:val="single" w:sz="4" w:space="0" w:color="auto"/>
            </w:tcBorders>
          </w:tcPr>
          <w:p w:rsidR="00805892" w:rsidRPr="0091380F" w:rsidRDefault="00805892" w:rsidP="00657C41">
            <w:pPr>
              <w:pStyle w:val="Default"/>
              <w:rPr>
                <w:rFonts w:ascii="Times New Roman" w:hAnsi="Times New Roman" w:cs="Times New Roman"/>
                <w:sz w:val="20"/>
                <w:szCs w:val="20"/>
                <w:lang w:val="ro-RO"/>
              </w:rPr>
            </w:pPr>
            <w:r w:rsidRPr="0091380F">
              <w:rPr>
                <w:rFonts w:ascii="Times New Roman" w:hAnsi="Times New Roman" w:cs="Times New Roman"/>
                <w:sz w:val="20"/>
                <w:szCs w:val="20"/>
                <w:lang w:val="ro-RO"/>
              </w:rPr>
              <w:t>Capacitatea claselor din cadrul infrastructurilor din domeniul învățământului care beneficiază de sprijin (noi sau modernizate)</w:t>
            </w:r>
          </w:p>
        </w:tc>
        <w:tc>
          <w:tcPr>
            <w:tcW w:w="807" w:type="pct"/>
            <w:tcBorders>
              <w:top w:val="single" w:sz="4" w:space="0" w:color="auto"/>
              <w:left w:val="single" w:sz="4" w:space="0" w:color="auto"/>
              <w:bottom w:val="single" w:sz="4" w:space="0" w:color="auto"/>
              <w:right w:val="single" w:sz="4" w:space="0" w:color="auto"/>
            </w:tcBorders>
          </w:tcPr>
          <w:p w:rsidR="00805892" w:rsidRDefault="00805892" w:rsidP="00657C41">
            <w:pPr>
              <w:rPr>
                <w:b/>
                <w:i/>
                <w:lang w:val="en-US"/>
              </w:rPr>
            </w:pPr>
            <w:r>
              <w:rPr>
                <w:b/>
                <w:i/>
                <w:lang w:val="en-US"/>
              </w:rPr>
              <w:t>Nr. personae</w:t>
            </w:r>
          </w:p>
          <w:p w:rsidR="00805892" w:rsidRPr="00F000AD" w:rsidRDefault="00805892" w:rsidP="00657C41">
            <w:pPr>
              <w:rPr>
                <w:b/>
                <w:i/>
                <w:lang w:val="en-US"/>
              </w:rPr>
            </w:pPr>
            <w:r>
              <w:rPr>
                <w:b/>
                <w:i/>
                <w:lang w:val="en-US"/>
              </w:rPr>
              <w:t>Primar, gimnazial, liceal cu exceptia IPT (inclusiv invatamant s</w:t>
            </w:r>
            <w:r w:rsidR="00052C11">
              <w:rPr>
                <w:b/>
                <w:i/>
                <w:lang w:val="en-US"/>
              </w:rPr>
              <w:t>p</w:t>
            </w:r>
            <w:r>
              <w:rPr>
                <w:b/>
                <w:i/>
                <w:lang w:val="en-US"/>
              </w:rPr>
              <w:t>ecial)</w:t>
            </w:r>
          </w:p>
        </w:tc>
        <w:tc>
          <w:tcPr>
            <w:tcW w:w="581" w:type="pct"/>
            <w:tcBorders>
              <w:top w:val="single" w:sz="4" w:space="0" w:color="auto"/>
              <w:left w:val="single" w:sz="4" w:space="0" w:color="auto"/>
              <w:bottom w:val="single" w:sz="4" w:space="0" w:color="auto"/>
              <w:right w:val="single" w:sz="4" w:space="0" w:color="auto"/>
            </w:tcBorders>
          </w:tcPr>
          <w:p w:rsidR="00805892" w:rsidRPr="00F000AD" w:rsidRDefault="00805892" w:rsidP="005A114F">
            <w:pPr>
              <w:rPr>
                <w:b/>
                <w:i/>
                <w:lang w:val="en-US"/>
              </w:rPr>
            </w:pPr>
            <w:r>
              <w:rPr>
                <w:b/>
                <w:i/>
                <w:lang w:val="en-US"/>
              </w:rPr>
              <w:t>3</w:t>
            </w:r>
            <w:r w:rsidR="005A114F">
              <w:rPr>
                <w:b/>
                <w:i/>
                <w:lang w:val="en-US"/>
              </w:rPr>
              <w:t>96</w:t>
            </w:r>
          </w:p>
        </w:tc>
        <w:tc>
          <w:tcPr>
            <w:tcW w:w="501" w:type="pct"/>
            <w:tcBorders>
              <w:top w:val="single" w:sz="4" w:space="0" w:color="auto"/>
              <w:left w:val="single" w:sz="4" w:space="0" w:color="auto"/>
              <w:bottom w:val="single" w:sz="4" w:space="0" w:color="auto"/>
              <w:right w:val="single" w:sz="4" w:space="0" w:color="auto"/>
            </w:tcBorders>
          </w:tcPr>
          <w:p w:rsidR="00805892" w:rsidRPr="00F000AD" w:rsidRDefault="00805892" w:rsidP="005A114F">
            <w:pPr>
              <w:rPr>
                <w:b/>
                <w:i/>
                <w:lang w:val="en-US"/>
              </w:rPr>
            </w:pPr>
            <w:r>
              <w:rPr>
                <w:b/>
                <w:i/>
                <w:lang w:val="en-US"/>
              </w:rPr>
              <w:t>3</w:t>
            </w:r>
            <w:r w:rsidR="005A114F">
              <w:rPr>
                <w:b/>
                <w:i/>
                <w:lang w:val="en-US"/>
              </w:rPr>
              <w:t>967</w:t>
            </w:r>
            <w:r>
              <w:rPr>
                <w:rStyle w:val="Referinnotdesubsol"/>
                <w:b w:val="0"/>
                <w:i/>
                <w:lang w:val="en-US"/>
              </w:rPr>
              <w:footnoteReference w:id="56"/>
            </w:r>
          </w:p>
        </w:tc>
      </w:tr>
      <w:tr w:rsidR="00805892" w:rsidRPr="00F000AD" w:rsidTr="00657C41">
        <w:trPr>
          <w:trHeight w:val="3220"/>
        </w:trPr>
        <w:tc>
          <w:tcPr>
            <w:tcW w:w="457" w:type="pct"/>
            <w:tcBorders>
              <w:top w:val="single" w:sz="4" w:space="0" w:color="auto"/>
              <w:left w:val="single" w:sz="4" w:space="0" w:color="auto"/>
              <w:right w:val="single" w:sz="4" w:space="0" w:color="auto"/>
            </w:tcBorders>
          </w:tcPr>
          <w:p w:rsidR="00805892" w:rsidRPr="006C33BF" w:rsidRDefault="00805892" w:rsidP="00657C41">
            <w:pPr>
              <w:jc w:val="both"/>
              <w:rPr>
                <w:rFonts w:ascii="Times New Roman" w:hAnsi="Times New Roman" w:cs="Times New Roman"/>
                <w:color w:val="FF0000"/>
                <w:sz w:val="20"/>
                <w:szCs w:val="20"/>
              </w:rPr>
            </w:pPr>
            <w:r>
              <w:rPr>
                <w:rFonts w:ascii="Times New Roman" w:hAnsi="Times New Roman" w:cs="Times New Roman"/>
                <w:sz w:val="20"/>
                <w:szCs w:val="20"/>
              </w:rPr>
              <w:t>5.2</w:t>
            </w:r>
          </w:p>
          <w:p w:rsidR="00805892" w:rsidRPr="0091380F" w:rsidRDefault="00805892" w:rsidP="00657C41">
            <w:pPr>
              <w:pStyle w:val="Default"/>
              <w:rPr>
                <w:rFonts w:ascii="Times New Roman" w:hAnsi="Times New Roman" w:cs="Times New Roman"/>
                <w:sz w:val="20"/>
                <w:szCs w:val="20"/>
                <w:lang w:val="ro-RO"/>
              </w:rPr>
            </w:pPr>
          </w:p>
        </w:tc>
        <w:tc>
          <w:tcPr>
            <w:tcW w:w="676" w:type="pct"/>
            <w:tcBorders>
              <w:top w:val="single" w:sz="4" w:space="0" w:color="auto"/>
              <w:left w:val="single" w:sz="4" w:space="0" w:color="auto"/>
              <w:right w:val="single" w:sz="4" w:space="0" w:color="auto"/>
            </w:tcBorders>
          </w:tcPr>
          <w:p w:rsidR="00805892" w:rsidRPr="0091380F" w:rsidRDefault="00805892" w:rsidP="00657C41">
            <w:pPr>
              <w:pStyle w:val="Default"/>
              <w:rPr>
                <w:rFonts w:ascii="Times New Roman" w:hAnsi="Times New Roman" w:cs="Times New Roman"/>
                <w:sz w:val="20"/>
                <w:szCs w:val="20"/>
                <w:lang w:val="ro-RO"/>
              </w:rPr>
            </w:pPr>
            <w:r w:rsidRPr="0091380F">
              <w:rPr>
                <w:rFonts w:ascii="Times New Roman" w:hAnsi="Times New Roman" w:cs="Times New Roman"/>
                <w:sz w:val="20"/>
                <w:szCs w:val="20"/>
                <w:lang w:val="ro-RO"/>
              </w:rPr>
              <w:t>4.ii îmbunătățirea accesului la servicii de calitate și favorabile incluziunii în educație, formare și învățarea pe tot parcursul vieții prin dezvoltarea infrastructurii</w:t>
            </w:r>
          </w:p>
        </w:tc>
        <w:tc>
          <w:tcPr>
            <w:tcW w:w="371" w:type="pct"/>
            <w:tcBorders>
              <w:top w:val="single" w:sz="4" w:space="0" w:color="auto"/>
              <w:left w:val="single" w:sz="4" w:space="0" w:color="auto"/>
              <w:right w:val="single" w:sz="4" w:space="0" w:color="auto"/>
            </w:tcBorders>
          </w:tcPr>
          <w:p w:rsidR="00805892" w:rsidRPr="0091380F" w:rsidRDefault="00805892" w:rsidP="00657C41">
            <w:pPr>
              <w:pStyle w:val="Default"/>
              <w:rPr>
                <w:rFonts w:ascii="Times New Roman" w:hAnsi="Times New Roman" w:cs="Times New Roman"/>
                <w:sz w:val="20"/>
                <w:szCs w:val="20"/>
                <w:lang w:val="ro-RO"/>
              </w:rPr>
            </w:pPr>
            <w:r w:rsidRPr="0091380F">
              <w:rPr>
                <w:rFonts w:ascii="Times New Roman" w:hAnsi="Times New Roman" w:cs="Times New Roman"/>
                <w:sz w:val="20"/>
                <w:szCs w:val="20"/>
                <w:lang w:val="ro-RO"/>
              </w:rPr>
              <w:t>FEDR</w:t>
            </w:r>
          </w:p>
        </w:tc>
        <w:tc>
          <w:tcPr>
            <w:tcW w:w="529" w:type="pct"/>
            <w:tcBorders>
              <w:top w:val="single" w:sz="4" w:space="0" w:color="auto"/>
              <w:left w:val="single" w:sz="4" w:space="0" w:color="auto"/>
              <w:right w:val="single" w:sz="4" w:space="0" w:color="auto"/>
            </w:tcBorders>
          </w:tcPr>
          <w:p w:rsidR="00805892" w:rsidRPr="0091380F" w:rsidRDefault="00805892" w:rsidP="00657C41">
            <w:pPr>
              <w:pStyle w:val="Default"/>
              <w:rPr>
                <w:rFonts w:ascii="Times New Roman" w:hAnsi="Times New Roman" w:cs="Times New Roman"/>
                <w:sz w:val="20"/>
                <w:szCs w:val="20"/>
                <w:lang w:val="ro-RO"/>
              </w:rPr>
            </w:pPr>
            <w:r w:rsidRPr="0091380F">
              <w:rPr>
                <w:rFonts w:ascii="Times New Roman" w:hAnsi="Times New Roman" w:cs="Times New Roman"/>
                <w:sz w:val="20"/>
                <w:szCs w:val="20"/>
                <w:lang w:val="ro-RO"/>
              </w:rPr>
              <w:t xml:space="preserve">Mai puțin </w:t>
            </w:r>
            <w:r>
              <w:rPr>
                <w:rFonts w:ascii="Times New Roman" w:hAnsi="Times New Roman" w:cs="Times New Roman"/>
                <w:sz w:val="20"/>
                <w:szCs w:val="20"/>
                <w:lang w:val="ro-RO"/>
              </w:rPr>
              <w:t>d</w:t>
            </w:r>
            <w:r w:rsidRPr="0091380F">
              <w:rPr>
                <w:rFonts w:ascii="Times New Roman" w:hAnsi="Times New Roman" w:cs="Times New Roman"/>
                <w:sz w:val="20"/>
                <w:szCs w:val="20"/>
                <w:lang w:val="ro-RO"/>
              </w:rPr>
              <w:t>ezvoltate</w:t>
            </w:r>
          </w:p>
        </w:tc>
        <w:tc>
          <w:tcPr>
            <w:tcW w:w="320" w:type="pct"/>
            <w:tcBorders>
              <w:top w:val="single" w:sz="4" w:space="0" w:color="auto"/>
              <w:left w:val="single" w:sz="4" w:space="0" w:color="auto"/>
              <w:right w:val="single" w:sz="4" w:space="0" w:color="auto"/>
            </w:tcBorders>
          </w:tcPr>
          <w:p w:rsidR="00805892" w:rsidRPr="0091380F" w:rsidRDefault="00805892" w:rsidP="00657C41">
            <w:pPr>
              <w:pStyle w:val="Default"/>
              <w:rPr>
                <w:rFonts w:ascii="Times New Roman" w:hAnsi="Times New Roman" w:cs="Times New Roman"/>
                <w:sz w:val="20"/>
                <w:szCs w:val="20"/>
                <w:lang w:val="ro-RO"/>
              </w:rPr>
            </w:pPr>
            <w:r w:rsidRPr="0091380F">
              <w:rPr>
                <w:rFonts w:ascii="Times New Roman" w:hAnsi="Times New Roman" w:cs="Times New Roman"/>
                <w:sz w:val="20"/>
                <w:szCs w:val="20"/>
                <w:lang w:val="ro-RO"/>
              </w:rPr>
              <w:t>RCO 67</w:t>
            </w:r>
          </w:p>
        </w:tc>
        <w:tc>
          <w:tcPr>
            <w:tcW w:w="758" w:type="pct"/>
            <w:tcBorders>
              <w:top w:val="single" w:sz="4" w:space="0" w:color="auto"/>
              <w:left w:val="single" w:sz="4" w:space="0" w:color="auto"/>
              <w:right w:val="single" w:sz="4" w:space="0" w:color="auto"/>
            </w:tcBorders>
          </w:tcPr>
          <w:p w:rsidR="00805892" w:rsidRPr="0091380F" w:rsidRDefault="00805892" w:rsidP="00657C41">
            <w:pPr>
              <w:pStyle w:val="Default"/>
              <w:rPr>
                <w:rFonts w:ascii="Times New Roman" w:hAnsi="Times New Roman" w:cs="Times New Roman"/>
                <w:sz w:val="20"/>
                <w:szCs w:val="20"/>
                <w:lang w:val="ro-RO"/>
              </w:rPr>
            </w:pPr>
            <w:r w:rsidRPr="0091380F">
              <w:rPr>
                <w:rFonts w:ascii="Times New Roman" w:hAnsi="Times New Roman" w:cs="Times New Roman"/>
                <w:sz w:val="20"/>
                <w:szCs w:val="20"/>
                <w:lang w:val="ro-RO"/>
              </w:rPr>
              <w:t>Capacitatea claselor din cadrul infrastructurilor din domeniul învățământului care beneficiază de sprijin (noi sau modernizate)</w:t>
            </w:r>
          </w:p>
        </w:tc>
        <w:tc>
          <w:tcPr>
            <w:tcW w:w="807" w:type="pct"/>
            <w:tcBorders>
              <w:top w:val="single" w:sz="4" w:space="0" w:color="auto"/>
              <w:left w:val="single" w:sz="4" w:space="0" w:color="auto"/>
              <w:right w:val="single" w:sz="4" w:space="0" w:color="auto"/>
            </w:tcBorders>
          </w:tcPr>
          <w:p w:rsidR="00805892" w:rsidRDefault="00805892" w:rsidP="00657C41">
            <w:pPr>
              <w:rPr>
                <w:b/>
                <w:i/>
                <w:lang w:val="en-US"/>
              </w:rPr>
            </w:pPr>
            <w:r w:rsidRPr="00157DAD">
              <w:rPr>
                <w:b/>
                <w:i/>
                <w:lang w:val="en-US"/>
              </w:rPr>
              <w:t>Nr. Elevi/</w:t>
            </w:r>
            <w:r w:rsidR="00052C11">
              <w:rPr>
                <w:b/>
                <w:i/>
                <w:lang w:val="en-US"/>
              </w:rPr>
              <w:t>persoane</w:t>
            </w:r>
          </w:p>
          <w:p w:rsidR="00805892" w:rsidRPr="00F000AD" w:rsidRDefault="00805892" w:rsidP="00657C41">
            <w:pPr>
              <w:rPr>
                <w:b/>
                <w:i/>
                <w:lang w:val="en-US"/>
              </w:rPr>
            </w:pPr>
            <w:r>
              <w:rPr>
                <w:b/>
                <w:i/>
                <w:lang w:val="en-US"/>
              </w:rPr>
              <w:t>IPT</w:t>
            </w:r>
          </w:p>
        </w:tc>
        <w:tc>
          <w:tcPr>
            <w:tcW w:w="581" w:type="pct"/>
            <w:tcBorders>
              <w:top w:val="single" w:sz="4" w:space="0" w:color="auto"/>
              <w:left w:val="single" w:sz="4" w:space="0" w:color="auto"/>
              <w:right w:val="single" w:sz="4" w:space="0" w:color="auto"/>
            </w:tcBorders>
          </w:tcPr>
          <w:p w:rsidR="00805892" w:rsidRPr="00F000AD" w:rsidRDefault="00805892" w:rsidP="009A7E34">
            <w:pPr>
              <w:rPr>
                <w:b/>
                <w:lang w:val="en-US"/>
              </w:rPr>
            </w:pPr>
            <w:r>
              <w:rPr>
                <w:b/>
                <w:lang w:val="en-US"/>
              </w:rPr>
              <w:t>1</w:t>
            </w:r>
            <w:r w:rsidR="005A114F">
              <w:rPr>
                <w:b/>
                <w:lang w:val="en-US"/>
              </w:rPr>
              <w:t>1</w:t>
            </w:r>
            <w:r w:rsidR="009A7E34">
              <w:rPr>
                <w:b/>
                <w:lang w:val="en-US"/>
              </w:rPr>
              <w:t>2</w:t>
            </w:r>
          </w:p>
        </w:tc>
        <w:tc>
          <w:tcPr>
            <w:tcW w:w="501" w:type="pct"/>
            <w:tcBorders>
              <w:top w:val="single" w:sz="4" w:space="0" w:color="auto"/>
              <w:left w:val="single" w:sz="4" w:space="0" w:color="auto"/>
              <w:right w:val="single" w:sz="4" w:space="0" w:color="auto"/>
            </w:tcBorders>
          </w:tcPr>
          <w:p w:rsidR="00805892" w:rsidRPr="00F000AD" w:rsidRDefault="00052C11" w:rsidP="00052C11">
            <w:pPr>
              <w:rPr>
                <w:b/>
                <w:lang w:val="en-US"/>
              </w:rPr>
            </w:pPr>
            <w:r>
              <w:rPr>
                <w:b/>
                <w:lang w:val="en-US"/>
              </w:rPr>
              <w:t>1129</w:t>
            </w:r>
          </w:p>
        </w:tc>
      </w:tr>
      <w:tr w:rsidR="00805892" w:rsidRPr="00F000AD" w:rsidTr="00657C41">
        <w:trPr>
          <w:trHeight w:val="3220"/>
        </w:trPr>
        <w:tc>
          <w:tcPr>
            <w:tcW w:w="457" w:type="pct"/>
            <w:tcBorders>
              <w:top w:val="single" w:sz="4" w:space="0" w:color="auto"/>
              <w:left w:val="single" w:sz="4" w:space="0" w:color="auto"/>
              <w:right w:val="single" w:sz="4" w:space="0" w:color="auto"/>
            </w:tcBorders>
          </w:tcPr>
          <w:p w:rsidR="00805892" w:rsidRPr="0091380F" w:rsidRDefault="00805892" w:rsidP="00657C41">
            <w:pPr>
              <w:jc w:val="both"/>
              <w:rPr>
                <w:rFonts w:ascii="Times New Roman" w:hAnsi="Times New Roman" w:cs="Times New Roman"/>
                <w:sz w:val="20"/>
                <w:szCs w:val="20"/>
              </w:rPr>
            </w:pPr>
            <w:r>
              <w:rPr>
                <w:rFonts w:ascii="Times New Roman" w:hAnsi="Times New Roman" w:cs="Times New Roman"/>
                <w:sz w:val="20"/>
                <w:szCs w:val="20"/>
              </w:rPr>
              <w:lastRenderedPageBreak/>
              <w:t>5.3</w:t>
            </w:r>
          </w:p>
        </w:tc>
        <w:tc>
          <w:tcPr>
            <w:tcW w:w="676" w:type="pct"/>
            <w:tcBorders>
              <w:top w:val="single" w:sz="4" w:space="0" w:color="auto"/>
              <w:left w:val="single" w:sz="4" w:space="0" w:color="auto"/>
              <w:right w:val="single" w:sz="4" w:space="0" w:color="auto"/>
            </w:tcBorders>
          </w:tcPr>
          <w:p w:rsidR="00805892" w:rsidRPr="0091380F" w:rsidRDefault="00805892" w:rsidP="00657C41">
            <w:pPr>
              <w:pStyle w:val="Default"/>
              <w:rPr>
                <w:rFonts w:ascii="Times New Roman" w:hAnsi="Times New Roman" w:cs="Times New Roman"/>
                <w:sz w:val="20"/>
                <w:szCs w:val="20"/>
                <w:lang w:val="ro-RO"/>
              </w:rPr>
            </w:pPr>
            <w:r w:rsidRPr="0091380F">
              <w:rPr>
                <w:rFonts w:ascii="Times New Roman" w:hAnsi="Times New Roman" w:cs="Times New Roman"/>
                <w:sz w:val="20"/>
                <w:szCs w:val="20"/>
                <w:lang w:val="ro-RO"/>
              </w:rPr>
              <w:t>4.ii îmbunătățirea accesului la servicii de calitate și favorabile incluziunii în educație, formare și învățarea pe tot parcursul vieții prin dezvoltarea infrastructurii</w:t>
            </w:r>
          </w:p>
        </w:tc>
        <w:tc>
          <w:tcPr>
            <w:tcW w:w="371" w:type="pct"/>
            <w:tcBorders>
              <w:top w:val="single" w:sz="4" w:space="0" w:color="auto"/>
              <w:left w:val="single" w:sz="4" w:space="0" w:color="auto"/>
              <w:right w:val="single" w:sz="4" w:space="0" w:color="auto"/>
            </w:tcBorders>
          </w:tcPr>
          <w:p w:rsidR="00805892" w:rsidRPr="0091380F" w:rsidRDefault="00805892" w:rsidP="00657C41">
            <w:pPr>
              <w:pStyle w:val="Default"/>
              <w:rPr>
                <w:rFonts w:ascii="Times New Roman" w:hAnsi="Times New Roman" w:cs="Times New Roman"/>
                <w:sz w:val="20"/>
                <w:szCs w:val="20"/>
                <w:lang w:val="ro-RO"/>
              </w:rPr>
            </w:pPr>
            <w:r w:rsidRPr="0091380F">
              <w:rPr>
                <w:rFonts w:ascii="Times New Roman" w:hAnsi="Times New Roman" w:cs="Times New Roman"/>
                <w:sz w:val="20"/>
                <w:szCs w:val="20"/>
                <w:lang w:val="ro-RO"/>
              </w:rPr>
              <w:t>FEDR</w:t>
            </w:r>
          </w:p>
        </w:tc>
        <w:tc>
          <w:tcPr>
            <w:tcW w:w="529" w:type="pct"/>
            <w:tcBorders>
              <w:top w:val="single" w:sz="4" w:space="0" w:color="auto"/>
              <w:left w:val="single" w:sz="4" w:space="0" w:color="auto"/>
              <w:right w:val="single" w:sz="4" w:space="0" w:color="auto"/>
            </w:tcBorders>
          </w:tcPr>
          <w:p w:rsidR="00805892" w:rsidRPr="0091380F" w:rsidRDefault="00805892" w:rsidP="00657C41">
            <w:pPr>
              <w:pStyle w:val="Default"/>
              <w:rPr>
                <w:rFonts w:ascii="Times New Roman" w:hAnsi="Times New Roman" w:cs="Times New Roman"/>
                <w:sz w:val="20"/>
                <w:szCs w:val="20"/>
                <w:lang w:val="ro-RO"/>
              </w:rPr>
            </w:pPr>
            <w:r w:rsidRPr="0091380F">
              <w:rPr>
                <w:rFonts w:ascii="Times New Roman" w:hAnsi="Times New Roman" w:cs="Times New Roman"/>
                <w:sz w:val="20"/>
                <w:szCs w:val="20"/>
                <w:lang w:val="ro-RO"/>
              </w:rPr>
              <w:t xml:space="preserve">Mai puțin </w:t>
            </w:r>
            <w:r>
              <w:rPr>
                <w:rFonts w:ascii="Times New Roman" w:hAnsi="Times New Roman" w:cs="Times New Roman"/>
                <w:sz w:val="20"/>
                <w:szCs w:val="20"/>
                <w:lang w:val="ro-RO"/>
              </w:rPr>
              <w:t>d</w:t>
            </w:r>
            <w:r w:rsidRPr="0091380F">
              <w:rPr>
                <w:rFonts w:ascii="Times New Roman" w:hAnsi="Times New Roman" w:cs="Times New Roman"/>
                <w:sz w:val="20"/>
                <w:szCs w:val="20"/>
                <w:lang w:val="ro-RO"/>
              </w:rPr>
              <w:t>ezvoltate</w:t>
            </w:r>
          </w:p>
        </w:tc>
        <w:tc>
          <w:tcPr>
            <w:tcW w:w="320" w:type="pct"/>
            <w:tcBorders>
              <w:top w:val="single" w:sz="4" w:space="0" w:color="auto"/>
              <w:left w:val="single" w:sz="4" w:space="0" w:color="auto"/>
              <w:right w:val="single" w:sz="4" w:space="0" w:color="auto"/>
            </w:tcBorders>
          </w:tcPr>
          <w:p w:rsidR="00805892" w:rsidRPr="0091380F" w:rsidRDefault="00805892" w:rsidP="00657C41">
            <w:pPr>
              <w:pStyle w:val="Default"/>
              <w:rPr>
                <w:rFonts w:ascii="Times New Roman" w:hAnsi="Times New Roman" w:cs="Times New Roman"/>
                <w:sz w:val="20"/>
                <w:szCs w:val="20"/>
                <w:lang w:val="ro-RO"/>
              </w:rPr>
            </w:pPr>
            <w:r w:rsidRPr="0091380F">
              <w:rPr>
                <w:rFonts w:ascii="Times New Roman" w:hAnsi="Times New Roman" w:cs="Times New Roman"/>
                <w:sz w:val="20"/>
                <w:szCs w:val="20"/>
                <w:lang w:val="ro-RO"/>
              </w:rPr>
              <w:t>RCO 67</w:t>
            </w:r>
          </w:p>
        </w:tc>
        <w:tc>
          <w:tcPr>
            <w:tcW w:w="758" w:type="pct"/>
            <w:tcBorders>
              <w:top w:val="single" w:sz="4" w:space="0" w:color="auto"/>
              <w:left w:val="single" w:sz="4" w:space="0" w:color="auto"/>
              <w:right w:val="single" w:sz="4" w:space="0" w:color="auto"/>
            </w:tcBorders>
          </w:tcPr>
          <w:p w:rsidR="00805892" w:rsidRPr="0091380F" w:rsidRDefault="00805892" w:rsidP="00657C41">
            <w:pPr>
              <w:pStyle w:val="Default"/>
              <w:rPr>
                <w:rFonts w:ascii="Times New Roman" w:hAnsi="Times New Roman" w:cs="Times New Roman"/>
                <w:sz w:val="20"/>
                <w:szCs w:val="20"/>
                <w:lang w:val="ro-RO"/>
              </w:rPr>
            </w:pPr>
            <w:r w:rsidRPr="0091380F">
              <w:rPr>
                <w:rFonts w:ascii="Times New Roman" w:hAnsi="Times New Roman" w:cs="Times New Roman"/>
                <w:sz w:val="20"/>
                <w:szCs w:val="20"/>
                <w:lang w:val="ro-RO"/>
              </w:rPr>
              <w:t>Capacitatea claselor din cadrul infrastructurilor din domeniul învățământului care beneficiază de sprijin (noi sau modernizate)</w:t>
            </w:r>
          </w:p>
        </w:tc>
        <w:tc>
          <w:tcPr>
            <w:tcW w:w="807" w:type="pct"/>
            <w:tcBorders>
              <w:top w:val="single" w:sz="4" w:space="0" w:color="auto"/>
              <w:left w:val="single" w:sz="4" w:space="0" w:color="auto"/>
              <w:right w:val="single" w:sz="4" w:space="0" w:color="auto"/>
            </w:tcBorders>
          </w:tcPr>
          <w:p w:rsidR="00805892" w:rsidRPr="00F000AD" w:rsidRDefault="00805892" w:rsidP="00657C41">
            <w:pPr>
              <w:rPr>
                <w:b/>
                <w:i/>
                <w:lang w:val="en-US"/>
              </w:rPr>
            </w:pPr>
            <w:r w:rsidRPr="00157DAD">
              <w:rPr>
                <w:b/>
                <w:i/>
                <w:lang w:val="en-US"/>
              </w:rPr>
              <w:t>Nr. Elevi/persoane</w:t>
            </w:r>
          </w:p>
        </w:tc>
        <w:tc>
          <w:tcPr>
            <w:tcW w:w="581" w:type="pct"/>
            <w:tcBorders>
              <w:top w:val="single" w:sz="4" w:space="0" w:color="auto"/>
              <w:left w:val="single" w:sz="4" w:space="0" w:color="auto"/>
              <w:right w:val="single" w:sz="4" w:space="0" w:color="auto"/>
            </w:tcBorders>
          </w:tcPr>
          <w:p w:rsidR="00805892" w:rsidRPr="00F000AD" w:rsidRDefault="00805892" w:rsidP="00657C41">
            <w:pPr>
              <w:rPr>
                <w:b/>
                <w:lang w:val="en-US"/>
              </w:rPr>
            </w:pPr>
            <w:r>
              <w:rPr>
                <w:b/>
                <w:lang w:val="en-US"/>
              </w:rPr>
              <w:t>118</w:t>
            </w:r>
          </w:p>
        </w:tc>
        <w:tc>
          <w:tcPr>
            <w:tcW w:w="501" w:type="pct"/>
            <w:tcBorders>
              <w:top w:val="single" w:sz="4" w:space="0" w:color="auto"/>
              <w:left w:val="single" w:sz="4" w:space="0" w:color="auto"/>
              <w:right w:val="single" w:sz="4" w:space="0" w:color="auto"/>
            </w:tcBorders>
          </w:tcPr>
          <w:p w:rsidR="00805892" w:rsidRPr="00F000AD" w:rsidRDefault="00805892" w:rsidP="00657C41">
            <w:pPr>
              <w:rPr>
                <w:b/>
                <w:lang w:val="en-US"/>
              </w:rPr>
            </w:pPr>
            <w:r>
              <w:rPr>
                <w:b/>
                <w:lang w:val="en-US"/>
              </w:rPr>
              <w:t>1180</w:t>
            </w:r>
          </w:p>
        </w:tc>
      </w:tr>
    </w:tbl>
    <w:p w:rsidR="00A26390" w:rsidRDefault="00A26390" w:rsidP="00A26390">
      <w:pPr>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969"/>
        <w:gridCol w:w="563"/>
        <w:gridCol w:w="773"/>
        <w:gridCol w:w="488"/>
        <w:gridCol w:w="1029"/>
        <w:gridCol w:w="1091"/>
        <w:gridCol w:w="812"/>
        <w:gridCol w:w="843"/>
        <w:gridCol w:w="614"/>
        <w:gridCol w:w="1110"/>
        <w:gridCol w:w="884"/>
      </w:tblGrid>
      <w:tr w:rsidR="008B5909" w:rsidRPr="00F000AD" w:rsidTr="008B5909">
        <w:trPr>
          <w:trHeight w:val="480"/>
        </w:trPr>
        <w:tc>
          <w:tcPr>
            <w:tcW w:w="5000" w:type="pct"/>
            <w:gridSpan w:val="12"/>
            <w:tcBorders>
              <w:top w:val="single" w:sz="4" w:space="0" w:color="auto"/>
              <w:left w:val="single" w:sz="4" w:space="0" w:color="auto"/>
              <w:bottom w:val="single" w:sz="4" w:space="0" w:color="auto"/>
              <w:right w:val="single" w:sz="4" w:space="0" w:color="auto"/>
            </w:tcBorders>
            <w:hideMark/>
          </w:tcPr>
          <w:p w:rsidR="008B5909" w:rsidRPr="008B5909" w:rsidRDefault="008B5909" w:rsidP="00657C41">
            <w:pPr>
              <w:rPr>
                <w:b/>
                <w:iCs/>
                <w:lang w:val="en-US"/>
              </w:rPr>
            </w:pPr>
            <w:r w:rsidRPr="00F000AD">
              <w:rPr>
                <w:b/>
                <w:iCs/>
                <w:lang w:val="en-US"/>
              </w:rPr>
              <w:t>Table 3: Result indicators</w:t>
            </w:r>
          </w:p>
        </w:tc>
      </w:tr>
      <w:tr w:rsidR="008B5909" w:rsidRPr="00F000AD" w:rsidTr="008B5909">
        <w:trPr>
          <w:trHeight w:val="1768"/>
        </w:trPr>
        <w:tc>
          <w:tcPr>
            <w:tcW w:w="310" w:type="pct"/>
            <w:tcBorders>
              <w:top w:val="single" w:sz="4" w:space="0" w:color="auto"/>
              <w:left w:val="single" w:sz="4" w:space="0" w:color="auto"/>
              <w:bottom w:val="single" w:sz="4" w:space="0" w:color="auto"/>
              <w:right w:val="single" w:sz="4" w:space="0" w:color="auto"/>
            </w:tcBorders>
            <w:hideMark/>
          </w:tcPr>
          <w:p w:rsidR="008B5909" w:rsidRPr="00F000AD" w:rsidRDefault="008B5909" w:rsidP="00657C41">
            <w:pPr>
              <w:rPr>
                <w:b/>
                <w:lang w:val="en-US"/>
              </w:rPr>
            </w:pPr>
            <w:r w:rsidRPr="00F000AD">
              <w:rPr>
                <w:b/>
                <w:lang w:val="en-US"/>
              </w:rPr>
              <w:t xml:space="preserve">Priority </w:t>
            </w:r>
            <w:r>
              <w:rPr>
                <w:b/>
                <w:lang w:val="en-US"/>
              </w:rPr>
              <w:t>5</w:t>
            </w:r>
          </w:p>
        </w:tc>
        <w:tc>
          <w:tcPr>
            <w:tcW w:w="485" w:type="pct"/>
            <w:tcBorders>
              <w:top w:val="single" w:sz="4" w:space="0" w:color="auto"/>
              <w:left w:val="single" w:sz="4" w:space="0" w:color="auto"/>
              <w:bottom w:val="single" w:sz="4" w:space="0" w:color="auto"/>
              <w:right w:val="single" w:sz="4" w:space="0" w:color="auto"/>
            </w:tcBorders>
            <w:hideMark/>
          </w:tcPr>
          <w:p w:rsidR="008B5909" w:rsidRPr="00F000AD" w:rsidRDefault="008B5909" w:rsidP="00657C41">
            <w:pPr>
              <w:rPr>
                <w:b/>
                <w:lang w:val="en-US"/>
              </w:rPr>
            </w:pPr>
            <w:r w:rsidRPr="00F000AD">
              <w:rPr>
                <w:b/>
                <w:lang w:val="en-US"/>
              </w:rPr>
              <w:t>Specific objective (Investment for Jobs and Growth goal or EMFF)</w:t>
            </w:r>
          </w:p>
        </w:tc>
        <w:tc>
          <w:tcPr>
            <w:tcW w:w="310" w:type="pct"/>
            <w:tcBorders>
              <w:top w:val="single" w:sz="4" w:space="0" w:color="auto"/>
              <w:left w:val="single" w:sz="4" w:space="0" w:color="auto"/>
              <w:bottom w:val="single" w:sz="4" w:space="0" w:color="auto"/>
              <w:right w:val="single" w:sz="4" w:space="0" w:color="auto"/>
            </w:tcBorders>
            <w:hideMark/>
          </w:tcPr>
          <w:p w:rsidR="008B5909" w:rsidRPr="00F000AD" w:rsidRDefault="008B5909" w:rsidP="00657C41">
            <w:pPr>
              <w:rPr>
                <w:b/>
                <w:lang w:val="en-US"/>
              </w:rPr>
            </w:pPr>
            <w:r w:rsidRPr="00F000AD">
              <w:rPr>
                <w:b/>
                <w:lang w:val="en-US"/>
              </w:rPr>
              <w:t>Fund</w:t>
            </w:r>
          </w:p>
        </w:tc>
        <w:tc>
          <w:tcPr>
            <w:tcW w:w="400" w:type="pct"/>
            <w:tcBorders>
              <w:top w:val="single" w:sz="4" w:space="0" w:color="auto"/>
              <w:left w:val="single" w:sz="4" w:space="0" w:color="auto"/>
              <w:bottom w:val="single" w:sz="4" w:space="0" w:color="auto"/>
              <w:right w:val="single" w:sz="4" w:space="0" w:color="auto"/>
            </w:tcBorders>
            <w:hideMark/>
          </w:tcPr>
          <w:p w:rsidR="008B5909" w:rsidRPr="00F000AD" w:rsidRDefault="008B5909" w:rsidP="00657C41">
            <w:pPr>
              <w:rPr>
                <w:b/>
                <w:lang w:val="en-US"/>
              </w:rPr>
            </w:pPr>
            <w:r w:rsidRPr="00F000AD">
              <w:rPr>
                <w:b/>
                <w:lang w:val="en-US"/>
              </w:rPr>
              <w:t>Category of region</w:t>
            </w:r>
            <w:r w:rsidRPr="00F000AD">
              <w:rPr>
                <w:lang w:val="en-US"/>
              </w:rPr>
              <w:t xml:space="preserve"> </w:t>
            </w:r>
          </w:p>
        </w:tc>
        <w:tc>
          <w:tcPr>
            <w:tcW w:w="278" w:type="pct"/>
            <w:tcBorders>
              <w:top w:val="single" w:sz="4" w:space="0" w:color="auto"/>
              <w:left w:val="single" w:sz="4" w:space="0" w:color="auto"/>
              <w:bottom w:val="single" w:sz="4" w:space="0" w:color="auto"/>
              <w:right w:val="single" w:sz="4" w:space="0" w:color="auto"/>
            </w:tcBorders>
            <w:hideMark/>
          </w:tcPr>
          <w:p w:rsidR="008B5909" w:rsidRPr="00F000AD" w:rsidRDefault="008B5909" w:rsidP="00657C41">
            <w:pPr>
              <w:rPr>
                <w:b/>
                <w:lang w:val="en-US"/>
              </w:rPr>
            </w:pPr>
            <w:r w:rsidRPr="00F000AD">
              <w:rPr>
                <w:b/>
                <w:lang w:val="en-US"/>
              </w:rPr>
              <w:t>ID [5]</w:t>
            </w:r>
          </w:p>
        </w:tc>
        <w:tc>
          <w:tcPr>
            <w:tcW w:w="510" w:type="pct"/>
            <w:tcBorders>
              <w:top w:val="single" w:sz="4" w:space="0" w:color="auto"/>
              <w:left w:val="single" w:sz="4" w:space="0" w:color="auto"/>
              <w:bottom w:val="single" w:sz="4" w:space="0" w:color="auto"/>
              <w:right w:val="single" w:sz="4" w:space="0" w:color="auto"/>
            </w:tcBorders>
            <w:hideMark/>
          </w:tcPr>
          <w:p w:rsidR="008B5909" w:rsidRPr="00F000AD" w:rsidRDefault="008B5909" w:rsidP="00657C41">
            <w:pPr>
              <w:rPr>
                <w:b/>
                <w:lang w:val="en-US"/>
              </w:rPr>
            </w:pPr>
            <w:r w:rsidRPr="00F000AD">
              <w:rPr>
                <w:b/>
                <w:lang w:val="en-US"/>
              </w:rPr>
              <w:t>Indicator [255]</w:t>
            </w:r>
          </w:p>
        </w:tc>
        <w:tc>
          <w:tcPr>
            <w:tcW w:w="536" w:type="pct"/>
            <w:tcBorders>
              <w:top w:val="single" w:sz="4" w:space="0" w:color="auto"/>
              <w:left w:val="single" w:sz="4" w:space="0" w:color="auto"/>
              <w:bottom w:val="single" w:sz="4" w:space="0" w:color="auto"/>
              <w:right w:val="single" w:sz="4" w:space="0" w:color="auto"/>
            </w:tcBorders>
            <w:hideMark/>
          </w:tcPr>
          <w:p w:rsidR="008B5909" w:rsidRPr="00F000AD" w:rsidRDefault="008B5909" w:rsidP="00657C41">
            <w:pPr>
              <w:rPr>
                <w:b/>
                <w:lang w:val="en-US"/>
              </w:rPr>
            </w:pPr>
            <w:r w:rsidRPr="00F000AD">
              <w:rPr>
                <w:b/>
                <w:lang w:val="en-US"/>
              </w:rPr>
              <w:t>Measurement unit</w:t>
            </w:r>
          </w:p>
        </w:tc>
        <w:tc>
          <w:tcPr>
            <w:tcW w:w="417" w:type="pct"/>
            <w:tcBorders>
              <w:top w:val="single" w:sz="4" w:space="0" w:color="auto"/>
              <w:left w:val="single" w:sz="4" w:space="0" w:color="auto"/>
              <w:bottom w:val="single" w:sz="4" w:space="0" w:color="auto"/>
              <w:right w:val="single" w:sz="4" w:space="0" w:color="auto"/>
            </w:tcBorders>
            <w:hideMark/>
          </w:tcPr>
          <w:p w:rsidR="008B5909" w:rsidRPr="00F000AD" w:rsidRDefault="008B5909" w:rsidP="00657C41">
            <w:pPr>
              <w:rPr>
                <w:b/>
                <w:lang w:val="en-US"/>
              </w:rPr>
            </w:pPr>
            <w:r w:rsidRPr="00F000AD">
              <w:rPr>
                <w:b/>
                <w:lang w:val="en-US"/>
              </w:rPr>
              <w:t>Baseline or reference value</w:t>
            </w:r>
          </w:p>
        </w:tc>
        <w:tc>
          <w:tcPr>
            <w:tcW w:w="430" w:type="pct"/>
            <w:tcBorders>
              <w:top w:val="single" w:sz="4" w:space="0" w:color="auto"/>
              <w:left w:val="single" w:sz="4" w:space="0" w:color="auto"/>
              <w:bottom w:val="single" w:sz="4" w:space="0" w:color="auto"/>
              <w:right w:val="single" w:sz="4" w:space="0" w:color="auto"/>
            </w:tcBorders>
            <w:hideMark/>
          </w:tcPr>
          <w:p w:rsidR="008B5909" w:rsidRPr="00F000AD" w:rsidRDefault="008B5909" w:rsidP="00657C41">
            <w:pPr>
              <w:rPr>
                <w:b/>
                <w:lang w:val="en-US"/>
              </w:rPr>
            </w:pPr>
            <w:r w:rsidRPr="00F000AD">
              <w:rPr>
                <w:b/>
                <w:lang w:val="en-US"/>
              </w:rPr>
              <w:t>Reference year</w:t>
            </w:r>
          </w:p>
        </w:tc>
        <w:tc>
          <w:tcPr>
            <w:tcW w:w="332" w:type="pct"/>
            <w:tcBorders>
              <w:top w:val="single" w:sz="4" w:space="0" w:color="auto"/>
              <w:left w:val="single" w:sz="4" w:space="0" w:color="auto"/>
              <w:bottom w:val="single" w:sz="4" w:space="0" w:color="auto"/>
              <w:right w:val="single" w:sz="4" w:space="0" w:color="auto"/>
            </w:tcBorders>
          </w:tcPr>
          <w:p w:rsidR="008B5909" w:rsidRPr="00F000AD" w:rsidRDefault="008B5909" w:rsidP="00657C41">
            <w:pPr>
              <w:rPr>
                <w:b/>
                <w:lang w:val="en-US"/>
              </w:rPr>
            </w:pPr>
            <w:r w:rsidRPr="00F000AD">
              <w:rPr>
                <w:b/>
                <w:lang w:val="en-US"/>
              </w:rPr>
              <w:t>Target (2029)</w:t>
            </w:r>
          </w:p>
          <w:p w:rsidR="008B5909" w:rsidRPr="00F000AD" w:rsidRDefault="008B5909" w:rsidP="00657C41">
            <w:pPr>
              <w:rPr>
                <w:b/>
                <w:lang w:val="en-US"/>
              </w:rPr>
            </w:pPr>
          </w:p>
        </w:tc>
        <w:tc>
          <w:tcPr>
            <w:tcW w:w="594" w:type="pct"/>
            <w:tcBorders>
              <w:top w:val="single" w:sz="4" w:space="0" w:color="auto"/>
              <w:left w:val="single" w:sz="4" w:space="0" w:color="auto"/>
              <w:bottom w:val="single" w:sz="4" w:space="0" w:color="auto"/>
              <w:right w:val="single" w:sz="4" w:space="0" w:color="auto"/>
            </w:tcBorders>
            <w:hideMark/>
          </w:tcPr>
          <w:p w:rsidR="008B5909" w:rsidRPr="00F000AD" w:rsidRDefault="008B5909" w:rsidP="00657C41">
            <w:pPr>
              <w:rPr>
                <w:b/>
                <w:lang w:val="en-US"/>
              </w:rPr>
            </w:pPr>
            <w:r w:rsidRPr="00F000AD">
              <w:rPr>
                <w:b/>
                <w:lang w:val="en-US"/>
              </w:rPr>
              <w:t>Source of data [200]</w:t>
            </w:r>
          </w:p>
        </w:tc>
        <w:tc>
          <w:tcPr>
            <w:tcW w:w="398" w:type="pct"/>
            <w:tcBorders>
              <w:top w:val="single" w:sz="4" w:space="0" w:color="auto"/>
              <w:left w:val="single" w:sz="4" w:space="0" w:color="auto"/>
              <w:bottom w:val="single" w:sz="4" w:space="0" w:color="auto"/>
              <w:right w:val="single" w:sz="4" w:space="0" w:color="auto"/>
            </w:tcBorders>
            <w:hideMark/>
          </w:tcPr>
          <w:p w:rsidR="008B5909" w:rsidRPr="00F000AD" w:rsidRDefault="008B5909" w:rsidP="00657C41">
            <w:pPr>
              <w:rPr>
                <w:b/>
                <w:lang w:val="en-US"/>
              </w:rPr>
            </w:pPr>
            <w:r w:rsidRPr="00F000AD">
              <w:rPr>
                <w:b/>
                <w:lang w:val="en-US"/>
              </w:rPr>
              <w:t>Comments [200]</w:t>
            </w:r>
          </w:p>
        </w:tc>
      </w:tr>
      <w:tr w:rsidR="008B5909" w:rsidRPr="00F000AD" w:rsidTr="008B5909">
        <w:trPr>
          <w:trHeight w:val="434"/>
        </w:trPr>
        <w:tc>
          <w:tcPr>
            <w:tcW w:w="310" w:type="pct"/>
            <w:vMerge w:val="restart"/>
            <w:tcBorders>
              <w:top w:val="single" w:sz="4" w:space="0" w:color="auto"/>
              <w:left w:val="single" w:sz="4" w:space="0" w:color="auto"/>
              <w:right w:val="single" w:sz="4" w:space="0" w:color="auto"/>
            </w:tcBorders>
          </w:tcPr>
          <w:p w:rsidR="008B5909" w:rsidRPr="0027619C" w:rsidRDefault="008B5909" w:rsidP="00657C41">
            <w:pPr>
              <w:pStyle w:val="Default"/>
              <w:rPr>
                <w:rFonts w:ascii="Times New Roman" w:hAnsi="Times New Roman" w:cs="Times New Roman"/>
                <w:sz w:val="20"/>
                <w:szCs w:val="20"/>
                <w:lang w:val="ro-RO"/>
              </w:rPr>
            </w:pPr>
            <w:r>
              <w:rPr>
                <w:rFonts w:ascii="Times New Roman" w:hAnsi="Times New Roman" w:cs="Times New Roman"/>
                <w:sz w:val="20"/>
                <w:szCs w:val="20"/>
              </w:rPr>
              <w:t>5.1</w:t>
            </w:r>
          </w:p>
        </w:tc>
        <w:tc>
          <w:tcPr>
            <w:tcW w:w="485" w:type="pct"/>
            <w:vMerge w:val="restart"/>
            <w:tcBorders>
              <w:top w:val="single" w:sz="4" w:space="0" w:color="auto"/>
              <w:left w:val="single" w:sz="4" w:space="0" w:color="auto"/>
              <w:right w:val="single" w:sz="4" w:space="0" w:color="auto"/>
            </w:tcBorders>
          </w:tcPr>
          <w:p w:rsidR="008B5909" w:rsidRPr="0027619C" w:rsidRDefault="008B5909" w:rsidP="00657C41">
            <w:pPr>
              <w:pStyle w:val="Default"/>
              <w:rPr>
                <w:rFonts w:ascii="Times New Roman" w:hAnsi="Times New Roman" w:cs="Times New Roman"/>
                <w:sz w:val="20"/>
                <w:szCs w:val="20"/>
                <w:lang w:val="ro-RO"/>
              </w:rPr>
            </w:pPr>
            <w:r w:rsidRPr="0027619C">
              <w:rPr>
                <w:rFonts w:ascii="Times New Roman" w:hAnsi="Times New Roman" w:cs="Times New Roman"/>
                <w:sz w:val="20"/>
                <w:szCs w:val="20"/>
                <w:lang w:val="ro-RO"/>
              </w:rPr>
              <w:t>Îmbunătățirea accesului la servicii de calitate și favorabile incluziunii în educație, formare și învățarea pe tot parcursul vieții prin dezvoltarea infrastructurii</w:t>
            </w:r>
          </w:p>
        </w:tc>
        <w:tc>
          <w:tcPr>
            <w:tcW w:w="310" w:type="pct"/>
            <w:vMerge w:val="restart"/>
            <w:tcBorders>
              <w:top w:val="single" w:sz="4" w:space="0" w:color="auto"/>
              <w:left w:val="single" w:sz="4" w:space="0" w:color="auto"/>
              <w:right w:val="single" w:sz="4" w:space="0" w:color="auto"/>
            </w:tcBorders>
          </w:tcPr>
          <w:p w:rsidR="008B5909" w:rsidRPr="0027619C" w:rsidRDefault="008B5909" w:rsidP="00657C41">
            <w:pPr>
              <w:pStyle w:val="Default"/>
              <w:rPr>
                <w:rFonts w:ascii="Times New Roman" w:hAnsi="Times New Roman" w:cs="Times New Roman"/>
                <w:sz w:val="20"/>
                <w:szCs w:val="20"/>
                <w:lang w:val="ro-RO"/>
              </w:rPr>
            </w:pPr>
            <w:r w:rsidRPr="0027619C">
              <w:rPr>
                <w:rFonts w:ascii="Times New Roman" w:hAnsi="Times New Roman" w:cs="Times New Roman"/>
                <w:sz w:val="20"/>
                <w:szCs w:val="20"/>
                <w:lang w:val="ro-RO"/>
              </w:rPr>
              <w:t>FEDR</w:t>
            </w:r>
          </w:p>
        </w:tc>
        <w:tc>
          <w:tcPr>
            <w:tcW w:w="400" w:type="pct"/>
            <w:vMerge w:val="restart"/>
            <w:tcBorders>
              <w:top w:val="single" w:sz="4" w:space="0" w:color="auto"/>
              <w:left w:val="single" w:sz="4" w:space="0" w:color="auto"/>
              <w:right w:val="single" w:sz="4" w:space="0" w:color="auto"/>
            </w:tcBorders>
          </w:tcPr>
          <w:p w:rsidR="008B5909" w:rsidRPr="0027619C" w:rsidRDefault="008B5909" w:rsidP="00657C41">
            <w:pPr>
              <w:pStyle w:val="Default"/>
              <w:rPr>
                <w:rFonts w:ascii="Times New Roman" w:hAnsi="Times New Roman" w:cs="Times New Roman"/>
                <w:sz w:val="20"/>
                <w:szCs w:val="20"/>
                <w:lang w:val="ro-RO"/>
              </w:rPr>
            </w:pPr>
            <w:r>
              <w:rPr>
                <w:rFonts w:ascii="Times New Roman" w:hAnsi="Times New Roman" w:cs="Times New Roman"/>
                <w:sz w:val="20"/>
                <w:szCs w:val="20"/>
                <w:lang w:val="ro-RO"/>
              </w:rPr>
              <w:t>Mai puțin d</w:t>
            </w:r>
            <w:r w:rsidRPr="0027619C">
              <w:rPr>
                <w:rFonts w:ascii="Times New Roman" w:hAnsi="Times New Roman" w:cs="Times New Roman"/>
                <w:sz w:val="20"/>
                <w:szCs w:val="20"/>
                <w:lang w:val="ro-RO"/>
              </w:rPr>
              <w:t>ezvoltate</w:t>
            </w:r>
          </w:p>
        </w:tc>
        <w:tc>
          <w:tcPr>
            <w:tcW w:w="278" w:type="pct"/>
            <w:tcBorders>
              <w:top w:val="single" w:sz="4" w:space="0" w:color="auto"/>
              <w:left w:val="single" w:sz="4" w:space="0" w:color="auto"/>
              <w:bottom w:val="single" w:sz="4" w:space="0" w:color="auto"/>
              <w:right w:val="single" w:sz="4" w:space="0" w:color="auto"/>
            </w:tcBorders>
          </w:tcPr>
          <w:p w:rsidR="008B5909" w:rsidRPr="0027619C" w:rsidRDefault="008B5909" w:rsidP="00657C41">
            <w:pPr>
              <w:pStyle w:val="Default"/>
              <w:rPr>
                <w:rFonts w:ascii="Times New Roman" w:hAnsi="Times New Roman" w:cs="Times New Roman"/>
                <w:sz w:val="20"/>
                <w:szCs w:val="20"/>
                <w:lang w:val="ro-RO"/>
              </w:rPr>
            </w:pPr>
            <w:r w:rsidRPr="0027619C">
              <w:rPr>
                <w:rFonts w:ascii="Times New Roman" w:hAnsi="Times New Roman" w:cs="Times New Roman"/>
                <w:sz w:val="20"/>
                <w:szCs w:val="20"/>
                <w:lang w:val="ro-RO"/>
              </w:rPr>
              <w:t>RCR 70</w:t>
            </w:r>
          </w:p>
        </w:tc>
        <w:tc>
          <w:tcPr>
            <w:tcW w:w="510" w:type="pct"/>
            <w:tcBorders>
              <w:top w:val="single" w:sz="4" w:space="0" w:color="auto"/>
              <w:left w:val="single" w:sz="4" w:space="0" w:color="auto"/>
              <w:bottom w:val="single" w:sz="4" w:space="0" w:color="auto"/>
              <w:right w:val="single" w:sz="4" w:space="0" w:color="auto"/>
            </w:tcBorders>
          </w:tcPr>
          <w:p w:rsidR="008B5909" w:rsidRPr="0027619C" w:rsidRDefault="008B5909" w:rsidP="00657C41">
            <w:pPr>
              <w:pStyle w:val="Default"/>
              <w:rPr>
                <w:rFonts w:ascii="Times New Roman" w:hAnsi="Times New Roman" w:cs="Times New Roman"/>
                <w:sz w:val="20"/>
                <w:szCs w:val="20"/>
                <w:lang w:val="ro-RO"/>
              </w:rPr>
            </w:pPr>
            <w:r w:rsidRPr="0027619C">
              <w:rPr>
                <w:rFonts w:ascii="Times New Roman" w:hAnsi="Times New Roman" w:cs="Times New Roman"/>
                <w:sz w:val="20"/>
                <w:szCs w:val="20"/>
                <w:lang w:val="ro-RO"/>
              </w:rPr>
              <w:t>Numărul anual al copiilor care utilizează infrastructurile pentru îngrijirea copiilor ce beneficiază de sprijin</w:t>
            </w:r>
          </w:p>
        </w:tc>
        <w:tc>
          <w:tcPr>
            <w:tcW w:w="536" w:type="pct"/>
            <w:tcBorders>
              <w:top w:val="single" w:sz="4" w:space="0" w:color="auto"/>
              <w:left w:val="single" w:sz="4" w:space="0" w:color="auto"/>
              <w:bottom w:val="single" w:sz="4" w:space="0" w:color="auto"/>
              <w:right w:val="single" w:sz="4" w:space="0" w:color="auto"/>
            </w:tcBorders>
          </w:tcPr>
          <w:p w:rsidR="008B5909" w:rsidRPr="00F000AD" w:rsidRDefault="008B5909" w:rsidP="00657C41">
            <w:pPr>
              <w:rPr>
                <w:i/>
                <w:lang w:val="en-US"/>
              </w:rPr>
            </w:pPr>
            <w:r>
              <w:rPr>
                <w:i/>
                <w:lang w:val="en-US"/>
              </w:rPr>
              <w:t>Nr persoane</w:t>
            </w:r>
          </w:p>
        </w:tc>
        <w:tc>
          <w:tcPr>
            <w:tcW w:w="417" w:type="pct"/>
            <w:tcBorders>
              <w:top w:val="single" w:sz="4" w:space="0" w:color="auto"/>
              <w:left w:val="single" w:sz="4" w:space="0" w:color="auto"/>
              <w:bottom w:val="single" w:sz="4" w:space="0" w:color="auto"/>
              <w:right w:val="single" w:sz="4" w:space="0" w:color="auto"/>
            </w:tcBorders>
          </w:tcPr>
          <w:p w:rsidR="008B5909" w:rsidRPr="00F000AD" w:rsidRDefault="008B5909" w:rsidP="00657C41">
            <w:pPr>
              <w:rPr>
                <w:i/>
                <w:lang w:val="en-US"/>
              </w:rPr>
            </w:pPr>
          </w:p>
        </w:tc>
        <w:tc>
          <w:tcPr>
            <w:tcW w:w="430" w:type="pct"/>
            <w:tcBorders>
              <w:top w:val="single" w:sz="4" w:space="0" w:color="auto"/>
              <w:left w:val="single" w:sz="4" w:space="0" w:color="auto"/>
              <w:bottom w:val="single" w:sz="4" w:space="0" w:color="auto"/>
              <w:right w:val="single" w:sz="4" w:space="0" w:color="auto"/>
            </w:tcBorders>
          </w:tcPr>
          <w:p w:rsidR="008B5909" w:rsidRPr="00F000AD" w:rsidRDefault="008B5909" w:rsidP="00657C41">
            <w:pPr>
              <w:rPr>
                <w:b/>
                <w:lang w:val="en-US"/>
              </w:rPr>
            </w:pPr>
            <w:r>
              <w:rPr>
                <w:b/>
                <w:lang w:val="en-US"/>
              </w:rPr>
              <w:t>2020-2027</w:t>
            </w:r>
          </w:p>
        </w:tc>
        <w:tc>
          <w:tcPr>
            <w:tcW w:w="332" w:type="pct"/>
            <w:tcBorders>
              <w:top w:val="single" w:sz="4" w:space="0" w:color="auto"/>
              <w:left w:val="single" w:sz="4" w:space="0" w:color="auto"/>
              <w:bottom w:val="single" w:sz="4" w:space="0" w:color="auto"/>
              <w:right w:val="single" w:sz="4" w:space="0" w:color="auto"/>
            </w:tcBorders>
          </w:tcPr>
          <w:p w:rsidR="008B5909" w:rsidRPr="00F000AD" w:rsidRDefault="008B5909" w:rsidP="00657C41">
            <w:pPr>
              <w:rPr>
                <w:b/>
                <w:lang w:val="en-US"/>
              </w:rPr>
            </w:pPr>
            <w:r>
              <w:rPr>
                <w:b/>
                <w:lang w:val="en-US"/>
              </w:rPr>
              <w:t>1085</w:t>
            </w:r>
          </w:p>
        </w:tc>
        <w:tc>
          <w:tcPr>
            <w:tcW w:w="594" w:type="pct"/>
            <w:tcBorders>
              <w:top w:val="single" w:sz="4" w:space="0" w:color="auto"/>
              <w:left w:val="single" w:sz="4" w:space="0" w:color="auto"/>
              <w:bottom w:val="single" w:sz="4" w:space="0" w:color="auto"/>
              <w:right w:val="single" w:sz="4" w:space="0" w:color="auto"/>
            </w:tcBorders>
          </w:tcPr>
          <w:p w:rsidR="008B5909" w:rsidRPr="00F000AD" w:rsidRDefault="008B5909" w:rsidP="00657C41">
            <w:pPr>
              <w:rPr>
                <w:i/>
                <w:lang w:val="en-US"/>
              </w:rPr>
            </w:pPr>
            <w:r>
              <w:rPr>
                <w:i/>
                <w:lang w:val="en-US"/>
              </w:rPr>
              <w:t>Beneficiarii proiectelor prin declaratia din cerereile de finantare/ ISJ dupa caz</w:t>
            </w:r>
          </w:p>
        </w:tc>
        <w:tc>
          <w:tcPr>
            <w:tcW w:w="398" w:type="pct"/>
            <w:tcBorders>
              <w:top w:val="single" w:sz="4" w:space="0" w:color="auto"/>
              <w:left w:val="single" w:sz="4" w:space="0" w:color="auto"/>
              <w:bottom w:val="single" w:sz="4" w:space="0" w:color="auto"/>
              <w:right w:val="single" w:sz="4" w:space="0" w:color="auto"/>
            </w:tcBorders>
          </w:tcPr>
          <w:p w:rsidR="008B5909" w:rsidRPr="00F000AD" w:rsidRDefault="008B5909" w:rsidP="00657C41">
            <w:pPr>
              <w:rPr>
                <w:i/>
                <w:lang w:val="en-US"/>
              </w:rPr>
            </w:pPr>
          </w:p>
        </w:tc>
      </w:tr>
      <w:tr w:rsidR="008B5909" w:rsidRPr="00F000AD" w:rsidTr="008B5909">
        <w:trPr>
          <w:trHeight w:val="434"/>
        </w:trPr>
        <w:tc>
          <w:tcPr>
            <w:tcW w:w="310" w:type="pct"/>
            <w:vMerge/>
            <w:tcBorders>
              <w:left w:val="single" w:sz="4" w:space="0" w:color="auto"/>
              <w:bottom w:val="single" w:sz="4" w:space="0" w:color="auto"/>
              <w:right w:val="single" w:sz="4" w:space="0" w:color="auto"/>
            </w:tcBorders>
          </w:tcPr>
          <w:p w:rsidR="008B5909" w:rsidRPr="0027619C" w:rsidRDefault="008B5909" w:rsidP="00657C41">
            <w:pPr>
              <w:pStyle w:val="Default"/>
              <w:rPr>
                <w:rFonts w:ascii="Times New Roman" w:hAnsi="Times New Roman" w:cs="Times New Roman"/>
                <w:sz w:val="20"/>
                <w:szCs w:val="20"/>
              </w:rPr>
            </w:pPr>
          </w:p>
        </w:tc>
        <w:tc>
          <w:tcPr>
            <w:tcW w:w="485" w:type="pct"/>
            <w:vMerge/>
            <w:tcBorders>
              <w:left w:val="single" w:sz="4" w:space="0" w:color="auto"/>
              <w:bottom w:val="single" w:sz="4" w:space="0" w:color="auto"/>
              <w:right w:val="single" w:sz="4" w:space="0" w:color="auto"/>
            </w:tcBorders>
          </w:tcPr>
          <w:p w:rsidR="008B5909" w:rsidRPr="0027619C" w:rsidRDefault="008B5909" w:rsidP="00657C41">
            <w:pPr>
              <w:pStyle w:val="Default"/>
              <w:rPr>
                <w:rFonts w:ascii="Times New Roman" w:hAnsi="Times New Roman" w:cs="Times New Roman"/>
                <w:sz w:val="20"/>
                <w:szCs w:val="20"/>
                <w:lang w:val="ro-RO"/>
              </w:rPr>
            </w:pPr>
          </w:p>
        </w:tc>
        <w:tc>
          <w:tcPr>
            <w:tcW w:w="310" w:type="pct"/>
            <w:vMerge/>
            <w:tcBorders>
              <w:left w:val="single" w:sz="4" w:space="0" w:color="auto"/>
              <w:bottom w:val="single" w:sz="4" w:space="0" w:color="auto"/>
              <w:right w:val="single" w:sz="4" w:space="0" w:color="auto"/>
            </w:tcBorders>
          </w:tcPr>
          <w:p w:rsidR="008B5909" w:rsidRPr="0027619C" w:rsidRDefault="008B5909" w:rsidP="00657C41">
            <w:pPr>
              <w:pStyle w:val="Default"/>
              <w:rPr>
                <w:rFonts w:ascii="Times New Roman" w:hAnsi="Times New Roman" w:cs="Times New Roman"/>
                <w:sz w:val="20"/>
                <w:szCs w:val="20"/>
                <w:lang w:val="ro-RO"/>
              </w:rPr>
            </w:pPr>
          </w:p>
        </w:tc>
        <w:tc>
          <w:tcPr>
            <w:tcW w:w="400" w:type="pct"/>
            <w:vMerge/>
            <w:tcBorders>
              <w:left w:val="single" w:sz="4" w:space="0" w:color="auto"/>
              <w:bottom w:val="single" w:sz="4" w:space="0" w:color="auto"/>
              <w:right w:val="single" w:sz="4" w:space="0" w:color="auto"/>
            </w:tcBorders>
          </w:tcPr>
          <w:p w:rsidR="008B5909" w:rsidRDefault="008B5909" w:rsidP="00657C41">
            <w:pPr>
              <w:pStyle w:val="Default"/>
              <w:rPr>
                <w:rFonts w:ascii="Times New Roman" w:hAnsi="Times New Roman" w:cs="Times New Roman"/>
                <w:sz w:val="20"/>
                <w:szCs w:val="20"/>
                <w:lang w:val="ro-RO"/>
              </w:rPr>
            </w:pPr>
          </w:p>
        </w:tc>
        <w:tc>
          <w:tcPr>
            <w:tcW w:w="278" w:type="pct"/>
            <w:tcBorders>
              <w:top w:val="single" w:sz="4" w:space="0" w:color="auto"/>
              <w:left w:val="single" w:sz="4" w:space="0" w:color="auto"/>
              <w:bottom w:val="single" w:sz="4" w:space="0" w:color="auto"/>
              <w:right w:val="single" w:sz="4" w:space="0" w:color="auto"/>
            </w:tcBorders>
          </w:tcPr>
          <w:p w:rsidR="008B5909" w:rsidRPr="0027619C" w:rsidRDefault="008B5909" w:rsidP="00657C41">
            <w:pPr>
              <w:pStyle w:val="Default"/>
              <w:rPr>
                <w:rFonts w:ascii="Times New Roman" w:hAnsi="Times New Roman" w:cs="Times New Roman"/>
                <w:sz w:val="20"/>
                <w:szCs w:val="20"/>
                <w:lang w:val="ro-RO"/>
              </w:rPr>
            </w:pPr>
            <w:r w:rsidRPr="0027619C">
              <w:rPr>
                <w:rFonts w:ascii="Times New Roman" w:hAnsi="Times New Roman" w:cs="Times New Roman"/>
                <w:sz w:val="20"/>
                <w:szCs w:val="20"/>
                <w:lang w:val="ro-RO"/>
              </w:rPr>
              <w:t>RCR 71</w:t>
            </w:r>
          </w:p>
        </w:tc>
        <w:tc>
          <w:tcPr>
            <w:tcW w:w="510" w:type="pct"/>
            <w:tcBorders>
              <w:top w:val="single" w:sz="4" w:space="0" w:color="auto"/>
              <w:left w:val="single" w:sz="4" w:space="0" w:color="auto"/>
              <w:bottom w:val="single" w:sz="4" w:space="0" w:color="auto"/>
              <w:right w:val="single" w:sz="4" w:space="0" w:color="auto"/>
            </w:tcBorders>
          </w:tcPr>
          <w:p w:rsidR="008B5909" w:rsidRPr="0027619C" w:rsidRDefault="008B5909" w:rsidP="00657C41">
            <w:pPr>
              <w:pStyle w:val="Default"/>
              <w:rPr>
                <w:rFonts w:ascii="Times New Roman" w:hAnsi="Times New Roman" w:cs="Times New Roman"/>
                <w:sz w:val="20"/>
                <w:szCs w:val="20"/>
                <w:lang w:val="ro-RO"/>
              </w:rPr>
            </w:pPr>
            <w:r w:rsidRPr="0027619C">
              <w:rPr>
                <w:rFonts w:ascii="Times New Roman" w:hAnsi="Times New Roman" w:cs="Times New Roman"/>
                <w:sz w:val="20"/>
                <w:szCs w:val="20"/>
                <w:lang w:val="ro-RO"/>
              </w:rPr>
              <w:t>Numărul anual al elevilor care utilizează infrastructurile din domeniul învățămâ</w:t>
            </w:r>
            <w:r w:rsidRPr="0027619C">
              <w:rPr>
                <w:rFonts w:ascii="Times New Roman" w:hAnsi="Times New Roman" w:cs="Times New Roman"/>
                <w:sz w:val="20"/>
                <w:szCs w:val="20"/>
                <w:lang w:val="ro-RO"/>
              </w:rPr>
              <w:lastRenderedPageBreak/>
              <w:t>ntului ce beneficiază de sprijin</w:t>
            </w:r>
          </w:p>
        </w:tc>
        <w:tc>
          <w:tcPr>
            <w:tcW w:w="536" w:type="pct"/>
            <w:tcBorders>
              <w:top w:val="single" w:sz="4" w:space="0" w:color="auto"/>
              <w:left w:val="single" w:sz="4" w:space="0" w:color="auto"/>
              <w:bottom w:val="single" w:sz="4" w:space="0" w:color="auto"/>
              <w:right w:val="single" w:sz="4" w:space="0" w:color="auto"/>
            </w:tcBorders>
          </w:tcPr>
          <w:p w:rsidR="008B5909" w:rsidRPr="00F000AD" w:rsidRDefault="008B5909" w:rsidP="00657C41">
            <w:pPr>
              <w:rPr>
                <w:i/>
                <w:lang w:val="en-US"/>
              </w:rPr>
            </w:pPr>
            <w:r w:rsidRPr="00D91948">
              <w:rPr>
                <w:i/>
                <w:lang w:val="en-US"/>
              </w:rPr>
              <w:lastRenderedPageBreak/>
              <w:t>Nr persoane</w:t>
            </w:r>
          </w:p>
        </w:tc>
        <w:tc>
          <w:tcPr>
            <w:tcW w:w="417" w:type="pct"/>
            <w:tcBorders>
              <w:top w:val="single" w:sz="4" w:space="0" w:color="auto"/>
              <w:left w:val="single" w:sz="4" w:space="0" w:color="auto"/>
              <w:bottom w:val="single" w:sz="4" w:space="0" w:color="auto"/>
              <w:right w:val="single" w:sz="4" w:space="0" w:color="auto"/>
            </w:tcBorders>
          </w:tcPr>
          <w:p w:rsidR="008B5909" w:rsidRPr="00F000AD" w:rsidRDefault="008B5909" w:rsidP="00657C41">
            <w:pPr>
              <w:rPr>
                <w:i/>
                <w:lang w:val="en-US"/>
              </w:rPr>
            </w:pPr>
          </w:p>
        </w:tc>
        <w:tc>
          <w:tcPr>
            <w:tcW w:w="430" w:type="pct"/>
            <w:tcBorders>
              <w:top w:val="single" w:sz="4" w:space="0" w:color="auto"/>
              <w:left w:val="single" w:sz="4" w:space="0" w:color="auto"/>
              <w:bottom w:val="single" w:sz="4" w:space="0" w:color="auto"/>
              <w:right w:val="single" w:sz="4" w:space="0" w:color="auto"/>
            </w:tcBorders>
          </w:tcPr>
          <w:p w:rsidR="008B5909" w:rsidRPr="00F000AD" w:rsidRDefault="008B5909" w:rsidP="00657C41">
            <w:pPr>
              <w:rPr>
                <w:b/>
                <w:lang w:val="en-US"/>
              </w:rPr>
            </w:pPr>
          </w:p>
        </w:tc>
        <w:tc>
          <w:tcPr>
            <w:tcW w:w="332" w:type="pct"/>
            <w:tcBorders>
              <w:top w:val="single" w:sz="4" w:space="0" w:color="auto"/>
              <w:left w:val="single" w:sz="4" w:space="0" w:color="auto"/>
              <w:bottom w:val="single" w:sz="4" w:space="0" w:color="auto"/>
              <w:right w:val="single" w:sz="4" w:space="0" w:color="auto"/>
            </w:tcBorders>
          </w:tcPr>
          <w:p w:rsidR="008B5909" w:rsidRPr="00F000AD" w:rsidRDefault="008B5909" w:rsidP="005A114F">
            <w:pPr>
              <w:rPr>
                <w:b/>
                <w:lang w:val="en-US"/>
              </w:rPr>
            </w:pPr>
            <w:r>
              <w:rPr>
                <w:b/>
                <w:lang w:val="en-US"/>
              </w:rPr>
              <w:t>3</w:t>
            </w:r>
            <w:r w:rsidR="005A114F">
              <w:rPr>
                <w:b/>
                <w:lang w:val="en-US"/>
              </w:rPr>
              <w:t>967</w:t>
            </w:r>
          </w:p>
        </w:tc>
        <w:tc>
          <w:tcPr>
            <w:tcW w:w="594" w:type="pct"/>
            <w:tcBorders>
              <w:top w:val="single" w:sz="4" w:space="0" w:color="auto"/>
              <w:left w:val="single" w:sz="4" w:space="0" w:color="auto"/>
              <w:bottom w:val="single" w:sz="4" w:space="0" w:color="auto"/>
              <w:right w:val="single" w:sz="4" w:space="0" w:color="auto"/>
            </w:tcBorders>
          </w:tcPr>
          <w:p w:rsidR="008B5909" w:rsidRPr="00F000AD" w:rsidRDefault="008B5909" w:rsidP="00657C41">
            <w:pPr>
              <w:rPr>
                <w:i/>
                <w:lang w:val="en-US"/>
              </w:rPr>
            </w:pPr>
            <w:r>
              <w:rPr>
                <w:i/>
                <w:lang w:val="en-US"/>
              </w:rPr>
              <w:t xml:space="preserve">Beneficiarii proiectelor prin declaratia din cerereile </w:t>
            </w:r>
            <w:r>
              <w:rPr>
                <w:i/>
                <w:lang w:val="en-US"/>
              </w:rPr>
              <w:lastRenderedPageBreak/>
              <w:t>de finantare/ ISJ dupa caz</w:t>
            </w:r>
          </w:p>
        </w:tc>
        <w:tc>
          <w:tcPr>
            <w:tcW w:w="398" w:type="pct"/>
            <w:tcBorders>
              <w:top w:val="single" w:sz="4" w:space="0" w:color="auto"/>
              <w:left w:val="single" w:sz="4" w:space="0" w:color="auto"/>
              <w:bottom w:val="single" w:sz="4" w:space="0" w:color="auto"/>
              <w:right w:val="single" w:sz="4" w:space="0" w:color="auto"/>
            </w:tcBorders>
          </w:tcPr>
          <w:p w:rsidR="008B5909" w:rsidRPr="00F000AD" w:rsidRDefault="008B5909" w:rsidP="00657C41">
            <w:pPr>
              <w:rPr>
                <w:i/>
                <w:lang w:val="en-US"/>
              </w:rPr>
            </w:pPr>
          </w:p>
        </w:tc>
      </w:tr>
      <w:tr w:rsidR="008B5909" w:rsidRPr="00F000AD" w:rsidTr="008B5909">
        <w:trPr>
          <w:trHeight w:val="286"/>
        </w:trPr>
        <w:tc>
          <w:tcPr>
            <w:tcW w:w="310" w:type="pct"/>
            <w:tcBorders>
              <w:top w:val="single" w:sz="4" w:space="0" w:color="auto"/>
              <w:left w:val="single" w:sz="4" w:space="0" w:color="auto"/>
              <w:bottom w:val="single" w:sz="4" w:space="0" w:color="auto"/>
              <w:right w:val="single" w:sz="4" w:space="0" w:color="auto"/>
            </w:tcBorders>
          </w:tcPr>
          <w:p w:rsidR="008B5909" w:rsidRPr="0027619C" w:rsidRDefault="008B5909" w:rsidP="00657C41">
            <w:pPr>
              <w:jc w:val="both"/>
              <w:rPr>
                <w:rFonts w:ascii="Times New Roman" w:hAnsi="Times New Roman" w:cs="Times New Roman"/>
                <w:sz w:val="20"/>
                <w:szCs w:val="20"/>
              </w:rPr>
            </w:pPr>
            <w:r>
              <w:rPr>
                <w:rFonts w:ascii="Times New Roman" w:hAnsi="Times New Roman" w:cs="Times New Roman"/>
                <w:sz w:val="20"/>
                <w:szCs w:val="20"/>
              </w:rPr>
              <w:lastRenderedPageBreak/>
              <w:t>5.2</w:t>
            </w:r>
            <w:r w:rsidRPr="0027619C">
              <w:rPr>
                <w:rFonts w:ascii="Times New Roman" w:hAnsi="Times New Roman" w:cs="Times New Roman"/>
                <w:sz w:val="20"/>
                <w:szCs w:val="20"/>
              </w:rPr>
              <w:t xml:space="preserve"> </w:t>
            </w:r>
          </w:p>
        </w:tc>
        <w:tc>
          <w:tcPr>
            <w:tcW w:w="485" w:type="pct"/>
            <w:tcBorders>
              <w:top w:val="single" w:sz="4" w:space="0" w:color="auto"/>
              <w:left w:val="single" w:sz="4" w:space="0" w:color="auto"/>
              <w:bottom w:val="single" w:sz="4" w:space="0" w:color="auto"/>
              <w:right w:val="single" w:sz="4" w:space="0" w:color="auto"/>
            </w:tcBorders>
          </w:tcPr>
          <w:p w:rsidR="008B5909" w:rsidRPr="0027619C" w:rsidRDefault="008B5909" w:rsidP="00657C41">
            <w:pPr>
              <w:pStyle w:val="Default"/>
              <w:rPr>
                <w:rFonts w:ascii="Times New Roman" w:hAnsi="Times New Roman" w:cs="Times New Roman"/>
                <w:sz w:val="20"/>
                <w:szCs w:val="20"/>
                <w:lang w:val="ro-RO"/>
              </w:rPr>
            </w:pPr>
            <w:r w:rsidRPr="0027619C">
              <w:rPr>
                <w:rFonts w:ascii="Times New Roman" w:hAnsi="Times New Roman" w:cs="Times New Roman"/>
                <w:sz w:val="20"/>
                <w:szCs w:val="20"/>
                <w:lang w:val="ro-RO"/>
              </w:rPr>
              <w:t>Îmbunătățirea accesului la servicii de calitate și favorabile incluziunii în educație, formare și învățarea pe tot parcursul vieții prin dezvoltarea infrastructurii</w:t>
            </w:r>
          </w:p>
        </w:tc>
        <w:tc>
          <w:tcPr>
            <w:tcW w:w="310" w:type="pct"/>
            <w:tcBorders>
              <w:top w:val="single" w:sz="4" w:space="0" w:color="auto"/>
              <w:left w:val="single" w:sz="4" w:space="0" w:color="auto"/>
              <w:bottom w:val="single" w:sz="4" w:space="0" w:color="auto"/>
              <w:right w:val="single" w:sz="4" w:space="0" w:color="auto"/>
            </w:tcBorders>
          </w:tcPr>
          <w:p w:rsidR="008B5909" w:rsidRPr="0027619C" w:rsidRDefault="008B5909" w:rsidP="00657C41">
            <w:pPr>
              <w:pStyle w:val="Default"/>
              <w:rPr>
                <w:rFonts w:ascii="Times New Roman" w:hAnsi="Times New Roman" w:cs="Times New Roman"/>
                <w:sz w:val="20"/>
                <w:szCs w:val="20"/>
                <w:lang w:val="ro-RO"/>
              </w:rPr>
            </w:pPr>
          </w:p>
        </w:tc>
        <w:tc>
          <w:tcPr>
            <w:tcW w:w="400" w:type="pct"/>
            <w:tcBorders>
              <w:top w:val="single" w:sz="4" w:space="0" w:color="auto"/>
              <w:left w:val="single" w:sz="4" w:space="0" w:color="auto"/>
              <w:bottom w:val="single" w:sz="4" w:space="0" w:color="auto"/>
              <w:right w:val="single" w:sz="4" w:space="0" w:color="auto"/>
            </w:tcBorders>
          </w:tcPr>
          <w:p w:rsidR="008B5909" w:rsidRPr="0027619C" w:rsidRDefault="008B5909" w:rsidP="00657C41">
            <w:pPr>
              <w:pStyle w:val="Default"/>
              <w:rPr>
                <w:rFonts w:ascii="Times New Roman" w:hAnsi="Times New Roman" w:cs="Times New Roman"/>
                <w:sz w:val="20"/>
                <w:szCs w:val="20"/>
                <w:lang w:val="ro-RO"/>
              </w:rPr>
            </w:pPr>
            <w:r>
              <w:rPr>
                <w:rFonts w:ascii="Times New Roman" w:hAnsi="Times New Roman" w:cs="Times New Roman"/>
                <w:sz w:val="20"/>
                <w:szCs w:val="20"/>
                <w:lang w:val="ro-RO"/>
              </w:rPr>
              <w:t>Mai puțin d</w:t>
            </w:r>
            <w:r w:rsidRPr="0027619C">
              <w:rPr>
                <w:rFonts w:ascii="Times New Roman" w:hAnsi="Times New Roman" w:cs="Times New Roman"/>
                <w:sz w:val="20"/>
                <w:szCs w:val="20"/>
                <w:lang w:val="ro-RO"/>
              </w:rPr>
              <w:t>ezvoltate</w:t>
            </w:r>
          </w:p>
        </w:tc>
        <w:tc>
          <w:tcPr>
            <w:tcW w:w="278" w:type="pct"/>
            <w:tcBorders>
              <w:top w:val="single" w:sz="4" w:space="0" w:color="auto"/>
              <w:left w:val="single" w:sz="4" w:space="0" w:color="auto"/>
              <w:bottom w:val="single" w:sz="4" w:space="0" w:color="auto"/>
              <w:right w:val="single" w:sz="4" w:space="0" w:color="auto"/>
            </w:tcBorders>
          </w:tcPr>
          <w:p w:rsidR="008B5909" w:rsidRPr="0027619C" w:rsidRDefault="008B5909" w:rsidP="00657C41">
            <w:pPr>
              <w:pStyle w:val="Default"/>
              <w:rPr>
                <w:rFonts w:ascii="Times New Roman" w:hAnsi="Times New Roman" w:cs="Times New Roman"/>
                <w:sz w:val="20"/>
                <w:szCs w:val="20"/>
                <w:lang w:val="ro-RO"/>
              </w:rPr>
            </w:pPr>
            <w:r w:rsidRPr="0027619C">
              <w:rPr>
                <w:rFonts w:ascii="Times New Roman" w:hAnsi="Times New Roman" w:cs="Times New Roman"/>
                <w:sz w:val="20"/>
                <w:szCs w:val="20"/>
                <w:lang w:val="ro-RO"/>
              </w:rPr>
              <w:t>RCR 71</w:t>
            </w:r>
          </w:p>
        </w:tc>
        <w:tc>
          <w:tcPr>
            <w:tcW w:w="510" w:type="pct"/>
            <w:tcBorders>
              <w:top w:val="single" w:sz="4" w:space="0" w:color="auto"/>
              <w:left w:val="single" w:sz="4" w:space="0" w:color="auto"/>
              <w:bottom w:val="single" w:sz="4" w:space="0" w:color="auto"/>
              <w:right w:val="single" w:sz="4" w:space="0" w:color="auto"/>
            </w:tcBorders>
          </w:tcPr>
          <w:p w:rsidR="008B5909" w:rsidRPr="0027619C" w:rsidRDefault="008B5909" w:rsidP="00657C41">
            <w:pPr>
              <w:pStyle w:val="Default"/>
              <w:rPr>
                <w:rFonts w:ascii="Times New Roman" w:hAnsi="Times New Roman" w:cs="Times New Roman"/>
                <w:sz w:val="20"/>
                <w:szCs w:val="20"/>
                <w:lang w:val="ro-RO"/>
              </w:rPr>
            </w:pPr>
            <w:r w:rsidRPr="0027619C">
              <w:rPr>
                <w:rFonts w:ascii="Times New Roman" w:hAnsi="Times New Roman" w:cs="Times New Roman"/>
                <w:sz w:val="20"/>
                <w:szCs w:val="20"/>
                <w:lang w:val="ro-RO"/>
              </w:rPr>
              <w:t>Numărul anual al elevilor care utilizează infrastructurile din domeniul învățământului ce beneficiază de sprijin</w:t>
            </w:r>
          </w:p>
        </w:tc>
        <w:tc>
          <w:tcPr>
            <w:tcW w:w="536" w:type="pct"/>
            <w:tcBorders>
              <w:top w:val="single" w:sz="4" w:space="0" w:color="auto"/>
              <w:left w:val="single" w:sz="4" w:space="0" w:color="auto"/>
              <w:bottom w:val="single" w:sz="4" w:space="0" w:color="auto"/>
              <w:right w:val="single" w:sz="4" w:space="0" w:color="auto"/>
            </w:tcBorders>
          </w:tcPr>
          <w:p w:rsidR="008B5909" w:rsidRPr="00F000AD" w:rsidRDefault="008B5909" w:rsidP="00657C41">
            <w:pPr>
              <w:rPr>
                <w:i/>
                <w:lang w:val="en-US"/>
              </w:rPr>
            </w:pPr>
            <w:r w:rsidRPr="00D91948">
              <w:rPr>
                <w:i/>
                <w:lang w:val="en-US"/>
              </w:rPr>
              <w:t>Nr persoane</w:t>
            </w:r>
          </w:p>
        </w:tc>
        <w:tc>
          <w:tcPr>
            <w:tcW w:w="417" w:type="pct"/>
            <w:tcBorders>
              <w:top w:val="single" w:sz="4" w:space="0" w:color="auto"/>
              <w:left w:val="single" w:sz="4" w:space="0" w:color="auto"/>
              <w:bottom w:val="single" w:sz="4" w:space="0" w:color="auto"/>
              <w:right w:val="single" w:sz="4" w:space="0" w:color="auto"/>
            </w:tcBorders>
          </w:tcPr>
          <w:p w:rsidR="008B5909" w:rsidRPr="00F000AD" w:rsidRDefault="008B5909" w:rsidP="00657C41">
            <w:pPr>
              <w:rPr>
                <w:i/>
                <w:lang w:val="en-US"/>
              </w:rPr>
            </w:pPr>
          </w:p>
        </w:tc>
        <w:tc>
          <w:tcPr>
            <w:tcW w:w="430" w:type="pct"/>
            <w:tcBorders>
              <w:top w:val="single" w:sz="4" w:space="0" w:color="auto"/>
              <w:left w:val="single" w:sz="4" w:space="0" w:color="auto"/>
              <w:bottom w:val="single" w:sz="4" w:space="0" w:color="auto"/>
              <w:right w:val="single" w:sz="4" w:space="0" w:color="auto"/>
            </w:tcBorders>
          </w:tcPr>
          <w:p w:rsidR="008B5909" w:rsidRPr="00F000AD" w:rsidRDefault="008B5909" w:rsidP="00657C41">
            <w:pPr>
              <w:rPr>
                <w:b/>
                <w:lang w:val="en-US"/>
              </w:rPr>
            </w:pPr>
          </w:p>
        </w:tc>
        <w:tc>
          <w:tcPr>
            <w:tcW w:w="332" w:type="pct"/>
            <w:tcBorders>
              <w:top w:val="single" w:sz="4" w:space="0" w:color="auto"/>
              <w:left w:val="single" w:sz="4" w:space="0" w:color="auto"/>
              <w:bottom w:val="single" w:sz="4" w:space="0" w:color="auto"/>
              <w:right w:val="single" w:sz="4" w:space="0" w:color="auto"/>
            </w:tcBorders>
          </w:tcPr>
          <w:p w:rsidR="008B5909" w:rsidRPr="00F000AD" w:rsidRDefault="008B5909" w:rsidP="005A114F">
            <w:pPr>
              <w:rPr>
                <w:b/>
                <w:lang w:val="en-US"/>
              </w:rPr>
            </w:pPr>
            <w:r>
              <w:rPr>
                <w:b/>
                <w:lang w:val="en-US"/>
              </w:rPr>
              <w:t>1</w:t>
            </w:r>
            <w:r w:rsidR="005A114F">
              <w:rPr>
                <w:b/>
                <w:lang w:val="en-US"/>
              </w:rPr>
              <w:t>129</w:t>
            </w:r>
          </w:p>
        </w:tc>
        <w:tc>
          <w:tcPr>
            <w:tcW w:w="594" w:type="pct"/>
            <w:tcBorders>
              <w:top w:val="single" w:sz="4" w:space="0" w:color="auto"/>
              <w:left w:val="single" w:sz="4" w:space="0" w:color="auto"/>
              <w:bottom w:val="single" w:sz="4" w:space="0" w:color="auto"/>
              <w:right w:val="single" w:sz="4" w:space="0" w:color="auto"/>
            </w:tcBorders>
          </w:tcPr>
          <w:p w:rsidR="008B5909" w:rsidRPr="00F000AD" w:rsidRDefault="008B5909" w:rsidP="00657C41">
            <w:pPr>
              <w:rPr>
                <w:i/>
                <w:lang w:val="en-US"/>
              </w:rPr>
            </w:pPr>
            <w:r>
              <w:rPr>
                <w:i/>
                <w:lang w:val="en-US"/>
              </w:rPr>
              <w:t>Beneficiarii proiectelor prin declaratia din cerereile de finantare/ ISJ dupa caz</w:t>
            </w:r>
          </w:p>
        </w:tc>
        <w:tc>
          <w:tcPr>
            <w:tcW w:w="398" w:type="pct"/>
            <w:tcBorders>
              <w:top w:val="single" w:sz="4" w:space="0" w:color="auto"/>
              <w:left w:val="single" w:sz="4" w:space="0" w:color="auto"/>
              <w:bottom w:val="single" w:sz="4" w:space="0" w:color="auto"/>
              <w:right w:val="single" w:sz="4" w:space="0" w:color="auto"/>
            </w:tcBorders>
          </w:tcPr>
          <w:p w:rsidR="008B5909" w:rsidRPr="00F000AD" w:rsidRDefault="008B5909" w:rsidP="00657C41">
            <w:pPr>
              <w:rPr>
                <w:i/>
                <w:lang w:val="en-US"/>
              </w:rPr>
            </w:pPr>
          </w:p>
        </w:tc>
      </w:tr>
      <w:tr w:rsidR="008B5909" w:rsidRPr="00F000AD" w:rsidTr="008B5909">
        <w:trPr>
          <w:trHeight w:val="286"/>
        </w:trPr>
        <w:tc>
          <w:tcPr>
            <w:tcW w:w="310" w:type="pct"/>
            <w:tcBorders>
              <w:top w:val="single" w:sz="4" w:space="0" w:color="auto"/>
              <w:left w:val="single" w:sz="4" w:space="0" w:color="auto"/>
              <w:bottom w:val="single" w:sz="4" w:space="0" w:color="auto"/>
              <w:right w:val="single" w:sz="4" w:space="0" w:color="auto"/>
            </w:tcBorders>
          </w:tcPr>
          <w:p w:rsidR="008B5909" w:rsidRPr="0027619C" w:rsidRDefault="008B5909" w:rsidP="00657C41">
            <w:pPr>
              <w:jc w:val="both"/>
              <w:rPr>
                <w:rFonts w:ascii="Times New Roman" w:hAnsi="Times New Roman" w:cs="Times New Roman"/>
                <w:sz w:val="20"/>
                <w:szCs w:val="20"/>
              </w:rPr>
            </w:pPr>
            <w:r>
              <w:rPr>
                <w:rFonts w:ascii="Times New Roman" w:hAnsi="Times New Roman" w:cs="Times New Roman"/>
                <w:sz w:val="20"/>
                <w:szCs w:val="20"/>
              </w:rPr>
              <w:t>5.3</w:t>
            </w:r>
          </w:p>
        </w:tc>
        <w:tc>
          <w:tcPr>
            <w:tcW w:w="485" w:type="pct"/>
            <w:tcBorders>
              <w:top w:val="single" w:sz="4" w:space="0" w:color="auto"/>
              <w:left w:val="single" w:sz="4" w:space="0" w:color="auto"/>
              <w:bottom w:val="single" w:sz="4" w:space="0" w:color="auto"/>
              <w:right w:val="single" w:sz="4" w:space="0" w:color="auto"/>
            </w:tcBorders>
          </w:tcPr>
          <w:p w:rsidR="008B5909" w:rsidRPr="0027619C" w:rsidRDefault="008B5909" w:rsidP="00657C41">
            <w:pPr>
              <w:pStyle w:val="Default"/>
              <w:rPr>
                <w:rFonts w:ascii="Times New Roman" w:hAnsi="Times New Roman" w:cs="Times New Roman"/>
                <w:sz w:val="20"/>
                <w:szCs w:val="20"/>
                <w:lang w:val="ro-RO"/>
              </w:rPr>
            </w:pPr>
          </w:p>
        </w:tc>
        <w:tc>
          <w:tcPr>
            <w:tcW w:w="310" w:type="pct"/>
            <w:tcBorders>
              <w:top w:val="single" w:sz="4" w:space="0" w:color="auto"/>
              <w:left w:val="single" w:sz="4" w:space="0" w:color="auto"/>
              <w:bottom w:val="single" w:sz="4" w:space="0" w:color="auto"/>
              <w:right w:val="single" w:sz="4" w:space="0" w:color="auto"/>
            </w:tcBorders>
          </w:tcPr>
          <w:p w:rsidR="008B5909" w:rsidRPr="0027619C" w:rsidRDefault="008B5909" w:rsidP="00657C41">
            <w:pPr>
              <w:pStyle w:val="Default"/>
              <w:rPr>
                <w:rFonts w:ascii="Times New Roman" w:hAnsi="Times New Roman" w:cs="Times New Roman"/>
                <w:sz w:val="20"/>
                <w:szCs w:val="20"/>
                <w:lang w:val="ro-RO"/>
              </w:rPr>
            </w:pPr>
            <w:r w:rsidRPr="0027619C">
              <w:rPr>
                <w:rFonts w:ascii="Times New Roman" w:hAnsi="Times New Roman" w:cs="Times New Roman"/>
                <w:sz w:val="20"/>
                <w:szCs w:val="20"/>
                <w:lang w:val="ro-RO"/>
              </w:rPr>
              <w:t>FEDR</w:t>
            </w:r>
          </w:p>
        </w:tc>
        <w:tc>
          <w:tcPr>
            <w:tcW w:w="400" w:type="pct"/>
            <w:tcBorders>
              <w:top w:val="single" w:sz="4" w:space="0" w:color="auto"/>
              <w:left w:val="single" w:sz="4" w:space="0" w:color="auto"/>
              <w:bottom w:val="single" w:sz="4" w:space="0" w:color="auto"/>
              <w:right w:val="single" w:sz="4" w:space="0" w:color="auto"/>
            </w:tcBorders>
          </w:tcPr>
          <w:p w:rsidR="008B5909" w:rsidRPr="0027619C" w:rsidRDefault="008B5909" w:rsidP="00657C41">
            <w:pPr>
              <w:pStyle w:val="Default"/>
              <w:rPr>
                <w:rFonts w:ascii="Times New Roman" w:hAnsi="Times New Roman" w:cs="Times New Roman"/>
                <w:sz w:val="20"/>
                <w:szCs w:val="20"/>
                <w:lang w:val="ro-RO"/>
              </w:rPr>
            </w:pPr>
            <w:r>
              <w:rPr>
                <w:rFonts w:ascii="Times New Roman" w:hAnsi="Times New Roman" w:cs="Times New Roman"/>
                <w:sz w:val="20"/>
                <w:szCs w:val="20"/>
                <w:lang w:val="ro-RO"/>
              </w:rPr>
              <w:t>Mai puțin d</w:t>
            </w:r>
            <w:r w:rsidRPr="0027619C">
              <w:rPr>
                <w:rFonts w:ascii="Times New Roman" w:hAnsi="Times New Roman" w:cs="Times New Roman"/>
                <w:sz w:val="20"/>
                <w:szCs w:val="20"/>
                <w:lang w:val="ro-RO"/>
              </w:rPr>
              <w:t>ezvoltate</w:t>
            </w:r>
          </w:p>
        </w:tc>
        <w:tc>
          <w:tcPr>
            <w:tcW w:w="278" w:type="pct"/>
            <w:tcBorders>
              <w:top w:val="single" w:sz="4" w:space="0" w:color="auto"/>
              <w:left w:val="single" w:sz="4" w:space="0" w:color="auto"/>
              <w:bottom w:val="single" w:sz="4" w:space="0" w:color="auto"/>
              <w:right w:val="single" w:sz="4" w:space="0" w:color="auto"/>
            </w:tcBorders>
          </w:tcPr>
          <w:p w:rsidR="008B5909" w:rsidRPr="0027619C" w:rsidRDefault="008B5909" w:rsidP="00657C41">
            <w:pPr>
              <w:pStyle w:val="Default"/>
              <w:rPr>
                <w:rFonts w:ascii="Times New Roman" w:hAnsi="Times New Roman" w:cs="Times New Roman"/>
                <w:sz w:val="20"/>
                <w:szCs w:val="20"/>
                <w:lang w:val="ro-RO"/>
              </w:rPr>
            </w:pPr>
            <w:r w:rsidRPr="0027619C">
              <w:rPr>
                <w:rFonts w:ascii="Times New Roman" w:hAnsi="Times New Roman" w:cs="Times New Roman"/>
                <w:sz w:val="20"/>
                <w:szCs w:val="20"/>
                <w:lang w:val="ro-RO"/>
              </w:rPr>
              <w:t>RCR 71</w:t>
            </w:r>
          </w:p>
        </w:tc>
        <w:tc>
          <w:tcPr>
            <w:tcW w:w="510" w:type="pct"/>
            <w:tcBorders>
              <w:top w:val="single" w:sz="4" w:space="0" w:color="auto"/>
              <w:left w:val="single" w:sz="4" w:space="0" w:color="auto"/>
              <w:bottom w:val="single" w:sz="4" w:space="0" w:color="auto"/>
              <w:right w:val="single" w:sz="4" w:space="0" w:color="auto"/>
            </w:tcBorders>
          </w:tcPr>
          <w:p w:rsidR="008B5909" w:rsidRPr="0027619C" w:rsidRDefault="008B5909" w:rsidP="00657C41">
            <w:pPr>
              <w:pStyle w:val="Default"/>
              <w:rPr>
                <w:rFonts w:ascii="Times New Roman" w:hAnsi="Times New Roman" w:cs="Times New Roman"/>
                <w:sz w:val="20"/>
                <w:szCs w:val="20"/>
                <w:lang w:val="ro-RO"/>
              </w:rPr>
            </w:pPr>
            <w:r w:rsidRPr="0027619C">
              <w:rPr>
                <w:rFonts w:ascii="Times New Roman" w:hAnsi="Times New Roman" w:cs="Times New Roman"/>
                <w:sz w:val="20"/>
                <w:szCs w:val="20"/>
                <w:lang w:val="ro-RO"/>
              </w:rPr>
              <w:t>Numărul anual al elevilor care utilizează infrastructurile din domeniul învățământului ce beneficiază de sprijin</w:t>
            </w:r>
          </w:p>
        </w:tc>
        <w:tc>
          <w:tcPr>
            <w:tcW w:w="536" w:type="pct"/>
            <w:tcBorders>
              <w:top w:val="single" w:sz="4" w:space="0" w:color="auto"/>
              <w:left w:val="single" w:sz="4" w:space="0" w:color="auto"/>
              <w:bottom w:val="single" w:sz="4" w:space="0" w:color="auto"/>
              <w:right w:val="single" w:sz="4" w:space="0" w:color="auto"/>
            </w:tcBorders>
          </w:tcPr>
          <w:p w:rsidR="008B5909" w:rsidRPr="00F000AD" w:rsidRDefault="008B5909" w:rsidP="00657C41">
            <w:pPr>
              <w:rPr>
                <w:i/>
                <w:lang w:val="en-US"/>
              </w:rPr>
            </w:pPr>
            <w:r>
              <w:rPr>
                <w:i/>
                <w:lang w:val="en-US"/>
              </w:rPr>
              <w:t>Nr persoane</w:t>
            </w:r>
          </w:p>
        </w:tc>
        <w:tc>
          <w:tcPr>
            <w:tcW w:w="417" w:type="pct"/>
            <w:tcBorders>
              <w:top w:val="single" w:sz="4" w:space="0" w:color="auto"/>
              <w:left w:val="single" w:sz="4" w:space="0" w:color="auto"/>
              <w:bottom w:val="single" w:sz="4" w:space="0" w:color="auto"/>
              <w:right w:val="single" w:sz="4" w:space="0" w:color="auto"/>
            </w:tcBorders>
          </w:tcPr>
          <w:p w:rsidR="008B5909" w:rsidRPr="00F000AD" w:rsidRDefault="008B5909" w:rsidP="00657C41">
            <w:pPr>
              <w:rPr>
                <w:i/>
                <w:lang w:val="en-US"/>
              </w:rPr>
            </w:pPr>
          </w:p>
        </w:tc>
        <w:tc>
          <w:tcPr>
            <w:tcW w:w="430" w:type="pct"/>
            <w:tcBorders>
              <w:top w:val="single" w:sz="4" w:space="0" w:color="auto"/>
              <w:left w:val="single" w:sz="4" w:space="0" w:color="auto"/>
              <w:bottom w:val="single" w:sz="4" w:space="0" w:color="auto"/>
              <w:right w:val="single" w:sz="4" w:space="0" w:color="auto"/>
            </w:tcBorders>
          </w:tcPr>
          <w:p w:rsidR="008B5909" w:rsidRPr="00F000AD" w:rsidRDefault="008B5909" w:rsidP="00657C41">
            <w:pPr>
              <w:rPr>
                <w:b/>
                <w:lang w:val="en-US"/>
              </w:rPr>
            </w:pPr>
          </w:p>
        </w:tc>
        <w:tc>
          <w:tcPr>
            <w:tcW w:w="332" w:type="pct"/>
            <w:tcBorders>
              <w:top w:val="single" w:sz="4" w:space="0" w:color="auto"/>
              <w:left w:val="single" w:sz="4" w:space="0" w:color="auto"/>
              <w:bottom w:val="single" w:sz="4" w:space="0" w:color="auto"/>
              <w:right w:val="single" w:sz="4" w:space="0" w:color="auto"/>
            </w:tcBorders>
          </w:tcPr>
          <w:p w:rsidR="008B5909" w:rsidRPr="00F000AD" w:rsidRDefault="008B5909" w:rsidP="00657C41">
            <w:pPr>
              <w:rPr>
                <w:b/>
                <w:lang w:val="en-US"/>
              </w:rPr>
            </w:pPr>
            <w:r>
              <w:rPr>
                <w:b/>
                <w:lang w:val="en-US"/>
              </w:rPr>
              <w:t>1180</w:t>
            </w:r>
          </w:p>
        </w:tc>
        <w:tc>
          <w:tcPr>
            <w:tcW w:w="594" w:type="pct"/>
            <w:tcBorders>
              <w:top w:val="single" w:sz="4" w:space="0" w:color="auto"/>
              <w:left w:val="single" w:sz="4" w:space="0" w:color="auto"/>
              <w:bottom w:val="single" w:sz="4" w:space="0" w:color="auto"/>
              <w:right w:val="single" w:sz="4" w:space="0" w:color="auto"/>
            </w:tcBorders>
          </w:tcPr>
          <w:p w:rsidR="008B5909" w:rsidRPr="00F000AD" w:rsidRDefault="008B5909" w:rsidP="00657C41">
            <w:pPr>
              <w:rPr>
                <w:i/>
                <w:lang w:val="en-US"/>
              </w:rPr>
            </w:pPr>
            <w:r>
              <w:rPr>
                <w:i/>
                <w:lang w:val="en-US"/>
              </w:rPr>
              <w:t>Beneficiarii proiectelor prin declaratia din cerereile de finantare/MEC</w:t>
            </w:r>
          </w:p>
        </w:tc>
        <w:tc>
          <w:tcPr>
            <w:tcW w:w="398" w:type="pct"/>
            <w:tcBorders>
              <w:top w:val="single" w:sz="4" w:space="0" w:color="auto"/>
              <w:left w:val="single" w:sz="4" w:space="0" w:color="auto"/>
              <w:bottom w:val="single" w:sz="4" w:space="0" w:color="auto"/>
              <w:right w:val="single" w:sz="4" w:space="0" w:color="auto"/>
            </w:tcBorders>
          </w:tcPr>
          <w:p w:rsidR="008B5909" w:rsidRPr="00F000AD" w:rsidRDefault="008B5909" w:rsidP="00657C41">
            <w:pPr>
              <w:rPr>
                <w:i/>
                <w:lang w:val="en-US"/>
              </w:rPr>
            </w:pPr>
          </w:p>
        </w:tc>
      </w:tr>
    </w:tbl>
    <w:p w:rsidR="00A5682B" w:rsidRDefault="00A26390" w:rsidP="00E95FAC">
      <w:pPr>
        <w:rPr>
          <w:rFonts w:ascii="Times New Roman" w:hAnsi="Times New Roman" w:cs="Times New Roman"/>
          <w:b/>
          <w:sz w:val="28"/>
          <w:szCs w:val="28"/>
          <w:lang w:val="en-GB"/>
        </w:rPr>
      </w:pPr>
      <w:r w:rsidRPr="00F000AD">
        <w:rPr>
          <w:i/>
          <w:lang w:val="en-GB"/>
        </w:rPr>
        <w:t>[Point 2.1.1.3 in the Commission proposal has been moved up following changes in Article 17(3)(c) CPR and it is now point 2.1.1.bis]</w:t>
      </w:r>
    </w:p>
    <w:p w:rsidR="00A5682B" w:rsidRDefault="00A5682B" w:rsidP="00A5682B">
      <w:pPr>
        <w:spacing w:before="240" w:after="240" w:line="360" w:lineRule="auto"/>
        <w:rPr>
          <w:rFonts w:ascii="Times New Roman" w:eastAsia="Times New Roman" w:hAnsi="Times New Roman" w:cs="Times New Roman"/>
          <w:b/>
          <w:iCs/>
          <w:noProof/>
          <w:sz w:val="24"/>
          <w:szCs w:val="24"/>
          <w:lang w:val="en-GB"/>
        </w:rPr>
      </w:pPr>
      <w:r w:rsidRPr="002E744B">
        <w:rPr>
          <w:rFonts w:ascii="Times New Roman" w:eastAsia="Times New Roman" w:hAnsi="Times New Roman" w:cs="Times New Roman"/>
          <w:b/>
          <w:iCs/>
          <w:noProof/>
          <w:sz w:val="24"/>
          <w:szCs w:val="24"/>
          <w:lang w:val="en-GB"/>
        </w:rPr>
        <w:t>2.A.3 Specific objective</w:t>
      </w:r>
      <w:r w:rsidRPr="002E744B">
        <w:rPr>
          <w:rFonts w:ascii="Times New Roman" w:eastAsia="Times New Roman" w:hAnsi="Times New Roman" w:cs="Times New Roman"/>
          <w:b/>
          <w:bCs/>
          <w:iCs/>
          <w:noProof/>
          <w:sz w:val="24"/>
          <w:szCs w:val="24"/>
          <w:vertAlign w:val="superscript"/>
          <w:lang w:val="en-GB"/>
        </w:rPr>
        <w:footnoteReference w:id="57"/>
      </w:r>
      <w:r w:rsidRPr="002E744B">
        <w:rPr>
          <w:rFonts w:ascii="Times New Roman" w:eastAsia="Times New Roman" w:hAnsi="Times New Roman" w:cs="Times New Roman"/>
          <w:b/>
          <w:iCs/>
          <w:noProof/>
          <w:sz w:val="24"/>
          <w:szCs w:val="24"/>
          <w:lang w:val="en-GB"/>
        </w:rPr>
        <w:t xml:space="preserve">  (Investment for Jobs and Growth goal) repeated for each selected specific objective for priorities other than technical assistance</w:t>
      </w:r>
    </w:p>
    <w:p w:rsidR="00A5682B" w:rsidRPr="00A5682B" w:rsidRDefault="00A5682B" w:rsidP="00A5682B">
      <w:pPr>
        <w:spacing w:after="0" w:line="240" w:lineRule="auto"/>
        <w:rPr>
          <w:rFonts w:ascii="Times New Roman" w:hAnsi="Times New Roman" w:cs="Times New Roman"/>
          <w:i/>
          <w:color w:val="002060"/>
          <w:sz w:val="20"/>
          <w:szCs w:val="20"/>
        </w:rPr>
      </w:pPr>
      <w:r w:rsidRPr="009D0444">
        <w:rPr>
          <w:rFonts w:ascii="Times New Roman" w:eastAsia="Times New Roman" w:hAnsi="Times New Roman" w:cs="Times New Roman"/>
          <w:b/>
          <w:iCs/>
          <w:noProof/>
          <w:color w:val="002060"/>
          <w:sz w:val="24"/>
          <w:szCs w:val="24"/>
          <w:lang w:val="en-GB"/>
        </w:rPr>
        <w:t>OP 4</w:t>
      </w:r>
      <w:r w:rsidRPr="00A5682B">
        <w:rPr>
          <w:rFonts w:ascii="Times New Roman" w:eastAsia="Times New Roman" w:hAnsi="Times New Roman" w:cs="Times New Roman"/>
          <w:b/>
          <w:iCs/>
          <w:noProof/>
          <w:color w:val="002060"/>
          <w:sz w:val="24"/>
          <w:szCs w:val="24"/>
          <w:lang w:val="en-GB"/>
        </w:rPr>
        <w:t xml:space="preserve">: </w:t>
      </w:r>
      <w:r w:rsidRPr="00A5682B">
        <w:rPr>
          <w:rFonts w:ascii="Times New Roman" w:hAnsi="Times New Roman" w:cs="Times New Roman"/>
          <w:b/>
          <w:i/>
          <w:noProof/>
          <w:color w:val="002060"/>
          <w:sz w:val="24"/>
          <w:szCs w:val="24"/>
        </w:rPr>
        <w:t>d(v) Creșterea rolului culturii și turismului în dezvoltarea economică, incluziunea socială și inovarea socială;</w:t>
      </w:r>
    </w:p>
    <w:p w:rsidR="00A5682B" w:rsidRPr="009D0444" w:rsidRDefault="00A5682B" w:rsidP="00A5682B">
      <w:pPr>
        <w:spacing w:after="0" w:line="240" w:lineRule="auto"/>
        <w:jc w:val="both"/>
        <w:rPr>
          <w:rFonts w:ascii="Times New Roman" w:eastAsia="Times New Roman" w:hAnsi="Times New Roman" w:cs="Times New Roman"/>
          <w:b/>
          <w:iCs/>
          <w:noProof/>
          <w:color w:val="002060"/>
          <w:sz w:val="24"/>
          <w:szCs w:val="24"/>
          <w:lang w:val="en-GB"/>
        </w:rPr>
      </w:pPr>
    </w:p>
    <w:p w:rsidR="00A5682B" w:rsidRPr="002E744B" w:rsidRDefault="00A5682B" w:rsidP="00A5682B">
      <w:pPr>
        <w:spacing w:before="240" w:after="240" w:line="360" w:lineRule="auto"/>
        <w:rPr>
          <w:rFonts w:ascii="Times New Roman" w:eastAsia="Times New Roman" w:hAnsi="Times New Roman" w:cs="Times New Roman"/>
          <w:b/>
          <w:iCs/>
          <w:noProof/>
          <w:sz w:val="24"/>
          <w:szCs w:val="24"/>
          <w:lang w:val="en-GB"/>
        </w:rPr>
      </w:pPr>
      <w:r w:rsidRPr="002E744B">
        <w:rPr>
          <w:rFonts w:ascii="Times New Roman" w:eastAsia="Times New Roman" w:hAnsi="Times New Roman" w:cs="Times New Roman"/>
          <w:b/>
          <w:iCs/>
          <w:noProof/>
          <w:sz w:val="24"/>
          <w:szCs w:val="24"/>
          <w:lang w:val="en-GB"/>
        </w:rPr>
        <w:t>2.A.3.1 Interventions of the Funds</w:t>
      </w:r>
    </w:p>
    <w:p w:rsidR="00A5682B" w:rsidRPr="002E744B" w:rsidRDefault="00A5682B" w:rsidP="00A5682B">
      <w:pPr>
        <w:spacing w:before="120" w:after="120" w:line="360" w:lineRule="auto"/>
        <w:rPr>
          <w:rFonts w:ascii="Times New Roman" w:eastAsia="Times New Roman" w:hAnsi="Times New Roman" w:cs="Times New Roman"/>
          <w:i/>
          <w:noProof/>
          <w:sz w:val="24"/>
          <w:szCs w:val="24"/>
          <w:lang w:val="en-GB"/>
        </w:rPr>
      </w:pPr>
      <w:r w:rsidRPr="002E744B">
        <w:rPr>
          <w:rFonts w:ascii="Times New Roman" w:eastAsia="Times New Roman" w:hAnsi="Times New Roman" w:cs="Times New Roman"/>
          <w:i/>
          <w:noProof/>
          <w:sz w:val="24"/>
          <w:szCs w:val="24"/>
          <w:lang w:val="en-GB"/>
        </w:rPr>
        <w:t>Reference: Article 17(3)(d)(i),(iii),(iv),(v),(vi);</w:t>
      </w:r>
    </w:p>
    <w:p w:rsidR="00A5682B" w:rsidRPr="002E744B" w:rsidRDefault="00A5682B" w:rsidP="00A5682B">
      <w:pPr>
        <w:bidi/>
        <w:spacing w:before="120" w:after="120" w:line="360" w:lineRule="auto"/>
        <w:jc w:val="right"/>
        <w:rPr>
          <w:rFonts w:ascii="Times New Roman" w:eastAsia="Times New Roman" w:hAnsi="Times New Roman" w:cs="Times New Roman"/>
          <w:b/>
          <w:bCs/>
          <w:i/>
          <w:iCs/>
          <w:noProof/>
          <w:sz w:val="24"/>
          <w:szCs w:val="24"/>
          <w:u w:val="single"/>
          <w:lang w:val="en-GB"/>
        </w:rPr>
      </w:pPr>
      <w:r w:rsidRPr="002E744B">
        <w:rPr>
          <w:rFonts w:ascii="Times New Roman" w:eastAsia="Times New Roman" w:hAnsi="Times New Roman" w:cs="Times New Roman"/>
          <w:i/>
          <w:noProof/>
          <w:sz w:val="24"/>
          <w:szCs w:val="24"/>
          <w:lang w:val="en-GB"/>
        </w:rPr>
        <w:t>The related types of actions – Article 17(3)(d)(i) CPR; Article 6(2) ESF+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A5682B" w:rsidRPr="002E744B" w:rsidTr="005760F3">
        <w:tc>
          <w:tcPr>
            <w:tcW w:w="9288" w:type="dxa"/>
            <w:tcBorders>
              <w:top w:val="single" w:sz="4" w:space="0" w:color="auto"/>
              <w:left w:val="single" w:sz="4" w:space="0" w:color="auto"/>
              <w:bottom w:val="single" w:sz="4" w:space="0" w:color="auto"/>
              <w:right w:val="single" w:sz="4" w:space="0" w:color="auto"/>
            </w:tcBorders>
          </w:tcPr>
          <w:p w:rsidR="00A5682B" w:rsidRPr="00807512" w:rsidRDefault="00A5682B" w:rsidP="00F31905">
            <w:pPr>
              <w:pStyle w:val="Default"/>
              <w:jc w:val="both"/>
              <w:rPr>
                <w:rFonts w:ascii="Times New Roman" w:hAnsi="Times New Roman" w:cs="Times New Roman"/>
                <w:sz w:val="20"/>
                <w:szCs w:val="20"/>
              </w:rPr>
            </w:pPr>
          </w:p>
        </w:tc>
      </w:tr>
      <w:tr w:rsidR="00A5682B" w:rsidRPr="002E744B" w:rsidTr="005760F3">
        <w:tc>
          <w:tcPr>
            <w:tcW w:w="9288" w:type="dxa"/>
            <w:tcBorders>
              <w:top w:val="single" w:sz="4" w:space="0" w:color="auto"/>
              <w:left w:val="single" w:sz="4" w:space="0" w:color="auto"/>
              <w:bottom w:val="single" w:sz="4" w:space="0" w:color="auto"/>
              <w:right w:val="single" w:sz="4" w:space="0" w:color="auto"/>
            </w:tcBorders>
          </w:tcPr>
          <w:p w:rsidR="0049054A" w:rsidRPr="00DE593C" w:rsidRDefault="00D12B3C" w:rsidP="005760F3">
            <w:pPr>
              <w:pStyle w:val="Frspaiere"/>
              <w:jc w:val="both"/>
              <w:rPr>
                <w:rFonts w:ascii="Times New Roman" w:hAnsi="Times New Roman" w:cs="Times New Roman"/>
                <w:sz w:val="20"/>
                <w:szCs w:val="20"/>
              </w:rPr>
            </w:pPr>
            <w:r w:rsidRPr="00DE593C">
              <w:rPr>
                <w:rFonts w:ascii="Times New Roman" w:hAnsi="Times New Roman" w:cs="Times New Roman"/>
                <w:sz w:val="20"/>
                <w:szCs w:val="20"/>
              </w:rPr>
              <w:t xml:space="preserve">38,1% din copii cu vârste între 0-17 ani se aflau în risc de sărăcie și excluziunea socială în anul 2018 față de o medie de 23,4% în Uniunea Europeană. </w:t>
            </w:r>
          </w:p>
          <w:p w:rsidR="0049054A" w:rsidRPr="00DE593C" w:rsidRDefault="0049054A" w:rsidP="005760F3">
            <w:pPr>
              <w:pStyle w:val="Frspaiere"/>
              <w:jc w:val="both"/>
              <w:rPr>
                <w:rFonts w:ascii="Times New Roman" w:hAnsi="Times New Roman" w:cs="Times New Roman"/>
                <w:sz w:val="20"/>
                <w:szCs w:val="20"/>
              </w:rPr>
            </w:pPr>
            <w:r w:rsidRPr="00DE593C">
              <w:rPr>
                <w:rFonts w:ascii="Times New Roman" w:hAnsi="Times New Roman" w:cs="Times New Roman"/>
                <w:sz w:val="20"/>
                <w:szCs w:val="20"/>
              </w:rPr>
              <w:t xml:space="preserve">Raportul de Țară 2020 indică faptul că riscul de sărăcie în rândul copiilor este corelat indirect cu nivelul de instruire al părinților, iar această corelație s-a accentuat. În plus, se preconizează că, din cauza deficiențelor sistemelor de învățământ și de sănătate, copiii născuți în prezent vor intra pe piața forței de muncă cu doar 60 % din potențialul lor real, cel mai scăzut nivel din UE. </w:t>
            </w:r>
          </w:p>
          <w:p w:rsidR="0049054A" w:rsidRPr="00DE593C" w:rsidRDefault="0049054A" w:rsidP="005760F3">
            <w:pPr>
              <w:pStyle w:val="Frspaiere"/>
              <w:jc w:val="both"/>
              <w:rPr>
                <w:rFonts w:ascii="Times New Roman" w:hAnsi="Times New Roman" w:cs="Times New Roman"/>
                <w:sz w:val="20"/>
                <w:szCs w:val="20"/>
              </w:rPr>
            </w:pPr>
            <w:r w:rsidRPr="00DE593C">
              <w:rPr>
                <w:rFonts w:ascii="Times New Roman" w:hAnsi="Times New Roman" w:cs="Times New Roman"/>
                <w:sz w:val="20"/>
                <w:szCs w:val="20"/>
              </w:rPr>
              <w:t>Copiii cu handicap au acces limitat la structurile preșcolare și abandonează studiile cu o frecvență de două ori mai mare decât alți copii. Sistemul de educație nu îi pregătește suficient pentru a duce o viață independentă.</w:t>
            </w:r>
          </w:p>
          <w:p w:rsidR="0049054A" w:rsidRPr="00DE593C" w:rsidRDefault="0049054A" w:rsidP="005760F3">
            <w:pPr>
              <w:pStyle w:val="Frspaiere"/>
              <w:jc w:val="both"/>
              <w:rPr>
                <w:rFonts w:ascii="Times New Roman" w:hAnsi="Times New Roman" w:cs="Times New Roman"/>
                <w:sz w:val="20"/>
                <w:szCs w:val="20"/>
              </w:rPr>
            </w:pPr>
          </w:p>
          <w:p w:rsidR="0049054A" w:rsidRPr="00DE593C" w:rsidRDefault="0049054A" w:rsidP="00BA696D">
            <w:pPr>
              <w:pStyle w:val="Frspaiere"/>
              <w:jc w:val="both"/>
              <w:rPr>
                <w:rFonts w:ascii="Times New Roman" w:hAnsi="Times New Roman" w:cs="Times New Roman"/>
                <w:bCs/>
                <w:sz w:val="20"/>
                <w:szCs w:val="20"/>
                <w:shd w:val="clear" w:color="auto" w:fill="FFFFFF"/>
                <w:lang w:val="ro-RO"/>
              </w:rPr>
            </w:pPr>
            <w:r w:rsidRPr="00DE593C">
              <w:rPr>
                <w:rFonts w:ascii="Times New Roman" w:hAnsi="Times New Roman" w:cs="Times New Roman"/>
                <w:sz w:val="20"/>
                <w:szCs w:val="20"/>
              </w:rPr>
              <w:t>În centrele de agrement din structura MTS se desfășoară anual taberele școlare, tabere</w:t>
            </w:r>
            <w:r w:rsidRPr="00DE593C">
              <w:rPr>
                <w:rFonts w:ascii="Times New Roman" w:hAnsi="Times New Roman" w:cs="Times New Roman"/>
                <w:sz w:val="20"/>
                <w:szCs w:val="20"/>
                <w:lang w:val="ro-RO"/>
              </w:rPr>
              <w:t xml:space="preserve"> tematice, tabere naționale, Tabere sociale, </w:t>
            </w:r>
            <w:r w:rsidRPr="00DE593C">
              <w:rPr>
                <w:rFonts w:ascii="Times New Roman" w:hAnsi="Times New Roman" w:cs="Times New Roman"/>
                <w:bCs/>
                <w:sz w:val="20"/>
                <w:szCs w:val="20"/>
                <w:shd w:val="clear" w:color="auto" w:fill="FFFFFF"/>
                <w:lang w:val="ro-RO"/>
              </w:rPr>
              <w:t>Taberele pentru preşcolari, elevi şi studenţi cu handicap dar și alte tabere. Prin intermediul acestor acțiuni se oferă copiilor și tinerilor din categorii sociale vulnerabile sau copiilor cu dizabilități posibilitatea desfășurării unor activități cu caracter educativ pentru sprijinirea integrării sociale și profesionale a acestora.</w:t>
            </w:r>
          </w:p>
          <w:p w:rsidR="006B0500" w:rsidRPr="00DE593C" w:rsidRDefault="0049054A" w:rsidP="00BA696D">
            <w:pPr>
              <w:autoSpaceDE w:val="0"/>
              <w:autoSpaceDN w:val="0"/>
              <w:adjustRightInd w:val="0"/>
              <w:jc w:val="both"/>
              <w:rPr>
                <w:rFonts w:ascii="Times New Roman" w:hAnsi="Times New Roman" w:cs="Times New Roman"/>
                <w:sz w:val="20"/>
                <w:szCs w:val="20"/>
                <w:lang w:val="en-US"/>
              </w:rPr>
            </w:pPr>
            <w:r w:rsidRPr="00DE593C">
              <w:rPr>
                <w:rFonts w:ascii="Times New Roman" w:hAnsi="Times New Roman" w:cs="Times New Roman"/>
                <w:sz w:val="20"/>
                <w:szCs w:val="20"/>
              </w:rPr>
              <w:t>Dintr-un număr total de 88 de Centre de Agrement/Baze turistice funcționale la nivel național (din 147 existente), la nivelul Regiunii Centru regăsim un număr de 14 centre, ceea ce reprezintă un procent de 16% din numărul total.</w:t>
            </w:r>
            <w:r w:rsidRPr="00DE593C">
              <w:rPr>
                <w:rFonts w:ascii="Times New Roman" w:hAnsi="Times New Roman" w:cs="Times New Roman"/>
                <w:sz w:val="20"/>
                <w:szCs w:val="20"/>
                <w:lang w:val="en-US"/>
              </w:rPr>
              <w:t xml:space="preserve"> </w:t>
            </w:r>
            <w:r w:rsidR="006B0500" w:rsidRPr="00DE593C">
              <w:rPr>
                <w:rFonts w:ascii="Times New Roman" w:hAnsi="Times New Roman" w:cs="Times New Roman"/>
                <w:sz w:val="20"/>
                <w:szCs w:val="20"/>
                <w:lang w:val="en-US"/>
              </w:rPr>
              <w:t>Centrele de Agrement reprezintă principalul element de infrastructură pe care Ministerul Tineretului și Sportului îl are la dispoziție pentru dezvoltarea și implementarea politicii naționale de tineret, inclusiv organizarea de proiecte de tineret (învățare nonformală pentru organizații de tineret și pentru tineri) și organizarea de tabere (ca formă de organizare a activităților complexe de învățare nonformală și agrement pentru tineri).</w:t>
            </w:r>
          </w:p>
          <w:p w:rsidR="006B0500" w:rsidRPr="00DE593C" w:rsidRDefault="006B0500" w:rsidP="006B0500">
            <w:pPr>
              <w:pStyle w:val="Frspaiere"/>
              <w:jc w:val="both"/>
              <w:rPr>
                <w:rFonts w:ascii="Times New Roman" w:hAnsi="Times New Roman" w:cs="Times New Roman"/>
                <w:b/>
                <w:sz w:val="20"/>
                <w:szCs w:val="20"/>
                <w:u w:val="single"/>
              </w:rPr>
            </w:pPr>
            <w:r w:rsidRPr="00DE593C">
              <w:rPr>
                <w:rFonts w:ascii="Times New Roman" w:hAnsi="Times New Roman" w:cs="Times New Roman"/>
                <w:sz w:val="20"/>
                <w:szCs w:val="20"/>
              </w:rPr>
              <w:t xml:space="preserve">Centrele de agrement sunt structuri fără personalitate juridică care fac parte din patrimoniul destinat activităţii de tineret conform art. 30 alin (1) al Legii Tinerilor nr. 350/2006 cu modificările și completările în vigoare. Ținând cont de apartenența lor la domeniul public, centrele de agrement sunt inalienabile, imprescriptibile și insesizabile, putând fi date în administrare, concesionate sau închiriate în conformitate cu art. 861 cod civil. De asemenea, ținând cont de faptul că destinația lor este stabilită prin Legea Tinerilor nr. 350/2006 cu modificările și completările în vigoare, indiferent de modul în care proprietatea asupra centrelor de agrement este administrată, ele trebuie să își păstreze destinația pentru organizarea activităților de </w:t>
            </w:r>
            <w:r w:rsidRPr="00DE593C">
              <w:rPr>
                <w:rFonts w:ascii="Times New Roman" w:hAnsi="Times New Roman" w:cs="Times New Roman"/>
                <w:b/>
                <w:sz w:val="20"/>
                <w:szCs w:val="20"/>
                <w:u w:val="single"/>
              </w:rPr>
              <w:t>tabere pentru copii și tineri (turism pentru tineret).</w:t>
            </w:r>
          </w:p>
          <w:p w:rsidR="006B0500" w:rsidRPr="00DE593C" w:rsidRDefault="006B0500" w:rsidP="006B0500">
            <w:pPr>
              <w:pStyle w:val="Frspaiere"/>
              <w:jc w:val="both"/>
              <w:rPr>
                <w:rFonts w:ascii="Times New Roman" w:hAnsi="Times New Roman" w:cs="Times New Roman"/>
                <w:sz w:val="20"/>
                <w:szCs w:val="20"/>
                <w:lang w:val="ro-RO"/>
              </w:rPr>
            </w:pPr>
            <w:r w:rsidRPr="00DE593C">
              <w:rPr>
                <w:rFonts w:ascii="Times New Roman" w:hAnsi="Times New Roman" w:cs="Times New Roman"/>
                <w:sz w:val="20"/>
                <w:szCs w:val="20"/>
              </w:rPr>
              <w:t xml:space="preserve">Activitățile care se desfășoară în centrele de agrement au ca scop integrarea socio-profesională a copiilor și elevilor și fac parte din conceptul de învățare pe tot parcursul vieții, reglementat de art 328 din Legea educației naționale. Patrimoniul destinat activităților de tineret trebuie să servească scopurilor și obiectivelor de asigurare a </w:t>
            </w:r>
            <w:r w:rsidRPr="00DE593C">
              <w:rPr>
                <w:rFonts w:ascii="Times New Roman" w:hAnsi="Times New Roman" w:cs="Times New Roman"/>
                <w:sz w:val="20"/>
                <w:szCs w:val="20"/>
                <w:shd w:val="clear" w:color="auto" w:fill="FFFFFF"/>
              </w:rPr>
              <w:t>condițiilor adecvate integrării socio-profesionale a tinerilor, conform necesităților și aspirațiilor acestora.</w:t>
            </w:r>
          </w:p>
          <w:p w:rsidR="006B0500" w:rsidRPr="00DE593C" w:rsidRDefault="006B0500" w:rsidP="006B0500">
            <w:pPr>
              <w:pStyle w:val="Frspaiere"/>
              <w:jc w:val="both"/>
              <w:rPr>
                <w:rFonts w:ascii="Times New Roman" w:hAnsi="Times New Roman" w:cs="Times New Roman"/>
                <w:sz w:val="20"/>
                <w:szCs w:val="20"/>
              </w:rPr>
            </w:pPr>
            <w:r w:rsidRPr="00DE593C">
              <w:rPr>
                <w:rFonts w:ascii="Times New Roman" w:hAnsi="Times New Roman" w:cs="Times New Roman"/>
                <w:sz w:val="20"/>
                <w:szCs w:val="20"/>
              </w:rPr>
              <w:t>Serviciile oferite în centrele MTS, atât cele de agrement/tabără, cât și acelea care promovează educația non-formală au avantajul accesibilității financiare. Astfel, este esențial ca aceste servicii să se furnizeze în condiții de siguranță deplină dar și să respecte standarde de calitate, în special având în vedere sutele de mii de copii și tineri care le sunt beneficiari în fiecare an.</w:t>
            </w:r>
          </w:p>
          <w:p w:rsidR="0049054A" w:rsidRPr="00DE593C" w:rsidRDefault="006B0500" w:rsidP="0049054A">
            <w:pPr>
              <w:pStyle w:val="Frspaiere"/>
              <w:jc w:val="both"/>
              <w:rPr>
                <w:rFonts w:ascii="Times New Roman" w:hAnsi="Times New Roman" w:cs="Times New Roman"/>
                <w:sz w:val="20"/>
                <w:szCs w:val="20"/>
                <w:lang w:val="en-US"/>
              </w:rPr>
            </w:pPr>
            <w:r w:rsidRPr="00DE593C">
              <w:rPr>
                <w:rFonts w:ascii="Times New Roman" w:hAnsi="Times New Roman" w:cs="Times New Roman"/>
                <w:sz w:val="20"/>
                <w:szCs w:val="20"/>
                <w:lang w:val="en-US"/>
              </w:rPr>
              <w:t>Centrele de agrement</w:t>
            </w:r>
            <w:r w:rsidR="0049054A" w:rsidRPr="00DE593C">
              <w:rPr>
                <w:rFonts w:ascii="Times New Roman" w:hAnsi="Times New Roman" w:cs="Times New Roman"/>
                <w:sz w:val="20"/>
                <w:szCs w:val="20"/>
                <w:lang w:val="en-US"/>
              </w:rPr>
              <w:t xml:space="preserve"> se află în adminsitrarea Direcțiilor Județene de Tineret și Sport. În lispa investițiilor în modernizarea și echiparea lor, aceste tabere oferă doar condiții minime de funcționare, unele dintre aceste obiective, chiar dacă se află în zone cu o valoare peisagistică deosebită, nu pot fi valorificate la adevăratul lor potential din lipsa infrastructurii de access sau a infrastructurii de recreere sau infrastrcuturii destiată activităților de educație formală și non-formală. </w:t>
            </w:r>
          </w:p>
          <w:p w:rsidR="0049054A" w:rsidRPr="00DE593C" w:rsidRDefault="0049054A" w:rsidP="005760F3">
            <w:pPr>
              <w:pStyle w:val="Frspaiere"/>
              <w:jc w:val="both"/>
              <w:rPr>
                <w:rFonts w:ascii="Times New Roman" w:hAnsi="Times New Roman" w:cs="Times New Roman"/>
                <w:sz w:val="20"/>
                <w:szCs w:val="20"/>
              </w:rPr>
            </w:pPr>
          </w:p>
          <w:p w:rsidR="005760F3" w:rsidRPr="00DE593C" w:rsidRDefault="005760F3" w:rsidP="005760F3">
            <w:pPr>
              <w:pStyle w:val="Frspaiere"/>
              <w:jc w:val="both"/>
              <w:rPr>
                <w:rFonts w:ascii="Times New Roman" w:hAnsi="Times New Roman" w:cs="Times New Roman"/>
                <w:sz w:val="20"/>
                <w:szCs w:val="20"/>
              </w:rPr>
            </w:pPr>
            <w:r w:rsidRPr="00DE593C">
              <w:rPr>
                <w:rFonts w:ascii="Times New Roman" w:hAnsi="Times New Roman" w:cs="Times New Roman"/>
                <w:sz w:val="20"/>
                <w:szCs w:val="20"/>
              </w:rPr>
              <w:t xml:space="preserve"> În acest context, reabilitarea și/sau reamenajarea centrelor de agrement ale MTS va crește considerabil impactul calitativ al serviciilor oferite și implicit numărul potențialilor beneficiari.</w:t>
            </w:r>
          </w:p>
          <w:p w:rsidR="005760F3" w:rsidRPr="00DE593C" w:rsidRDefault="005760F3" w:rsidP="00BA696D">
            <w:pPr>
              <w:autoSpaceDE w:val="0"/>
              <w:autoSpaceDN w:val="0"/>
              <w:adjustRightInd w:val="0"/>
              <w:jc w:val="both"/>
              <w:rPr>
                <w:rFonts w:ascii="Times New Roman" w:hAnsi="Times New Roman" w:cs="Times New Roman"/>
                <w:sz w:val="20"/>
                <w:szCs w:val="20"/>
              </w:rPr>
            </w:pPr>
            <w:r w:rsidRPr="00DE593C">
              <w:rPr>
                <w:rFonts w:ascii="Times New Roman" w:hAnsi="Times New Roman" w:cs="Times New Roman"/>
                <w:sz w:val="20"/>
                <w:szCs w:val="20"/>
                <w:lang w:val="en-US"/>
              </w:rPr>
              <w:lastRenderedPageBreak/>
              <w:t xml:space="preserve">Infrastructura centrelor de agreement necesită investiții pentru creșterea calității serviciilor de cazare și masă oferite copiilor și tinerilor, beneficiari ai taberelor școlare dar și pentru creșterea calității serviciilor oferite prin diversificarea paletei de activități educaționale și recreative pe care le oferă copiilor și tinerilor.  </w:t>
            </w:r>
          </w:p>
          <w:p w:rsidR="006B0500" w:rsidRPr="00DE593C" w:rsidRDefault="006B0500" w:rsidP="00BA696D">
            <w:pPr>
              <w:jc w:val="both"/>
              <w:rPr>
                <w:rFonts w:ascii="Times New Roman" w:hAnsi="Times New Roman" w:cs="Times New Roman"/>
                <w:sz w:val="20"/>
                <w:szCs w:val="20"/>
                <w:lang w:val="en-US"/>
              </w:rPr>
            </w:pPr>
            <w:r w:rsidRPr="00DE593C">
              <w:rPr>
                <w:rFonts w:ascii="Times New Roman" w:hAnsi="Times New Roman" w:cs="Times New Roman"/>
                <w:sz w:val="20"/>
                <w:szCs w:val="20"/>
                <w:lang w:val="en-US"/>
              </w:rPr>
              <w:t>Prin acest program se vor finanța intervenții în infrastructura centrelor</w:t>
            </w:r>
            <w:r w:rsidR="005760F3" w:rsidRPr="00DE593C">
              <w:rPr>
                <w:rFonts w:ascii="Times New Roman" w:hAnsi="Times New Roman" w:cs="Times New Roman"/>
                <w:sz w:val="20"/>
                <w:szCs w:val="20"/>
                <w:lang w:val="en-US"/>
              </w:rPr>
              <w:t xml:space="preserve"> de agreement: </w:t>
            </w:r>
            <w:r w:rsidR="005760F3" w:rsidRPr="00DE593C">
              <w:rPr>
                <w:rFonts w:ascii="Times New Roman" w:hAnsi="Times New Roman" w:cs="Times New Roman"/>
                <w:b/>
                <w:sz w:val="20"/>
                <w:szCs w:val="20"/>
                <w:lang w:val="en-US"/>
              </w:rPr>
              <w:t>a spațiilor de cazare</w:t>
            </w:r>
            <w:r w:rsidRPr="00DE593C">
              <w:rPr>
                <w:rFonts w:ascii="Times New Roman" w:hAnsi="Times New Roman" w:cs="Times New Roman"/>
                <w:sz w:val="20"/>
                <w:szCs w:val="20"/>
                <w:lang w:val="en-US"/>
              </w:rPr>
              <w:t xml:space="preserve">, a </w:t>
            </w:r>
            <w:r w:rsidR="005760F3" w:rsidRPr="00DE593C">
              <w:rPr>
                <w:rFonts w:ascii="Times New Roman" w:hAnsi="Times New Roman" w:cs="Times New Roman"/>
                <w:b/>
                <w:sz w:val="20"/>
                <w:szCs w:val="20"/>
                <w:lang w:val="en-US"/>
              </w:rPr>
              <w:t>spații</w:t>
            </w:r>
            <w:r w:rsidRPr="00DE593C">
              <w:rPr>
                <w:rFonts w:ascii="Times New Roman" w:hAnsi="Times New Roman" w:cs="Times New Roman"/>
                <w:b/>
                <w:sz w:val="20"/>
                <w:szCs w:val="20"/>
                <w:lang w:val="en-US"/>
              </w:rPr>
              <w:t>lor</w:t>
            </w:r>
            <w:r w:rsidR="005760F3" w:rsidRPr="00DE593C">
              <w:rPr>
                <w:rFonts w:ascii="Times New Roman" w:hAnsi="Times New Roman" w:cs="Times New Roman"/>
                <w:b/>
                <w:sz w:val="20"/>
                <w:szCs w:val="20"/>
                <w:lang w:val="en-US"/>
              </w:rPr>
              <w:t xml:space="preserve"> </w:t>
            </w:r>
            <w:r w:rsidRPr="00DE593C">
              <w:rPr>
                <w:rFonts w:ascii="Times New Roman" w:hAnsi="Times New Roman" w:cs="Times New Roman"/>
                <w:b/>
                <w:sz w:val="20"/>
                <w:szCs w:val="20"/>
                <w:lang w:val="en-US"/>
              </w:rPr>
              <w:t>destinate</w:t>
            </w:r>
            <w:r w:rsidR="005760F3" w:rsidRPr="00DE593C">
              <w:rPr>
                <w:rFonts w:ascii="Times New Roman" w:hAnsi="Times New Roman" w:cs="Times New Roman"/>
                <w:b/>
                <w:sz w:val="20"/>
                <w:szCs w:val="20"/>
                <w:lang w:val="en-US"/>
              </w:rPr>
              <w:t xml:space="preserve"> pregătirii și servicii mesei</w:t>
            </w:r>
            <w:r w:rsidR="005760F3" w:rsidRPr="00DE593C">
              <w:rPr>
                <w:rFonts w:ascii="Times New Roman" w:hAnsi="Times New Roman" w:cs="Times New Roman"/>
                <w:sz w:val="20"/>
                <w:szCs w:val="20"/>
                <w:lang w:val="en-US"/>
              </w:rPr>
              <w:t xml:space="preserve">, precum și a infrasructurii pentru </w:t>
            </w:r>
            <w:r w:rsidRPr="00DE593C">
              <w:rPr>
                <w:rFonts w:ascii="Times New Roman" w:hAnsi="Times New Roman" w:cs="Times New Roman"/>
                <w:sz w:val="20"/>
                <w:szCs w:val="20"/>
                <w:lang w:val="en-US"/>
              </w:rPr>
              <w:t>activități educaționale</w:t>
            </w:r>
            <w:r w:rsidR="005760F3" w:rsidRPr="00DE593C">
              <w:rPr>
                <w:rFonts w:ascii="Times New Roman" w:hAnsi="Times New Roman" w:cs="Times New Roman"/>
                <w:sz w:val="20"/>
                <w:szCs w:val="20"/>
                <w:lang w:val="en-US"/>
              </w:rPr>
              <w:t xml:space="preserve"> și de recreere (terenuri de sport, alte spații pentru activități sportive, săli de conferință/evenimente, etc)</w:t>
            </w:r>
            <w:r w:rsidRPr="00DE593C">
              <w:rPr>
                <w:rFonts w:ascii="Times New Roman" w:hAnsi="Times New Roman" w:cs="Times New Roman"/>
                <w:sz w:val="20"/>
                <w:szCs w:val="20"/>
                <w:lang w:val="en-US"/>
              </w:rPr>
              <w:t>.</w:t>
            </w:r>
          </w:p>
          <w:p w:rsidR="006B0500" w:rsidRPr="00DE593C" w:rsidRDefault="006B0500" w:rsidP="00BA696D">
            <w:pPr>
              <w:jc w:val="both"/>
              <w:rPr>
                <w:rFonts w:cstheme="minorHAnsi"/>
                <w:lang w:val="en-US"/>
              </w:rPr>
            </w:pPr>
            <w:r w:rsidRPr="00DE593C">
              <w:rPr>
                <w:rFonts w:ascii="Times New Roman" w:hAnsi="Times New Roman" w:cs="Times New Roman"/>
                <w:sz w:val="20"/>
                <w:szCs w:val="20"/>
                <w:lang w:val="en-US"/>
              </w:rPr>
              <w:t>Scopul acestor intervenții este de a contribui la creșterea incluziunii socio-profesionale a copiilor și tinerilor aflați în risc de sărăcie și excluziune socială, a copiilor și tinerilor cu nevoi speciale prin creșterea accesului la servicii de calitate și programe de educație formală și non-formală acordate în centrele de agreement.</w:t>
            </w:r>
          </w:p>
          <w:p w:rsidR="00A5682B" w:rsidRPr="009D0444" w:rsidRDefault="00A5682B" w:rsidP="005760F3">
            <w:pPr>
              <w:jc w:val="both"/>
              <w:rPr>
                <w:rFonts w:ascii="Times New Roman" w:hAnsi="Times New Roman" w:cs="Times New Roman"/>
                <w:sz w:val="20"/>
                <w:szCs w:val="20"/>
              </w:rPr>
            </w:pPr>
          </w:p>
        </w:tc>
      </w:tr>
    </w:tbl>
    <w:p w:rsidR="00A5682B" w:rsidRPr="002E744B" w:rsidRDefault="00A5682B" w:rsidP="00A5682B">
      <w:pPr>
        <w:spacing w:before="120" w:after="120" w:line="360" w:lineRule="auto"/>
        <w:rPr>
          <w:rFonts w:ascii="Times New Roman" w:eastAsia="Times New Roman" w:hAnsi="Times New Roman" w:cs="Times New Roman"/>
          <w:b/>
          <w:i/>
          <w:iCs/>
          <w:noProof/>
          <w:sz w:val="24"/>
          <w:szCs w:val="24"/>
          <w:lang w:val="en-GB"/>
        </w:rPr>
      </w:pPr>
      <w:r w:rsidRPr="002E744B">
        <w:rPr>
          <w:rFonts w:ascii="Times New Roman" w:eastAsia="Times New Roman" w:hAnsi="Times New Roman" w:cs="Times New Roman"/>
          <w:i/>
          <w:noProof/>
          <w:sz w:val="24"/>
          <w:szCs w:val="24"/>
          <w:lang w:val="en-GB"/>
        </w:rPr>
        <w:lastRenderedPageBreak/>
        <w:t>The main target groups - Article 17(3)(d)(iii):</w:t>
      </w:r>
    </w:p>
    <w:p w:rsidR="00A5682B" w:rsidRDefault="00A5682B" w:rsidP="00A5682B">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iCs/>
          <w:noProof/>
          <w:sz w:val="24"/>
          <w:szCs w:val="24"/>
          <w:lang w:val="en-GB"/>
        </w:rPr>
      </w:pPr>
      <w:r w:rsidRPr="002E744B">
        <w:rPr>
          <w:rFonts w:ascii="Times New Roman" w:eastAsia="Times New Roman" w:hAnsi="Times New Roman" w:cs="Times New Roman"/>
          <w:i/>
          <w:iCs/>
          <w:noProof/>
          <w:sz w:val="24"/>
          <w:szCs w:val="24"/>
          <w:lang w:val="en-GB"/>
        </w:rPr>
        <w:t>Text field [1 000]</w:t>
      </w:r>
    </w:p>
    <w:p w:rsidR="00A5682B" w:rsidRPr="009D0444" w:rsidRDefault="00A5682B" w:rsidP="00F31905">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bCs/>
          <w:iCs/>
          <w:sz w:val="20"/>
          <w:szCs w:val="20"/>
        </w:rPr>
      </w:pPr>
      <w:r w:rsidRPr="009D0444">
        <w:rPr>
          <w:rFonts w:ascii="Times New Roman" w:hAnsi="Times New Roman" w:cs="Times New Roman"/>
          <w:bCs/>
          <w:iCs/>
          <w:sz w:val="20"/>
          <w:szCs w:val="20"/>
        </w:rPr>
        <w:t>Grupul țintă vizat, în principal, este reprezentat de</w:t>
      </w:r>
      <w:r>
        <w:rPr>
          <w:rFonts w:ascii="Times New Roman" w:hAnsi="Times New Roman" w:cs="Times New Roman"/>
          <w:bCs/>
          <w:iCs/>
          <w:sz w:val="20"/>
          <w:szCs w:val="20"/>
        </w:rPr>
        <w:t xml:space="preserve"> copiii,</w:t>
      </w:r>
      <w:r w:rsidRPr="009D0444">
        <w:rPr>
          <w:rFonts w:ascii="Times New Roman" w:hAnsi="Times New Roman" w:cs="Times New Roman"/>
          <w:bCs/>
          <w:iCs/>
          <w:sz w:val="20"/>
          <w:szCs w:val="20"/>
        </w:rPr>
        <w:t xml:space="preserve"> elevii și </w:t>
      </w:r>
      <w:r>
        <w:rPr>
          <w:rFonts w:ascii="Times New Roman" w:hAnsi="Times New Roman" w:cs="Times New Roman"/>
          <w:bCs/>
          <w:iCs/>
          <w:sz w:val="20"/>
          <w:szCs w:val="20"/>
        </w:rPr>
        <w:t xml:space="preserve">tinerii </w:t>
      </w:r>
      <w:r w:rsidRPr="009D0444">
        <w:rPr>
          <w:rFonts w:ascii="Times New Roman" w:hAnsi="Times New Roman" w:cs="Times New Roman"/>
          <w:bCs/>
          <w:iCs/>
          <w:sz w:val="20"/>
          <w:szCs w:val="20"/>
        </w:rPr>
        <w:t xml:space="preserve">care beneficiază de infrastructura </w:t>
      </w:r>
      <w:r>
        <w:rPr>
          <w:rFonts w:ascii="Times New Roman" w:hAnsi="Times New Roman" w:cs="Times New Roman"/>
          <w:bCs/>
          <w:iCs/>
          <w:sz w:val="20"/>
          <w:szCs w:val="20"/>
        </w:rPr>
        <w:t xml:space="preserve">de educație formală și non-formală a centrelor de agrement din Regiunea Centru care derulează programe de  </w:t>
      </w:r>
      <w:r w:rsidR="00F31905">
        <w:rPr>
          <w:rFonts w:ascii="Times New Roman" w:hAnsi="Times New Roman" w:cs="Times New Roman"/>
          <w:bCs/>
          <w:iCs/>
          <w:sz w:val="20"/>
          <w:szCs w:val="20"/>
        </w:rPr>
        <w:t>tipul</w:t>
      </w:r>
      <w:r w:rsidR="00F31905" w:rsidRPr="00F31905">
        <w:rPr>
          <w:rFonts w:ascii="Times New Roman" w:hAnsi="Times New Roman" w:cs="Times New Roman"/>
          <w:bCs/>
          <w:iCs/>
          <w:sz w:val="20"/>
          <w:szCs w:val="20"/>
        </w:rPr>
        <w:t xml:space="preserve"> </w:t>
      </w:r>
      <w:r w:rsidR="00F31905">
        <w:rPr>
          <w:rFonts w:ascii="Times New Roman" w:hAnsi="Times New Roman" w:cs="Times New Roman"/>
          <w:bCs/>
          <w:iCs/>
          <w:sz w:val="20"/>
          <w:szCs w:val="20"/>
        </w:rPr>
        <w:t>taberelor școlare pentru copii din familii aflate în risc de sărăcie și excluziune socială, copii/tineri din grupuri dezavantajate și copii cu dizabilități.</w:t>
      </w:r>
    </w:p>
    <w:p w:rsidR="00A5682B" w:rsidRPr="009D0444" w:rsidRDefault="00A5682B" w:rsidP="00A5682B">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bCs/>
          <w:iCs/>
          <w:sz w:val="20"/>
          <w:szCs w:val="20"/>
        </w:rPr>
      </w:pPr>
    </w:p>
    <w:p w:rsidR="00A5682B" w:rsidRPr="002E744B" w:rsidRDefault="00A5682B" w:rsidP="00A5682B">
      <w:pPr>
        <w:spacing w:before="120" w:after="120" w:line="360" w:lineRule="auto"/>
        <w:rPr>
          <w:rFonts w:ascii="Times New Roman" w:eastAsia="Times New Roman" w:hAnsi="Times New Roman" w:cs="Times New Roman"/>
          <w:i/>
          <w:noProof/>
          <w:sz w:val="24"/>
          <w:szCs w:val="24"/>
          <w:lang w:val="en-GB"/>
        </w:rPr>
      </w:pPr>
      <w:r w:rsidRPr="002E744B">
        <w:rPr>
          <w:rFonts w:ascii="Times New Roman" w:eastAsia="Times New Roman" w:hAnsi="Times New Roman" w:cs="Times New Roman"/>
          <w:i/>
          <w:noProof/>
          <w:sz w:val="24"/>
          <w:szCs w:val="24"/>
          <w:lang w:val="en-GB"/>
        </w:rPr>
        <w:t>Specific territories tageted, including the planned use of territorial tools – Article 17(3)(d)(iv)</w:t>
      </w:r>
    </w:p>
    <w:p w:rsidR="00A5682B" w:rsidRDefault="00A5682B" w:rsidP="00A5682B">
      <w:pPr>
        <w:pBdr>
          <w:top w:val="single" w:sz="4" w:space="1" w:color="auto"/>
          <w:left w:val="single" w:sz="4" w:space="4" w:color="auto"/>
          <w:bottom w:val="single" w:sz="4" w:space="1" w:color="auto"/>
          <w:right w:val="single" w:sz="4" w:space="4" w:color="auto"/>
        </w:pBdr>
        <w:spacing w:before="120" w:after="120" w:line="360" w:lineRule="auto"/>
        <w:jc w:val="both"/>
        <w:rPr>
          <w:rFonts w:ascii="Times New Roman" w:eastAsia="Times New Roman" w:hAnsi="Times New Roman" w:cs="Times New Roman"/>
          <w:i/>
          <w:iCs/>
          <w:noProof/>
          <w:sz w:val="24"/>
          <w:szCs w:val="24"/>
          <w:lang w:val="en-GB"/>
        </w:rPr>
      </w:pPr>
      <w:r w:rsidRPr="002E744B">
        <w:rPr>
          <w:rFonts w:ascii="Times New Roman" w:eastAsia="Times New Roman" w:hAnsi="Times New Roman" w:cs="Times New Roman"/>
          <w:i/>
          <w:iCs/>
          <w:noProof/>
          <w:sz w:val="24"/>
          <w:szCs w:val="24"/>
          <w:lang w:val="en-GB"/>
        </w:rPr>
        <w:t>Text field [2 000]</w:t>
      </w:r>
    </w:p>
    <w:p w:rsidR="00A5682B" w:rsidRPr="009D0444" w:rsidRDefault="00A5682B" w:rsidP="00A5682B">
      <w:pPr>
        <w:pBdr>
          <w:top w:val="single" w:sz="4" w:space="1" w:color="auto"/>
          <w:left w:val="single" w:sz="4" w:space="4" w:color="auto"/>
          <w:bottom w:val="single" w:sz="4" w:space="1" w:color="auto"/>
          <w:right w:val="single" w:sz="4" w:space="4" w:color="auto"/>
        </w:pBdr>
        <w:spacing w:before="120" w:after="120" w:line="360" w:lineRule="auto"/>
        <w:jc w:val="both"/>
        <w:rPr>
          <w:rFonts w:ascii="Times New Roman" w:eastAsia="Times New Roman" w:hAnsi="Times New Roman" w:cs="Times New Roman"/>
          <w:i/>
          <w:noProof/>
          <w:sz w:val="20"/>
          <w:szCs w:val="20"/>
          <w:lang w:val="en-US"/>
        </w:rPr>
      </w:pPr>
      <w:r w:rsidRPr="009D0444">
        <w:rPr>
          <w:rFonts w:ascii="Times New Roman" w:eastAsia="Times New Roman" w:hAnsi="Times New Roman" w:cs="Times New Roman"/>
          <w:i/>
          <w:iCs/>
          <w:noProof/>
          <w:sz w:val="20"/>
          <w:szCs w:val="20"/>
          <w:lang w:val="en-GB"/>
        </w:rPr>
        <w:t xml:space="preserve">Teritoriul vizat de aceste intervenții este Regiunea Centru, România, </w:t>
      </w:r>
      <w:r w:rsidRPr="00DE593C">
        <w:rPr>
          <w:rFonts w:ascii="Times New Roman" w:eastAsia="Times New Roman" w:hAnsi="Times New Roman" w:cs="Times New Roman"/>
          <w:i/>
          <w:iCs/>
          <w:noProof/>
          <w:sz w:val="20"/>
          <w:szCs w:val="20"/>
          <w:lang w:val="en-GB"/>
        </w:rPr>
        <w:t xml:space="preserve">cu zona urbană și rurală aferentă </w:t>
      </w:r>
      <w:r w:rsidRPr="009D0444">
        <w:rPr>
          <w:rFonts w:ascii="Times New Roman" w:eastAsia="Times New Roman" w:hAnsi="Times New Roman" w:cs="Times New Roman"/>
          <w:i/>
          <w:iCs/>
          <w:noProof/>
          <w:sz w:val="20"/>
          <w:szCs w:val="20"/>
          <w:lang w:val="en-GB"/>
        </w:rPr>
        <w:t>unităților administrativ teritoriale componente.</w:t>
      </w:r>
    </w:p>
    <w:p w:rsidR="00A5682B" w:rsidRPr="002E744B" w:rsidRDefault="00A5682B" w:rsidP="00A5682B">
      <w:pPr>
        <w:spacing w:before="120" w:after="120" w:line="360" w:lineRule="auto"/>
        <w:rPr>
          <w:rFonts w:ascii="Times New Roman" w:eastAsia="Times New Roman" w:hAnsi="Times New Roman" w:cs="Times New Roman"/>
          <w:b/>
          <w:i/>
          <w:iCs/>
          <w:noProof/>
          <w:sz w:val="24"/>
          <w:szCs w:val="24"/>
          <w:lang w:val="en-GB"/>
        </w:rPr>
      </w:pPr>
      <w:r w:rsidRPr="002E744B">
        <w:rPr>
          <w:rFonts w:ascii="Times New Roman" w:eastAsia="Times New Roman" w:hAnsi="Times New Roman" w:cs="Times New Roman"/>
          <w:i/>
          <w:noProof/>
          <w:sz w:val="24"/>
          <w:szCs w:val="24"/>
          <w:lang w:val="en-GB"/>
        </w:rPr>
        <w:t>The interregional and transnational actions  –Article – 17(3)(d)(v)</w:t>
      </w:r>
    </w:p>
    <w:p w:rsidR="00A5682B" w:rsidRPr="002E744B" w:rsidRDefault="00A5682B" w:rsidP="00A5682B">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lang w:val="en-GB"/>
        </w:rPr>
      </w:pPr>
      <w:r w:rsidRPr="002E744B">
        <w:rPr>
          <w:rFonts w:ascii="Times New Roman" w:eastAsia="Times New Roman" w:hAnsi="Times New Roman" w:cs="Times New Roman"/>
          <w:i/>
          <w:iCs/>
          <w:noProof/>
          <w:sz w:val="24"/>
          <w:szCs w:val="24"/>
          <w:lang w:val="en-GB"/>
        </w:rPr>
        <w:t>Text field [2 000]</w:t>
      </w:r>
    </w:p>
    <w:p w:rsidR="00A5682B" w:rsidRPr="002E744B" w:rsidRDefault="00A5682B" w:rsidP="00A5682B">
      <w:pPr>
        <w:spacing w:before="120" w:after="120" w:line="360" w:lineRule="auto"/>
        <w:rPr>
          <w:rFonts w:ascii="Times New Roman" w:eastAsia="Times New Roman" w:hAnsi="Times New Roman" w:cs="Times New Roman"/>
          <w:b/>
          <w:i/>
          <w:iCs/>
          <w:noProof/>
          <w:sz w:val="24"/>
          <w:szCs w:val="24"/>
          <w:lang w:val="en-GB"/>
        </w:rPr>
      </w:pPr>
      <w:r w:rsidRPr="002E744B">
        <w:rPr>
          <w:rFonts w:ascii="Times New Roman" w:eastAsia="Times New Roman" w:hAnsi="Times New Roman" w:cs="Times New Roman"/>
          <w:i/>
          <w:noProof/>
          <w:sz w:val="24"/>
          <w:szCs w:val="24"/>
          <w:lang w:val="en-GB"/>
        </w:rPr>
        <w:t>The planned use of financial instruments – Article – 17(3)(d)(vi)</w:t>
      </w:r>
    </w:p>
    <w:p w:rsidR="00A5682B" w:rsidRPr="002E744B" w:rsidRDefault="00A5682B" w:rsidP="00A5682B">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4"/>
          <w:lang w:val="en-GB"/>
        </w:rPr>
      </w:pPr>
      <w:r w:rsidRPr="002E744B">
        <w:rPr>
          <w:rFonts w:ascii="Times New Roman" w:eastAsia="Times New Roman" w:hAnsi="Times New Roman" w:cs="Times New Roman"/>
          <w:i/>
          <w:iCs/>
          <w:noProof/>
          <w:sz w:val="24"/>
          <w:szCs w:val="24"/>
          <w:lang w:val="en-GB"/>
        </w:rPr>
        <w:t>Text field [1 000]</w:t>
      </w:r>
    </w:p>
    <w:p w:rsidR="00A5682B" w:rsidRPr="00F31905" w:rsidRDefault="00F31905" w:rsidP="00F31905">
      <w:pPr>
        <w:spacing w:before="120" w:after="120" w:line="240" w:lineRule="auto"/>
        <w:rPr>
          <w:rFonts w:ascii="Times New Roman" w:eastAsia="Times New Roman" w:hAnsi="Times New Roman" w:cs="Times New Roman"/>
          <w:b/>
          <w:iCs/>
          <w:noProof/>
          <w:sz w:val="24"/>
          <w:szCs w:val="24"/>
          <w:lang w:val="en-GB"/>
        </w:rPr>
        <w:sectPr w:rsidR="00A5682B" w:rsidRPr="00F31905" w:rsidSect="00F000AD">
          <w:headerReference w:type="default" r:id="rId19"/>
          <w:footerReference w:type="default" r:id="rId20"/>
          <w:pgSz w:w="11906" w:h="16838"/>
          <w:pgMar w:top="1134" w:right="1134" w:bottom="1134" w:left="1134" w:header="567" w:footer="567" w:gutter="0"/>
          <w:cols w:space="720"/>
          <w:docGrid w:linePitch="326"/>
        </w:sectPr>
      </w:pPr>
      <w:r>
        <w:rPr>
          <w:rFonts w:ascii="Times New Roman" w:eastAsia="Times New Roman" w:hAnsi="Times New Roman" w:cs="Times New Roman"/>
          <w:b/>
          <w:iCs/>
          <w:noProof/>
          <w:sz w:val="24"/>
          <w:szCs w:val="24"/>
          <w:lang w:val="en-GB"/>
        </w:rPr>
        <w:br w:type="page"/>
      </w:r>
    </w:p>
    <w:p w:rsidR="00A5682B" w:rsidRPr="00F000AD" w:rsidRDefault="00A5682B" w:rsidP="00A5682B">
      <w:pPr>
        <w:rPr>
          <w:b/>
          <w:iCs/>
          <w:lang w:val="en-GB"/>
        </w:rPr>
      </w:pPr>
      <w:r w:rsidRPr="00F000AD">
        <w:rPr>
          <w:b/>
          <w:iCs/>
          <w:lang w:val="en-GB"/>
        </w:rPr>
        <w:lastRenderedPageBreak/>
        <w:t>2.A.3.2 Indicators</w:t>
      </w:r>
    </w:p>
    <w:p w:rsidR="00A5682B" w:rsidRPr="00F000AD" w:rsidRDefault="00A5682B" w:rsidP="00A5682B">
      <w:pPr>
        <w:rPr>
          <w:b/>
          <w:bCs/>
          <w:i/>
          <w:u w:val="single"/>
          <w:lang w:val="en-GB"/>
        </w:rPr>
      </w:pPr>
      <w:r w:rsidRPr="00F000AD">
        <w:rPr>
          <w:i/>
          <w:lang w:val="en-GB"/>
        </w:rPr>
        <w:t xml:space="preserve">Reference: Article 17(3)(d)(ii) CPR </w:t>
      </w:r>
    </w:p>
    <w:tbl>
      <w:tblPr>
        <w:tblW w:w="5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6"/>
        <w:gridCol w:w="1357"/>
        <w:gridCol w:w="745"/>
        <w:gridCol w:w="1062"/>
        <w:gridCol w:w="642"/>
        <w:gridCol w:w="1521"/>
        <w:gridCol w:w="1620"/>
        <w:gridCol w:w="1166"/>
        <w:gridCol w:w="1006"/>
      </w:tblGrid>
      <w:tr w:rsidR="00A5682B" w:rsidRPr="00F000AD" w:rsidTr="00F31905">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rsidR="00A5682B" w:rsidRPr="00F000AD" w:rsidRDefault="00A5682B" w:rsidP="005760F3">
            <w:pPr>
              <w:rPr>
                <w:b/>
                <w:lang w:val="en-US"/>
              </w:rPr>
            </w:pPr>
            <w:r w:rsidRPr="00F000AD">
              <w:rPr>
                <w:b/>
                <w:iCs/>
                <w:lang w:val="en-US"/>
              </w:rPr>
              <w:t>Table 2: Output indicators</w:t>
            </w:r>
          </w:p>
        </w:tc>
      </w:tr>
      <w:tr w:rsidR="00A5682B" w:rsidRPr="00F000AD" w:rsidTr="00F31905">
        <w:trPr>
          <w:trHeight w:val="1647"/>
        </w:trPr>
        <w:tc>
          <w:tcPr>
            <w:tcW w:w="457" w:type="pct"/>
            <w:tcBorders>
              <w:top w:val="single" w:sz="4" w:space="0" w:color="auto"/>
              <w:left w:val="single" w:sz="4" w:space="0" w:color="auto"/>
              <w:bottom w:val="single" w:sz="4" w:space="0" w:color="auto"/>
              <w:right w:val="single" w:sz="4" w:space="0" w:color="auto"/>
            </w:tcBorders>
            <w:hideMark/>
          </w:tcPr>
          <w:p w:rsidR="00A5682B" w:rsidRPr="00F000AD" w:rsidRDefault="00A5682B" w:rsidP="005760F3">
            <w:pPr>
              <w:rPr>
                <w:b/>
                <w:lang w:val="en-US"/>
              </w:rPr>
            </w:pPr>
            <w:r w:rsidRPr="00F000AD">
              <w:rPr>
                <w:b/>
                <w:lang w:val="en-US"/>
              </w:rPr>
              <w:t xml:space="preserve">Priority </w:t>
            </w:r>
            <w:r>
              <w:rPr>
                <w:b/>
                <w:lang w:val="en-US"/>
              </w:rPr>
              <w:t>5</w:t>
            </w:r>
          </w:p>
        </w:tc>
        <w:tc>
          <w:tcPr>
            <w:tcW w:w="676" w:type="pct"/>
            <w:tcBorders>
              <w:top w:val="single" w:sz="4" w:space="0" w:color="auto"/>
              <w:left w:val="single" w:sz="4" w:space="0" w:color="auto"/>
              <w:bottom w:val="single" w:sz="4" w:space="0" w:color="auto"/>
              <w:right w:val="single" w:sz="4" w:space="0" w:color="auto"/>
            </w:tcBorders>
            <w:hideMark/>
          </w:tcPr>
          <w:p w:rsidR="00A5682B" w:rsidRPr="00F000AD" w:rsidRDefault="00A5682B" w:rsidP="005760F3">
            <w:pPr>
              <w:rPr>
                <w:b/>
                <w:lang w:val="en-US"/>
              </w:rPr>
            </w:pPr>
            <w:r w:rsidRPr="00F000AD">
              <w:rPr>
                <w:b/>
                <w:lang w:val="en-US"/>
              </w:rPr>
              <w:t>Specific objective (Investment for Jobs and Growth goal or EMFF)</w:t>
            </w:r>
          </w:p>
        </w:tc>
        <w:tc>
          <w:tcPr>
            <w:tcW w:w="371" w:type="pct"/>
            <w:tcBorders>
              <w:top w:val="single" w:sz="4" w:space="0" w:color="auto"/>
              <w:left w:val="single" w:sz="4" w:space="0" w:color="auto"/>
              <w:bottom w:val="single" w:sz="4" w:space="0" w:color="auto"/>
              <w:right w:val="single" w:sz="4" w:space="0" w:color="auto"/>
            </w:tcBorders>
            <w:hideMark/>
          </w:tcPr>
          <w:p w:rsidR="00A5682B" w:rsidRPr="00F000AD" w:rsidRDefault="00A5682B" w:rsidP="005760F3">
            <w:pPr>
              <w:rPr>
                <w:b/>
                <w:lang w:val="en-US"/>
              </w:rPr>
            </w:pPr>
            <w:r w:rsidRPr="00F000AD">
              <w:rPr>
                <w:b/>
                <w:lang w:val="en-US"/>
              </w:rPr>
              <w:t>Fund</w:t>
            </w:r>
          </w:p>
        </w:tc>
        <w:tc>
          <w:tcPr>
            <w:tcW w:w="529" w:type="pct"/>
            <w:tcBorders>
              <w:top w:val="single" w:sz="4" w:space="0" w:color="auto"/>
              <w:left w:val="single" w:sz="4" w:space="0" w:color="auto"/>
              <w:bottom w:val="single" w:sz="4" w:space="0" w:color="auto"/>
              <w:right w:val="single" w:sz="4" w:space="0" w:color="auto"/>
            </w:tcBorders>
            <w:hideMark/>
          </w:tcPr>
          <w:p w:rsidR="00A5682B" w:rsidRPr="00F000AD" w:rsidRDefault="00A5682B" w:rsidP="005760F3">
            <w:pPr>
              <w:rPr>
                <w:b/>
                <w:lang w:val="en-US"/>
              </w:rPr>
            </w:pPr>
            <w:r w:rsidRPr="00F000AD">
              <w:rPr>
                <w:b/>
                <w:lang w:val="en-US"/>
              </w:rPr>
              <w:t>Category of region</w:t>
            </w:r>
          </w:p>
        </w:tc>
        <w:tc>
          <w:tcPr>
            <w:tcW w:w="320" w:type="pct"/>
            <w:tcBorders>
              <w:top w:val="single" w:sz="4" w:space="0" w:color="auto"/>
              <w:left w:val="single" w:sz="4" w:space="0" w:color="auto"/>
              <w:bottom w:val="single" w:sz="4" w:space="0" w:color="auto"/>
              <w:right w:val="single" w:sz="4" w:space="0" w:color="auto"/>
            </w:tcBorders>
            <w:hideMark/>
          </w:tcPr>
          <w:p w:rsidR="00A5682B" w:rsidRPr="00F000AD" w:rsidRDefault="00A5682B" w:rsidP="005760F3">
            <w:pPr>
              <w:rPr>
                <w:b/>
                <w:lang w:val="en-US"/>
              </w:rPr>
            </w:pPr>
            <w:r w:rsidRPr="00F000AD">
              <w:rPr>
                <w:b/>
                <w:lang w:val="en-US"/>
              </w:rPr>
              <w:t>ID [5]</w:t>
            </w:r>
          </w:p>
        </w:tc>
        <w:tc>
          <w:tcPr>
            <w:tcW w:w="758" w:type="pct"/>
            <w:tcBorders>
              <w:top w:val="single" w:sz="4" w:space="0" w:color="auto"/>
              <w:left w:val="single" w:sz="4" w:space="0" w:color="auto"/>
              <w:bottom w:val="single" w:sz="4" w:space="0" w:color="auto"/>
              <w:right w:val="single" w:sz="4" w:space="0" w:color="auto"/>
            </w:tcBorders>
            <w:hideMark/>
          </w:tcPr>
          <w:p w:rsidR="00A5682B" w:rsidRPr="00F000AD" w:rsidRDefault="00A5682B" w:rsidP="005760F3">
            <w:pPr>
              <w:rPr>
                <w:b/>
                <w:lang w:val="en-US"/>
              </w:rPr>
            </w:pPr>
            <w:r w:rsidRPr="00F000AD">
              <w:rPr>
                <w:b/>
                <w:lang w:val="en-US"/>
              </w:rPr>
              <w:t xml:space="preserve">Indicator [255] </w:t>
            </w:r>
          </w:p>
        </w:tc>
        <w:tc>
          <w:tcPr>
            <w:tcW w:w="807" w:type="pct"/>
            <w:tcBorders>
              <w:top w:val="single" w:sz="4" w:space="0" w:color="auto"/>
              <w:left w:val="single" w:sz="4" w:space="0" w:color="auto"/>
              <w:bottom w:val="single" w:sz="4" w:space="0" w:color="auto"/>
              <w:right w:val="single" w:sz="4" w:space="0" w:color="auto"/>
            </w:tcBorders>
            <w:hideMark/>
          </w:tcPr>
          <w:p w:rsidR="00A5682B" w:rsidRPr="00F000AD" w:rsidRDefault="00A5682B" w:rsidP="005760F3">
            <w:pPr>
              <w:rPr>
                <w:b/>
                <w:lang w:val="en-US"/>
              </w:rPr>
            </w:pPr>
            <w:r w:rsidRPr="00F000AD">
              <w:rPr>
                <w:b/>
                <w:lang w:val="en-US"/>
              </w:rPr>
              <w:t>Measurement unit</w:t>
            </w:r>
          </w:p>
        </w:tc>
        <w:tc>
          <w:tcPr>
            <w:tcW w:w="581" w:type="pct"/>
            <w:tcBorders>
              <w:top w:val="single" w:sz="4" w:space="0" w:color="auto"/>
              <w:left w:val="single" w:sz="4" w:space="0" w:color="auto"/>
              <w:bottom w:val="single" w:sz="4" w:space="0" w:color="auto"/>
              <w:right w:val="single" w:sz="4" w:space="0" w:color="auto"/>
            </w:tcBorders>
          </w:tcPr>
          <w:p w:rsidR="00A5682B" w:rsidRPr="00F000AD" w:rsidRDefault="00A5682B" w:rsidP="005760F3">
            <w:pPr>
              <w:rPr>
                <w:b/>
                <w:lang w:val="en-US"/>
              </w:rPr>
            </w:pPr>
            <w:r w:rsidRPr="00F000AD">
              <w:rPr>
                <w:b/>
                <w:lang w:val="en-US"/>
              </w:rPr>
              <w:t>Milestone (2024)</w:t>
            </w:r>
          </w:p>
          <w:p w:rsidR="00A5682B" w:rsidRPr="00F000AD" w:rsidRDefault="00A5682B" w:rsidP="005760F3">
            <w:pPr>
              <w:rPr>
                <w:b/>
                <w:lang w:val="en-US"/>
              </w:rPr>
            </w:pPr>
          </w:p>
        </w:tc>
        <w:tc>
          <w:tcPr>
            <w:tcW w:w="501" w:type="pct"/>
            <w:tcBorders>
              <w:top w:val="single" w:sz="4" w:space="0" w:color="auto"/>
              <w:left w:val="single" w:sz="4" w:space="0" w:color="auto"/>
              <w:bottom w:val="single" w:sz="4" w:space="0" w:color="auto"/>
              <w:right w:val="single" w:sz="4" w:space="0" w:color="auto"/>
            </w:tcBorders>
          </w:tcPr>
          <w:p w:rsidR="00A5682B" w:rsidRPr="00F000AD" w:rsidRDefault="00A5682B" w:rsidP="005760F3">
            <w:pPr>
              <w:rPr>
                <w:b/>
                <w:lang w:val="en-US"/>
              </w:rPr>
            </w:pPr>
            <w:r w:rsidRPr="00F000AD">
              <w:rPr>
                <w:b/>
                <w:lang w:val="en-US"/>
              </w:rPr>
              <w:t>Target (2029)</w:t>
            </w:r>
          </w:p>
          <w:p w:rsidR="00A5682B" w:rsidRPr="00F000AD" w:rsidRDefault="00A5682B" w:rsidP="005760F3">
            <w:pPr>
              <w:rPr>
                <w:b/>
                <w:lang w:val="en-US"/>
              </w:rPr>
            </w:pPr>
          </w:p>
        </w:tc>
      </w:tr>
      <w:tr w:rsidR="00F31905" w:rsidRPr="00F000AD" w:rsidTr="00F31905">
        <w:trPr>
          <w:trHeight w:val="340"/>
        </w:trPr>
        <w:tc>
          <w:tcPr>
            <w:tcW w:w="457" w:type="pct"/>
            <w:vMerge w:val="restart"/>
            <w:tcBorders>
              <w:top w:val="single" w:sz="4" w:space="0" w:color="auto"/>
              <w:left w:val="single" w:sz="4" w:space="0" w:color="auto"/>
              <w:right w:val="single" w:sz="4" w:space="0" w:color="auto"/>
            </w:tcBorders>
          </w:tcPr>
          <w:p w:rsidR="00F31905" w:rsidRPr="0091380F" w:rsidRDefault="00F31905" w:rsidP="00F31905">
            <w:pPr>
              <w:pStyle w:val="Default"/>
              <w:rPr>
                <w:rFonts w:ascii="Times New Roman" w:hAnsi="Times New Roman" w:cs="Times New Roman"/>
                <w:sz w:val="20"/>
                <w:szCs w:val="20"/>
                <w:lang w:val="ro-RO"/>
              </w:rPr>
            </w:pPr>
            <w:r>
              <w:rPr>
                <w:rFonts w:ascii="Times New Roman" w:hAnsi="Times New Roman" w:cs="Times New Roman"/>
                <w:sz w:val="20"/>
                <w:szCs w:val="20"/>
              </w:rPr>
              <w:t>5</w:t>
            </w:r>
          </w:p>
        </w:tc>
        <w:tc>
          <w:tcPr>
            <w:tcW w:w="676" w:type="pct"/>
            <w:vMerge w:val="restart"/>
            <w:tcBorders>
              <w:top w:val="single" w:sz="4" w:space="0" w:color="auto"/>
              <w:left w:val="single" w:sz="4" w:space="0" w:color="auto"/>
              <w:right w:val="single" w:sz="4" w:space="0" w:color="auto"/>
            </w:tcBorders>
          </w:tcPr>
          <w:p w:rsidR="00F31905" w:rsidRPr="0091380F" w:rsidRDefault="00F31905" w:rsidP="00F31905">
            <w:pPr>
              <w:pStyle w:val="Default"/>
              <w:rPr>
                <w:rFonts w:ascii="Times New Roman" w:hAnsi="Times New Roman" w:cs="Times New Roman"/>
                <w:sz w:val="20"/>
                <w:szCs w:val="20"/>
                <w:lang w:val="ro-RO"/>
              </w:rPr>
            </w:pPr>
          </w:p>
        </w:tc>
        <w:tc>
          <w:tcPr>
            <w:tcW w:w="371" w:type="pct"/>
            <w:vMerge w:val="restart"/>
            <w:tcBorders>
              <w:top w:val="single" w:sz="4" w:space="0" w:color="auto"/>
              <w:left w:val="single" w:sz="4" w:space="0" w:color="auto"/>
              <w:right w:val="single" w:sz="4" w:space="0" w:color="auto"/>
            </w:tcBorders>
          </w:tcPr>
          <w:p w:rsidR="00F31905" w:rsidRPr="0091380F" w:rsidRDefault="00F31905" w:rsidP="00F31905">
            <w:pPr>
              <w:pStyle w:val="Default"/>
              <w:rPr>
                <w:rFonts w:ascii="Times New Roman" w:hAnsi="Times New Roman" w:cs="Times New Roman"/>
                <w:sz w:val="20"/>
                <w:szCs w:val="20"/>
                <w:lang w:val="ro-RO"/>
              </w:rPr>
            </w:pPr>
            <w:r w:rsidRPr="0091380F">
              <w:rPr>
                <w:rFonts w:ascii="Times New Roman" w:hAnsi="Times New Roman" w:cs="Times New Roman"/>
                <w:sz w:val="20"/>
                <w:szCs w:val="20"/>
                <w:lang w:val="ro-RO"/>
              </w:rPr>
              <w:t>FEDR</w:t>
            </w:r>
          </w:p>
        </w:tc>
        <w:tc>
          <w:tcPr>
            <w:tcW w:w="529" w:type="pct"/>
            <w:vMerge w:val="restart"/>
            <w:tcBorders>
              <w:top w:val="single" w:sz="4" w:space="0" w:color="auto"/>
              <w:left w:val="single" w:sz="4" w:space="0" w:color="auto"/>
              <w:right w:val="single" w:sz="4" w:space="0" w:color="auto"/>
            </w:tcBorders>
          </w:tcPr>
          <w:p w:rsidR="00F31905" w:rsidRPr="0091380F" w:rsidRDefault="00F31905" w:rsidP="00F31905">
            <w:pPr>
              <w:pStyle w:val="Default"/>
              <w:rPr>
                <w:rFonts w:ascii="Times New Roman" w:hAnsi="Times New Roman" w:cs="Times New Roman"/>
                <w:sz w:val="20"/>
                <w:szCs w:val="20"/>
                <w:lang w:val="ro-RO"/>
              </w:rPr>
            </w:pPr>
            <w:r w:rsidRPr="0091380F">
              <w:rPr>
                <w:rFonts w:ascii="Times New Roman" w:hAnsi="Times New Roman" w:cs="Times New Roman"/>
                <w:sz w:val="20"/>
                <w:szCs w:val="20"/>
                <w:lang w:val="ro-RO"/>
              </w:rPr>
              <w:t xml:space="preserve">Mai puțin </w:t>
            </w:r>
            <w:r>
              <w:rPr>
                <w:rFonts w:ascii="Times New Roman" w:hAnsi="Times New Roman" w:cs="Times New Roman"/>
                <w:sz w:val="20"/>
                <w:szCs w:val="20"/>
                <w:lang w:val="ro-RO"/>
              </w:rPr>
              <w:t>d</w:t>
            </w:r>
            <w:r w:rsidRPr="0091380F">
              <w:rPr>
                <w:rFonts w:ascii="Times New Roman" w:hAnsi="Times New Roman" w:cs="Times New Roman"/>
                <w:sz w:val="20"/>
                <w:szCs w:val="20"/>
                <w:lang w:val="ro-RO"/>
              </w:rPr>
              <w:t>ezvoltate</w:t>
            </w:r>
          </w:p>
        </w:tc>
        <w:tc>
          <w:tcPr>
            <w:tcW w:w="320" w:type="pct"/>
            <w:tcBorders>
              <w:top w:val="single" w:sz="4" w:space="0" w:color="auto"/>
              <w:left w:val="single" w:sz="4" w:space="0" w:color="auto"/>
              <w:bottom w:val="single" w:sz="4" w:space="0" w:color="auto"/>
              <w:right w:val="single" w:sz="4" w:space="0" w:color="auto"/>
            </w:tcBorders>
          </w:tcPr>
          <w:p w:rsidR="00F31905" w:rsidRPr="0091380F" w:rsidRDefault="00F31905" w:rsidP="00F31905">
            <w:pPr>
              <w:pStyle w:val="Default"/>
              <w:rPr>
                <w:rFonts w:ascii="Times New Roman" w:hAnsi="Times New Roman" w:cs="Times New Roman"/>
                <w:sz w:val="20"/>
                <w:szCs w:val="20"/>
                <w:lang w:val="ro-RO"/>
              </w:rPr>
            </w:pPr>
          </w:p>
        </w:tc>
        <w:tc>
          <w:tcPr>
            <w:tcW w:w="758" w:type="pct"/>
            <w:tcBorders>
              <w:top w:val="single" w:sz="4" w:space="0" w:color="auto"/>
              <w:left w:val="single" w:sz="4" w:space="0" w:color="auto"/>
              <w:bottom w:val="single" w:sz="4" w:space="0" w:color="auto"/>
              <w:right w:val="single" w:sz="4" w:space="0" w:color="auto"/>
            </w:tcBorders>
          </w:tcPr>
          <w:p w:rsidR="00F31905" w:rsidRPr="0091380F" w:rsidRDefault="00F31905" w:rsidP="00F31905">
            <w:pPr>
              <w:pStyle w:val="Default"/>
              <w:rPr>
                <w:rFonts w:ascii="Times New Roman" w:hAnsi="Times New Roman" w:cs="Times New Roman"/>
                <w:sz w:val="20"/>
                <w:szCs w:val="20"/>
                <w:lang w:val="ro-RO"/>
              </w:rPr>
            </w:pPr>
          </w:p>
        </w:tc>
        <w:tc>
          <w:tcPr>
            <w:tcW w:w="807" w:type="pct"/>
            <w:tcBorders>
              <w:top w:val="single" w:sz="4" w:space="0" w:color="auto"/>
              <w:left w:val="single" w:sz="4" w:space="0" w:color="auto"/>
              <w:bottom w:val="single" w:sz="4" w:space="0" w:color="auto"/>
              <w:right w:val="single" w:sz="4" w:space="0" w:color="auto"/>
            </w:tcBorders>
          </w:tcPr>
          <w:p w:rsidR="00F31905" w:rsidRPr="00F000AD" w:rsidRDefault="00F31905" w:rsidP="00F31905">
            <w:pPr>
              <w:rPr>
                <w:b/>
                <w:i/>
                <w:lang w:val="en-US"/>
              </w:rPr>
            </w:pPr>
            <w:r>
              <w:rPr>
                <w:b/>
                <w:i/>
                <w:lang w:val="en-US"/>
              </w:rPr>
              <w:t>Nr. persoane</w:t>
            </w:r>
          </w:p>
        </w:tc>
        <w:tc>
          <w:tcPr>
            <w:tcW w:w="581" w:type="pct"/>
            <w:tcBorders>
              <w:top w:val="single" w:sz="4" w:space="0" w:color="auto"/>
              <w:left w:val="single" w:sz="4" w:space="0" w:color="auto"/>
              <w:bottom w:val="single" w:sz="4" w:space="0" w:color="auto"/>
              <w:right w:val="single" w:sz="4" w:space="0" w:color="auto"/>
            </w:tcBorders>
          </w:tcPr>
          <w:p w:rsidR="00F31905" w:rsidRPr="00F000AD" w:rsidRDefault="00F31905" w:rsidP="00F31905">
            <w:pPr>
              <w:rPr>
                <w:b/>
                <w:i/>
                <w:lang w:val="en-US"/>
              </w:rPr>
            </w:pPr>
          </w:p>
        </w:tc>
        <w:tc>
          <w:tcPr>
            <w:tcW w:w="501" w:type="pct"/>
            <w:tcBorders>
              <w:top w:val="single" w:sz="4" w:space="0" w:color="auto"/>
              <w:left w:val="single" w:sz="4" w:space="0" w:color="auto"/>
              <w:bottom w:val="single" w:sz="4" w:space="0" w:color="auto"/>
              <w:right w:val="single" w:sz="4" w:space="0" w:color="auto"/>
            </w:tcBorders>
          </w:tcPr>
          <w:p w:rsidR="00F31905" w:rsidRPr="00F000AD" w:rsidRDefault="00F31905" w:rsidP="00F31905">
            <w:pPr>
              <w:rPr>
                <w:b/>
                <w:i/>
                <w:lang w:val="en-US"/>
              </w:rPr>
            </w:pPr>
          </w:p>
        </w:tc>
      </w:tr>
      <w:tr w:rsidR="00F31905" w:rsidRPr="00F000AD" w:rsidTr="00F31905">
        <w:trPr>
          <w:trHeight w:val="340"/>
        </w:trPr>
        <w:tc>
          <w:tcPr>
            <w:tcW w:w="457" w:type="pct"/>
            <w:vMerge/>
            <w:tcBorders>
              <w:left w:val="single" w:sz="4" w:space="0" w:color="auto"/>
              <w:right w:val="single" w:sz="4" w:space="0" w:color="auto"/>
            </w:tcBorders>
          </w:tcPr>
          <w:p w:rsidR="00F31905" w:rsidRPr="0091380F" w:rsidRDefault="00F31905" w:rsidP="00F31905">
            <w:pPr>
              <w:pStyle w:val="Default"/>
              <w:rPr>
                <w:rFonts w:ascii="Times New Roman" w:hAnsi="Times New Roman" w:cs="Times New Roman"/>
                <w:sz w:val="20"/>
                <w:szCs w:val="20"/>
              </w:rPr>
            </w:pPr>
          </w:p>
        </w:tc>
        <w:tc>
          <w:tcPr>
            <w:tcW w:w="676" w:type="pct"/>
            <w:vMerge/>
            <w:tcBorders>
              <w:left w:val="single" w:sz="4" w:space="0" w:color="auto"/>
              <w:right w:val="single" w:sz="4" w:space="0" w:color="auto"/>
            </w:tcBorders>
          </w:tcPr>
          <w:p w:rsidR="00F31905" w:rsidRPr="0091380F" w:rsidRDefault="00F31905" w:rsidP="00F31905">
            <w:pPr>
              <w:pStyle w:val="Default"/>
              <w:rPr>
                <w:rFonts w:ascii="Times New Roman" w:hAnsi="Times New Roman" w:cs="Times New Roman"/>
                <w:sz w:val="20"/>
                <w:szCs w:val="20"/>
                <w:lang w:val="ro-RO"/>
              </w:rPr>
            </w:pPr>
          </w:p>
        </w:tc>
        <w:tc>
          <w:tcPr>
            <w:tcW w:w="371" w:type="pct"/>
            <w:vMerge/>
            <w:tcBorders>
              <w:left w:val="single" w:sz="4" w:space="0" w:color="auto"/>
              <w:right w:val="single" w:sz="4" w:space="0" w:color="auto"/>
            </w:tcBorders>
          </w:tcPr>
          <w:p w:rsidR="00F31905" w:rsidRPr="0091380F" w:rsidRDefault="00F31905" w:rsidP="00F31905">
            <w:pPr>
              <w:pStyle w:val="Default"/>
              <w:rPr>
                <w:rFonts w:ascii="Times New Roman" w:hAnsi="Times New Roman" w:cs="Times New Roman"/>
                <w:sz w:val="20"/>
                <w:szCs w:val="20"/>
                <w:lang w:val="ro-RO"/>
              </w:rPr>
            </w:pPr>
          </w:p>
        </w:tc>
        <w:tc>
          <w:tcPr>
            <w:tcW w:w="529" w:type="pct"/>
            <w:vMerge/>
            <w:tcBorders>
              <w:left w:val="single" w:sz="4" w:space="0" w:color="auto"/>
              <w:bottom w:val="single" w:sz="4" w:space="0" w:color="auto"/>
              <w:right w:val="single" w:sz="4" w:space="0" w:color="auto"/>
            </w:tcBorders>
          </w:tcPr>
          <w:p w:rsidR="00F31905" w:rsidRPr="0091380F" w:rsidRDefault="00F31905" w:rsidP="00F31905">
            <w:pPr>
              <w:pStyle w:val="Default"/>
              <w:rPr>
                <w:rFonts w:ascii="Times New Roman" w:hAnsi="Times New Roman" w:cs="Times New Roman"/>
                <w:sz w:val="20"/>
                <w:szCs w:val="20"/>
                <w:lang w:val="ro-RO"/>
              </w:rPr>
            </w:pPr>
          </w:p>
        </w:tc>
        <w:tc>
          <w:tcPr>
            <w:tcW w:w="320" w:type="pct"/>
            <w:tcBorders>
              <w:top w:val="single" w:sz="4" w:space="0" w:color="auto"/>
              <w:left w:val="single" w:sz="4" w:space="0" w:color="auto"/>
              <w:bottom w:val="single" w:sz="4" w:space="0" w:color="auto"/>
              <w:right w:val="single" w:sz="4" w:space="0" w:color="auto"/>
            </w:tcBorders>
          </w:tcPr>
          <w:p w:rsidR="00F31905" w:rsidRPr="0091380F" w:rsidRDefault="00F31905" w:rsidP="00F31905">
            <w:pPr>
              <w:pStyle w:val="Default"/>
              <w:rPr>
                <w:rFonts w:ascii="Times New Roman" w:hAnsi="Times New Roman" w:cs="Times New Roman"/>
                <w:sz w:val="20"/>
                <w:szCs w:val="20"/>
                <w:lang w:val="ro-RO"/>
              </w:rPr>
            </w:pPr>
          </w:p>
        </w:tc>
        <w:tc>
          <w:tcPr>
            <w:tcW w:w="758" w:type="pct"/>
            <w:tcBorders>
              <w:top w:val="single" w:sz="4" w:space="0" w:color="auto"/>
              <w:left w:val="single" w:sz="4" w:space="0" w:color="auto"/>
              <w:bottom w:val="single" w:sz="4" w:space="0" w:color="auto"/>
              <w:right w:val="single" w:sz="4" w:space="0" w:color="auto"/>
            </w:tcBorders>
          </w:tcPr>
          <w:p w:rsidR="00F31905" w:rsidRPr="0091380F" w:rsidRDefault="00F31905" w:rsidP="00F31905">
            <w:pPr>
              <w:pStyle w:val="Default"/>
              <w:rPr>
                <w:rFonts w:ascii="Times New Roman" w:hAnsi="Times New Roman" w:cs="Times New Roman"/>
                <w:sz w:val="20"/>
                <w:szCs w:val="20"/>
                <w:lang w:val="ro-RO"/>
              </w:rPr>
            </w:pPr>
          </w:p>
        </w:tc>
        <w:tc>
          <w:tcPr>
            <w:tcW w:w="807" w:type="pct"/>
            <w:tcBorders>
              <w:top w:val="single" w:sz="4" w:space="0" w:color="auto"/>
              <w:left w:val="single" w:sz="4" w:space="0" w:color="auto"/>
              <w:bottom w:val="single" w:sz="4" w:space="0" w:color="auto"/>
              <w:right w:val="single" w:sz="4" w:space="0" w:color="auto"/>
            </w:tcBorders>
          </w:tcPr>
          <w:p w:rsidR="00F31905" w:rsidRPr="00F000AD" w:rsidRDefault="00F31905" w:rsidP="00F31905">
            <w:pPr>
              <w:rPr>
                <w:b/>
                <w:i/>
                <w:lang w:val="en-US"/>
              </w:rPr>
            </w:pPr>
            <w:r>
              <w:rPr>
                <w:b/>
                <w:i/>
                <w:lang w:val="en-US"/>
              </w:rPr>
              <w:t>Nr. persoane</w:t>
            </w:r>
          </w:p>
        </w:tc>
        <w:tc>
          <w:tcPr>
            <w:tcW w:w="581" w:type="pct"/>
            <w:tcBorders>
              <w:top w:val="single" w:sz="4" w:space="0" w:color="auto"/>
              <w:left w:val="single" w:sz="4" w:space="0" w:color="auto"/>
              <w:bottom w:val="single" w:sz="4" w:space="0" w:color="auto"/>
              <w:right w:val="single" w:sz="4" w:space="0" w:color="auto"/>
            </w:tcBorders>
          </w:tcPr>
          <w:p w:rsidR="00F31905" w:rsidRPr="00F000AD" w:rsidRDefault="00F31905" w:rsidP="00F31905">
            <w:pPr>
              <w:rPr>
                <w:b/>
                <w:i/>
                <w:lang w:val="en-US"/>
              </w:rPr>
            </w:pPr>
          </w:p>
        </w:tc>
        <w:tc>
          <w:tcPr>
            <w:tcW w:w="501" w:type="pct"/>
            <w:tcBorders>
              <w:top w:val="single" w:sz="4" w:space="0" w:color="auto"/>
              <w:left w:val="single" w:sz="4" w:space="0" w:color="auto"/>
              <w:bottom w:val="single" w:sz="4" w:space="0" w:color="auto"/>
              <w:right w:val="single" w:sz="4" w:space="0" w:color="auto"/>
            </w:tcBorders>
          </w:tcPr>
          <w:p w:rsidR="00F31905" w:rsidRPr="00F000AD" w:rsidRDefault="00F31905" w:rsidP="00F31905">
            <w:pPr>
              <w:rPr>
                <w:b/>
                <w:i/>
                <w:lang w:val="en-US"/>
              </w:rPr>
            </w:pPr>
          </w:p>
        </w:tc>
      </w:tr>
    </w:tbl>
    <w:p w:rsidR="00A5682B" w:rsidRPr="00F000AD" w:rsidRDefault="00A5682B" w:rsidP="00A5682B">
      <w:pPr>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6"/>
        <w:gridCol w:w="1064"/>
        <w:gridCol w:w="608"/>
        <w:gridCol w:w="845"/>
        <w:gridCol w:w="411"/>
        <w:gridCol w:w="846"/>
        <w:gridCol w:w="1203"/>
        <w:gridCol w:w="889"/>
        <w:gridCol w:w="924"/>
        <w:gridCol w:w="666"/>
        <w:gridCol w:w="692"/>
        <w:gridCol w:w="970"/>
      </w:tblGrid>
      <w:tr w:rsidR="00A5682B" w:rsidRPr="00F000AD" w:rsidTr="00F31905">
        <w:trPr>
          <w:trHeight w:val="480"/>
        </w:trPr>
        <w:tc>
          <w:tcPr>
            <w:tcW w:w="5000" w:type="pct"/>
            <w:gridSpan w:val="12"/>
            <w:tcBorders>
              <w:top w:val="single" w:sz="4" w:space="0" w:color="auto"/>
              <w:left w:val="single" w:sz="4" w:space="0" w:color="auto"/>
              <w:bottom w:val="single" w:sz="4" w:space="0" w:color="auto"/>
              <w:right w:val="single" w:sz="4" w:space="0" w:color="auto"/>
            </w:tcBorders>
            <w:hideMark/>
          </w:tcPr>
          <w:p w:rsidR="00A5682B" w:rsidRPr="00F000AD" w:rsidRDefault="00A5682B" w:rsidP="005760F3">
            <w:pPr>
              <w:rPr>
                <w:b/>
                <w:lang w:val="en-US"/>
              </w:rPr>
            </w:pPr>
            <w:r w:rsidRPr="00F000AD">
              <w:rPr>
                <w:b/>
                <w:iCs/>
                <w:lang w:val="en-US"/>
              </w:rPr>
              <w:t>Table 3: Result indicators</w:t>
            </w:r>
          </w:p>
        </w:tc>
      </w:tr>
      <w:tr w:rsidR="00A5682B" w:rsidRPr="00F000AD" w:rsidTr="00F31905">
        <w:trPr>
          <w:trHeight w:val="1768"/>
        </w:trPr>
        <w:tc>
          <w:tcPr>
            <w:tcW w:w="648" w:type="pct"/>
            <w:tcBorders>
              <w:top w:val="single" w:sz="4" w:space="0" w:color="auto"/>
              <w:left w:val="single" w:sz="4" w:space="0" w:color="auto"/>
              <w:bottom w:val="single" w:sz="4" w:space="0" w:color="auto"/>
              <w:right w:val="single" w:sz="4" w:space="0" w:color="auto"/>
            </w:tcBorders>
            <w:hideMark/>
          </w:tcPr>
          <w:p w:rsidR="00A5682B" w:rsidRPr="00F000AD" w:rsidRDefault="00A5682B" w:rsidP="005760F3">
            <w:pPr>
              <w:rPr>
                <w:b/>
                <w:lang w:val="en-US"/>
              </w:rPr>
            </w:pPr>
            <w:r w:rsidRPr="00F000AD">
              <w:rPr>
                <w:b/>
                <w:lang w:val="en-US"/>
              </w:rPr>
              <w:t xml:space="preserve">Priority </w:t>
            </w:r>
            <w:r>
              <w:rPr>
                <w:b/>
                <w:lang w:val="en-US"/>
              </w:rPr>
              <w:t>5</w:t>
            </w:r>
          </w:p>
        </w:tc>
        <w:tc>
          <w:tcPr>
            <w:tcW w:w="515" w:type="pct"/>
            <w:tcBorders>
              <w:top w:val="single" w:sz="4" w:space="0" w:color="auto"/>
              <w:left w:val="single" w:sz="4" w:space="0" w:color="auto"/>
              <w:bottom w:val="single" w:sz="4" w:space="0" w:color="auto"/>
              <w:right w:val="single" w:sz="4" w:space="0" w:color="auto"/>
            </w:tcBorders>
            <w:hideMark/>
          </w:tcPr>
          <w:p w:rsidR="00A5682B" w:rsidRPr="00F000AD" w:rsidRDefault="00A5682B" w:rsidP="005760F3">
            <w:pPr>
              <w:rPr>
                <w:b/>
                <w:lang w:val="en-US"/>
              </w:rPr>
            </w:pPr>
            <w:r w:rsidRPr="00F000AD">
              <w:rPr>
                <w:b/>
                <w:lang w:val="en-US"/>
              </w:rPr>
              <w:t>Specific objective (Investment for Jobs and Growth goal or EMFF)</w:t>
            </w:r>
          </w:p>
        </w:tc>
        <w:tc>
          <w:tcPr>
            <w:tcW w:w="290" w:type="pct"/>
            <w:tcBorders>
              <w:top w:val="single" w:sz="4" w:space="0" w:color="auto"/>
              <w:left w:val="single" w:sz="4" w:space="0" w:color="auto"/>
              <w:bottom w:val="single" w:sz="4" w:space="0" w:color="auto"/>
              <w:right w:val="single" w:sz="4" w:space="0" w:color="auto"/>
            </w:tcBorders>
            <w:hideMark/>
          </w:tcPr>
          <w:p w:rsidR="00A5682B" w:rsidRPr="00F000AD" w:rsidRDefault="00A5682B" w:rsidP="005760F3">
            <w:pPr>
              <w:rPr>
                <w:b/>
                <w:lang w:val="en-US"/>
              </w:rPr>
            </w:pPr>
            <w:r w:rsidRPr="00F000AD">
              <w:rPr>
                <w:b/>
                <w:lang w:val="en-US"/>
              </w:rPr>
              <w:t>Fund</w:t>
            </w:r>
          </w:p>
        </w:tc>
        <w:tc>
          <w:tcPr>
            <w:tcW w:w="423" w:type="pct"/>
            <w:tcBorders>
              <w:top w:val="single" w:sz="4" w:space="0" w:color="auto"/>
              <w:left w:val="single" w:sz="4" w:space="0" w:color="auto"/>
              <w:bottom w:val="single" w:sz="4" w:space="0" w:color="auto"/>
              <w:right w:val="single" w:sz="4" w:space="0" w:color="auto"/>
            </w:tcBorders>
            <w:hideMark/>
          </w:tcPr>
          <w:p w:rsidR="00A5682B" w:rsidRPr="00F000AD" w:rsidRDefault="00A5682B" w:rsidP="005760F3">
            <w:pPr>
              <w:rPr>
                <w:b/>
                <w:lang w:val="en-US"/>
              </w:rPr>
            </w:pPr>
            <w:r w:rsidRPr="00F000AD">
              <w:rPr>
                <w:b/>
                <w:lang w:val="en-US"/>
              </w:rPr>
              <w:t>Category of region</w:t>
            </w:r>
            <w:r w:rsidRPr="00F000AD">
              <w:rPr>
                <w:lang w:val="en-US"/>
              </w:rPr>
              <w:t xml:space="preserve"> </w:t>
            </w:r>
          </w:p>
        </w:tc>
        <w:tc>
          <w:tcPr>
            <w:tcW w:w="254" w:type="pct"/>
            <w:tcBorders>
              <w:top w:val="single" w:sz="4" w:space="0" w:color="auto"/>
              <w:left w:val="single" w:sz="4" w:space="0" w:color="auto"/>
              <w:bottom w:val="single" w:sz="4" w:space="0" w:color="auto"/>
              <w:right w:val="single" w:sz="4" w:space="0" w:color="auto"/>
            </w:tcBorders>
            <w:hideMark/>
          </w:tcPr>
          <w:p w:rsidR="00A5682B" w:rsidRPr="00F000AD" w:rsidRDefault="00A5682B" w:rsidP="005760F3">
            <w:pPr>
              <w:rPr>
                <w:b/>
                <w:lang w:val="en-US"/>
              </w:rPr>
            </w:pPr>
            <w:r w:rsidRPr="00F000AD">
              <w:rPr>
                <w:b/>
                <w:lang w:val="en-US"/>
              </w:rPr>
              <w:t>ID [5]</w:t>
            </w:r>
          </w:p>
        </w:tc>
        <w:tc>
          <w:tcPr>
            <w:tcW w:w="543" w:type="pct"/>
            <w:tcBorders>
              <w:top w:val="single" w:sz="4" w:space="0" w:color="auto"/>
              <w:left w:val="single" w:sz="4" w:space="0" w:color="auto"/>
              <w:bottom w:val="single" w:sz="4" w:space="0" w:color="auto"/>
              <w:right w:val="single" w:sz="4" w:space="0" w:color="auto"/>
            </w:tcBorders>
            <w:hideMark/>
          </w:tcPr>
          <w:p w:rsidR="00A5682B" w:rsidRPr="00F000AD" w:rsidRDefault="00A5682B" w:rsidP="005760F3">
            <w:pPr>
              <w:rPr>
                <w:b/>
                <w:lang w:val="en-US"/>
              </w:rPr>
            </w:pPr>
            <w:r w:rsidRPr="00F000AD">
              <w:rPr>
                <w:b/>
                <w:lang w:val="en-US"/>
              </w:rPr>
              <w:t>Indicator [255]</w:t>
            </w:r>
          </w:p>
        </w:tc>
        <w:tc>
          <w:tcPr>
            <w:tcW w:w="518" w:type="pct"/>
            <w:tcBorders>
              <w:top w:val="single" w:sz="4" w:space="0" w:color="auto"/>
              <w:left w:val="single" w:sz="4" w:space="0" w:color="auto"/>
              <w:bottom w:val="single" w:sz="4" w:space="0" w:color="auto"/>
              <w:right w:val="single" w:sz="4" w:space="0" w:color="auto"/>
            </w:tcBorders>
            <w:hideMark/>
          </w:tcPr>
          <w:p w:rsidR="00A5682B" w:rsidRPr="00F000AD" w:rsidRDefault="00A5682B" w:rsidP="005760F3">
            <w:pPr>
              <w:rPr>
                <w:b/>
                <w:lang w:val="en-US"/>
              </w:rPr>
            </w:pPr>
            <w:r w:rsidRPr="00F000AD">
              <w:rPr>
                <w:b/>
                <w:lang w:val="en-US"/>
              </w:rPr>
              <w:t>Measurement unit</w:t>
            </w:r>
          </w:p>
        </w:tc>
        <w:tc>
          <w:tcPr>
            <w:tcW w:w="386" w:type="pct"/>
            <w:tcBorders>
              <w:top w:val="single" w:sz="4" w:space="0" w:color="auto"/>
              <w:left w:val="single" w:sz="4" w:space="0" w:color="auto"/>
              <w:bottom w:val="single" w:sz="4" w:space="0" w:color="auto"/>
              <w:right w:val="single" w:sz="4" w:space="0" w:color="auto"/>
            </w:tcBorders>
            <w:hideMark/>
          </w:tcPr>
          <w:p w:rsidR="00A5682B" w:rsidRPr="00F000AD" w:rsidRDefault="00A5682B" w:rsidP="005760F3">
            <w:pPr>
              <w:rPr>
                <w:b/>
                <w:lang w:val="en-US"/>
              </w:rPr>
            </w:pPr>
            <w:r w:rsidRPr="00F000AD">
              <w:rPr>
                <w:b/>
                <w:lang w:val="en-US"/>
              </w:rPr>
              <w:t>Baseline or reference value</w:t>
            </w:r>
          </w:p>
        </w:tc>
        <w:tc>
          <w:tcPr>
            <w:tcW w:w="401" w:type="pct"/>
            <w:tcBorders>
              <w:top w:val="single" w:sz="4" w:space="0" w:color="auto"/>
              <w:left w:val="single" w:sz="4" w:space="0" w:color="auto"/>
              <w:bottom w:val="single" w:sz="4" w:space="0" w:color="auto"/>
              <w:right w:val="single" w:sz="4" w:space="0" w:color="auto"/>
            </w:tcBorders>
            <w:hideMark/>
          </w:tcPr>
          <w:p w:rsidR="00A5682B" w:rsidRPr="00F000AD" w:rsidRDefault="00A5682B" w:rsidP="005760F3">
            <w:pPr>
              <w:rPr>
                <w:b/>
                <w:lang w:val="en-US"/>
              </w:rPr>
            </w:pPr>
            <w:r w:rsidRPr="00F000AD">
              <w:rPr>
                <w:b/>
                <w:lang w:val="en-US"/>
              </w:rPr>
              <w:t>Reference year</w:t>
            </w:r>
          </w:p>
        </w:tc>
        <w:tc>
          <w:tcPr>
            <w:tcW w:w="296" w:type="pct"/>
            <w:tcBorders>
              <w:top w:val="single" w:sz="4" w:space="0" w:color="auto"/>
              <w:left w:val="single" w:sz="4" w:space="0" w:color="auto"/>
              <w:bottom w:val="single" w:sz="4" w:space="0" w:color="auto"/>
              <w:right w:val="single" w:sz="4" w:space="0" w:color="auto"/>
            </w:tcBorders>
          </w:tcPr>
          <w:p w:rsidR="00A5682B" w:rsidRPr="00F000AD" w:rsidRDefault="00A5682B" w:rsidP="005760F3">
            <w:pPr>
              <w:rPr>
                <w:b/>
                <w:lang w:val="en-US"/>
              </w:rPr>
            </w:pPr>
            <w:r w:rsidRPr="00F000AD">
              <w:rPr>
                <w:b/>
                <w:lang w:val="en-US"/>
              </w:rPr>
              <w:t>Target (2029)</w:t>
            </w:r>
          </w:p>
          <w:p w:rsidR="00A5682B" w:rsidRPr="00F000AD" w:rsidRDefault="00A5682B" w:rsidP="005760F3">
            <w:pPr>
              <w:rPr>
                <w:b/>
                <w:lang w:val="en-US"/>
              </w:rPr>
            </w:pPr>
          </w:p>
        </w:tc>
        <w:tc>
          <w:tcPr>
            <w:tcW w:w="306" w:type="pct"/>
            <w:tcBorders>
              <w:top w:val="single" w:sz="4" w:space="0" w:color="auto"/>
              <w:left w:val="single" w:sz="4" w:space="0" w:color="auto"/>
              <w:bottom w:val="single" w:sz="4" w:space="0" w:color="auto"/>
              <w:right w:val="single" w:sz="4" w:space="0" w:color="auto"/>
            </w:tcBorders>
            <w:hideMark/>
          </w:tcPr>
          <w:p w:rsidR="00A5682B" w:rsidRPr="00F000AD" w:rsidRDefault="00A5682B" w:rsidP="005760F3">
            <w:pPr>
              <w:rPr>
                <w:b/>
                <w:lang w:val="en-US"/>
              </w:rPr>
            </w:pPr>
            <w:r w:rsidRPr="00F000AD">
              <w:rPr>
                <w:b/>
                <w:lang w:val="en-US"/>
              </w:rPr>
              <w:t>Source of data [200]</w:t>
            </w:r>
          </w:p>
        </w:tc>
        <w:tc>
          <w:tcPr>
            <w:tcW w:w="420" w:type="pct"/>
            <w:tcBorders>
              <w:top w:val="single" w:sz="4" w:space="0" w:color="auto"/>
              <w:left w:val="single" w:sz="4" w:space="0" w:color="auto"/>
              <w:bottom w:val="single" w:sz="4" w:space="0" w:color="auto"/>
              <w:right w:val="single" w:sz="4" w:space="0" w:color="auto"/>
            </w:tcBorders>
            <w:hideMark/>
          </w:tcPr>
          <w:p w:rsidR="00A5682B" w:rsidRPr="00F000AD" w:rsidRDefault="00A5682B" w:rsidP="005760F3">
            <w:pPr>
              <w:rPr>
                <w:b/>
                <w:lang w:val="en-US"/>
              </w:rPr>
            </w:pPr>
            <w:r w:rsidRPr="00F000AD">
              <w:rPr>
                <w:b/>
                <w:lang w:val="en-US"/>
              </w:rPr>
              <w:t>Comments [200]</w:t>
            </w:r>
          </w:p>
        </w:tc>
      </w:tr>
      <w:tr w:rsidR="00A5682B" w:rsidRPr="00F000AD" w:rsidTr="00F31905">
        <w:trPr>
          <w:trHeight w:val="434"/>
        </w:trPr>
        <w:tc>
          <w:tcPr>
            <w:tcW w:w="648" w:type="pct"/>
            <w:vMerge w:val="restart"/>
            <w:tcBorders>
              <w:top w:val="single" w:sz="4" w:space="0" w:color="auto"/>
              <w:left w:val="single" w:sz="4" w:space="0" w:color="auto"/>
              <w:right w:val="single" w:sz="4" w:space="0" w:color="auto"/>
            </w:tcBorders>
          </w:tcPr>
          <w:p w:rsidR="00A5682B" w:rsidRPr="0027619C" w:rsidRDefault="00F31905" w:rsidP="005760F3">
            <w:pPr>
              <w:pStyle w:val="Default"/>
              <w:rPr>
                <w:rFonts w:ascii="Times New Roman" w:hAnsi="Times New Roman" w:cs="Times New Roman"/>
                <w:sz w:val="20"/>
                <w:szCs w:val="20"/>
                <w:lang w:val="ro-RO"/>
              </w:rPr>
            </w:pPr>
            <w:r>
              <w:rPr>
                <w:rFonts w:ascii="Times New Roman" w:hAnsi="Times New Roman" w:cs="Times New Roman"/>
                <w:sz w:val="20"/>
                <w:szCs w:val="20"/>
              </w:rPr>
              <w:t>5</w:t>
            </w:r>
          </w:p>
        </w:tc>
        <w:tc>
          <w:tcPr>
            <w:tcW w:w="515" w:type="pct"/>
            <w:vMerge w:val="restart"/>
            <w:tcBorders>
              <w:top w:val="single" w:sz="4" w:space="0" w:color="auto"/>
              <w:left w:val="single" w:sz="4" w:space="0" w:color="auto"/>
              <w:right w:val="single" w:sz="4" w:space="0" w:color="auto"/>
            </w:tcBorders>
          </w:tcPr>
          <w:p w:rsidR="00A5682B" w:rsidRPr="0027619C" w:rsidRDefault="00A5682B" w:rsidP="005760F3">
            <w:pPr>
              <w:pStyle w:val="Default"/>
              <w:rPr>
                <w:rFonts w:ascii="Times New Roman" w:hAnsi="Times New Roman" w:cs="Times New Roman"/>
                <w:sz w:val="20"/>
                <w:szCs w:val="20"/>
                <w:lang w:val="ro-RO"/>
              </w:rPr>
            </w:pPr>
          </w:p>
        </w:tc>
        <w:tc>
          <w:tcPr>
            <w:tcW w:w="290" w:type="pct"/>
            <w:vMerge w:val="restart"/>
            <w:tcBorders>
              <w:top w:val="single" w:sz="4" w:space="0" w:color="auto"/>
              <w:left w:val="single" w:sz="4" w:space="0" w:color="auto"/>
              <w:right w:val="single" w:sz="4" w:space="0" w:color="auto"/>
            </w:tcBorders>
          </w:tcPr>
          <w:p w:rsidR="00A5682B" w:rsidRPr="0027619C" w:rsidRDefault="00A5682B" w:rsidP="005760F3">
            <w:pPr>
              <w:pStyle w:val="Default"/>
              <w:rPr>
                <w:rFonts w:ascii="Times New Roman" w:hAnsi="Times New Roman" w:cs="Times New Roman"/>
                <w:sz w:val="20"/>
                <w:szCs w:val="20"/>
                <w:lang w:val="ro-RO"/>
              </w:rPr>
            </w:pPr>
            <w:r w:rsidRPr="0027619C">
              <w:rPr>
                <w:rFonts w:ascii="Times New Roman" w:hAnsi="Times New Roman" w:cs="Times New Roman"/>
                <w:sz w:val="20"/>
                <w:szCs w:val="20"/>
                <w:lang w:val="ro-RO"/>
              </w:rPr>
              <w:t>FEDR</w:t>
            </w:r>
          </w:p>
        </w:tc>
        <w:tc>
          <w:tcPr>
            <w:tcW w:w="423" w:type="pct"/>
            <w:vMerge w:val="restart"/>
            <w:tcBorders>
              <w:top w:val="single" w:sz="4" w:space="0" w:color="auto"/>
              <w:left w:val="single" w:sz="4" w:space="0" w:color="auto"/>
              <w:right w:val="single" w:sz="4" w:space="0" w:color="auto"/>
            </w:tcBorders>
          </w:tcPr>
          <w:p w:rsidR="00A5682B" w:rsidRPr="0027619C" w:rsidRDefault="00A5682B" w:rsidP="005760F3">
            <w:pPr>
              <w:pStyle w:val="Default"/>
              <w:rPr>
                <w:rFonts w:ascii="Times New Roman" w:hAnsi="Times New Roman" w:cs="Times New Roman"/>
                <w:sz w:val="20"/>
                <w:szCs w:val="20"/>
                <w:lang w:val="ro-RO"/>
              </w:rPr>
            </w:pPr>
            <w:r>
              <w:rPr>
                <w:rFonts w:ascii="Times New Roman" w:hAnsi="Times New Roman" w:cs="Times New Roman"/>
                <w:sz w:val="20"/>
                <w:szCs w:val="20"/>
                <w:lang w:val="ro-RO"/>
              </w:rPr>
              <w:t>Mai puțin d</w:t>
            </w:r>
            <w:r w:rsidRPr="0027619C">
              <w:rPr>
                <w:rFonts w:ascii="Times New Roman" w:hAnsi="Times New Roman" w:cs="Times New Roman"/>
                <w:sz w:val="20"/>
                <w:szCs w:val="20"/>
                <w:lang w:val="ro-RO"/>
              </w:rPr>
              <w:t>ezvoltate</w:t>
            </w:r>
          </w:p>
        </w:tc>
        <w:tc>
          <w:tcPr>
            <w:tcW w:w="254" w:type="pct"/>
            <w:tcBorders>
              <w:top w:val="single" w:sz="4" w:space="0" w:color="auto"/>
              <w:left w:val="single" w:sz="4" w:space="0" w:color="auto"/>
              <w:bottom w:val="single" w:sz="4" w:space="0" w:color="auto"/>
              <w:right w:val="single" w:sz="4" w:space="0" w:color="auto"/>
            </w:tcBorders>
          </w:tcPr>
          <w:p w:rsidR="00A5682B" w:rsidRPr="0027619C" w:rsidRDefault="00A5682B" w:rsidP="005760F3">
            <w:pPr>
              <w:pStyle w:val="Default"/>
              <w:rPr>
                <w:rFonts w:ascii="Times New Roman" w:hAnsi="Times New Roman" w:cs="Times New Roman"/>
                <w:sz w:val="20"/>
                <w:szCs w:val="20"/>
                <w:lang w:val="ro-RO"/>
              </w:rPr>
            </w:pPr>
          </w:p>
        </w:tc>
        <w:tc>
          <w:tcPr>
            <w:tcW w:w="543" w:type="pct"/>
            <w:tcBorders>
              <w:top w:val="single" w:sz="4" w:space="0" w:color="auto"/>
              <w:left w:val="single" w:sz="4" w:space="0" w:color="auto"/>
              <w:bottom w:val="single" w:sz="4" w:space="0" w:color="auto"/>
              <w:right w:val="single" w:sz="4" w:space="0" w:color="auto"/>
            </w:tcBorders>
          </w:tcPr>
          <w:p w:rsidR="00A5682B" w:rsidRPr="0027619C" w:rsidRDefault="00A5682B" w:rsidP="005760F3">
            <w:pPr>
              <w:pStyle w:val="Default"/>
              <w:rPr>
                <w:rFonts w:ascii="Times New Roman" w:hAnsi="Times New Roman" w:cs="Times New Roman"/>
                <w:sz w:val="20"/>
                <w:szCs w:val="20"/>
                <w:lang w:val="ro-RO"/>
              </w:rPr>
            </w:pPr>
          </w:p>
        </w:tc>
        <w:tc>
          <w:tcPr>
            <w:tcW w:w="518" w:type="pct"/>
            <w:tcBorders>
              <w:top w:val="single" w:sz="4" w:space="0" w:color="auto"/>
              <w:left w:val="single" w:sz="4" w:space="0" w:color="auto"/>
              <w:bottom w:val="single" w:sz="4" w:space="0" w:color="auto"/>
              <w:right w:val="single" w:sz="4" w:space="0" w:color="auto"/>
            </w:tcBorders>
          </w:tcPr>
          <w:p w:rsidR="00A5682B" w:rsidRPr="00F000AD" w:rsidRDefault="00A5682B" w:rsidP="005760F3">
            <w:pPr>
              <w:rPr>
                <w:i/>
                <w:lang w:val="en-US"/>
              </w:rPr>
            </w:pPr>
          </w:p>
        </w:tc>
        <w:tc>
          <w:tcPr>
            <w:tcW w:w="386" w:type="pct"/>
            <w:tcBorders>
              <w:top w:val="single" w:sz="4" w:space="0" w:color="auto"/>
              <w:left w:val="single" w:sz="4" w:space="0" w:color="auto"/>
              <w:bottom w:val="single" w:sz="4" w:space="0" w:color="auto"/>
              <w:right w:val="single" w:sz="4" w:space="0" w:color="auto"/>
            </w:tcBorders>
          </w:tcPr>
          <w:p w:rsidR="00A5682B" w:rsidRPr="00F000AD" w:rsidRDefault="00A5682B" w:rsidP="005760F3">
            <w:pPr>
              <w:rPr>
                <w:i/>
                <w:lang w:val="en-US"/>
              </w:rPr>
            </w:pPr>
          </w:p>
        </w:tc>
        <w:tc>
          <w:tcPr>
            <w:tcW w:w="401" w:type="pct"/>
            <w:tcBorders>
              <w:top w:val="single" w:sz="4" w:space="0" w:color="auto"/>
              <w:left w:val="single" w:sz="4" w:space="0" w:color="auto"/>
              <w:bottom w:val="single" w:sz="4" w:space="0" w:color="auto"/>
              <w:right w:val="single" w:sz="4" w:space="0" w:color="auto"/>
            </w:tcBorders>
          </w:tcPr>
          <w:p w:rsidR="00A5682B" w:rsidRPr="00F000AD" w:rsidRDefault="00A5682B" w:rsidP="005760F3">
            <w:pPr>
              <w:rPr>
                <w:b/>
                <w:lang w:val="en-US"/>
              </w:rPr>
            </w:pPr>
          </w:p>
        </w:tc>
        <w:tc>
          <w:tcPr>
            <w:tcW w:w="296" w:type="pct"/>
            <w:tcBorders>
              <w:top w:val="single" w:sz="4" w:space="0" w:color="auto"/>
              <w:left w:val="single" w:sz="4" w:space="0" w:color="auto"/>
              <w:bottom w:val="single" w:sz="4" w:space="0" w:color="auto"/>
              <w:right w:val="single" w:sz="4" w:space="0" w:color="auto"/>
            </w:tcBorders>
          </w:tcPr>
          <w:p w:rsidR="00A5682B" w:rsidRPr="00F000AD" w:rsidRDefault="00A5682B" w:rsidP="005760F3">
            <w:pPr>
              <w:rPr>
                <w:b/>
                <w:lang w:val="en-US"/>
              </w:rPr>
            </w:pPr>
          </w:p>
        </w:tc>
        <w:tc>
          <w:tcPr>
            <w:tcW w:w="306" w:type="pct"/>
            <w:tcBorders>
              <w:top w:val="single" w:sz="4" w:space="0" w:color="auto"/>
              <w:left w:val="single" w:sz="4" w:space="0" w:color="auto"/>
              <w:bottom w:val="single" w:sz="4" w:space="0" w:color="auto"/>
              <w:right w:val="single" w:sz="4" w:space="0" w:color="auto"/>
            </w:tcBorders>
          </w:tcPr>
          <w:p w:rsidR="00A5682B" w:rsidRPr="00F000AD" w:rsidRDefault="00A5682B" w:rsidP="005760F3">
            <w:pPr>
              <w:rPr>
                <w:i/>
                <w:lang w:val="en-US"/>
              </w:rPr>
            </w:pPr>
          </w:p>
        </w:tc>
        <w:tc>
          <w:tcPr>
            <w:tcW w:w="420" w:type="pct"/>
            <w:tcBorders>
              <w:top w:val="single" w:sz="4" w:space="0" w:color="auto"/>
              <w:left w:val="single" w:sz="4" w:space="0" w:color="auto"/>
              <w:bottom w:val="single" w:sz="4" w:space="0" w:color="auto"/>
              <w:right w:val="single" w:sz="4" w:space="0" w:color="auto"/>
            </w:tcBorders>
          </w:tcPr>
          <w:p w:rsidR="00A5682B" w:rsidRPr="00F000AD" w:rsidRDefault="00A5682B" w:rsidP="005760F3">
            <w:pPr>
              <w:rPr>
                <w:i/>
                <w:lang w:val="en-US"/>
              </w:rPr>
            </w:pPr>
          </w:p>
        </w:tc>
      </w:tr>
      <w:tr w:rsidR="00A5682B" w:rsidRPr="00F000AD" w:rsidTr="00F31905">
        <w:trPr>
          <w:trHeight w:val="434"/>
        </w:trPr>
        <w:tc>
          <w:tcPr>
            <w:tcW w:w="648" w:type="pct"/>
            <w:vMerge/>
            <w:tcBorders>
              <w:left w:val="single" w:sz="4" w:space="0" w:color="auto"/>
              <w:bottom w:val="single" w:sz="4" w:space="0" w:color="auto"/>
              <w:right w:val="single" w:sz="4" w:space="0" w:color="auto"/>
            </w:tcBorders>
          </w:tcPr>
          <w:p w:rsidR="00A5682B" w:rsidRPr="0027619C" w:rsidRDefault="00A5682B" w:rsidP="005760F3">
            <w:pPr>
              <w:pStyle w:val="Default"/>
              <w:rPr>
                <w:rFonts w:ascii="Times New Roman" w:hAnsi="Times New Roman" w:cs="Times New Roman"/>
                <w:sz w:val="20"/>
                <w:szCs w:val="20"/>
              </w:rPr>
            </w:pPr>
          </w:p>
        </w:tc>
        <w:tc>
          <w:tcPr>
            <w:tcW w:w="515" w:type="pct"/>
            <w:vMerge/>
            <w:tcBorders>
              <w:left w:val="single" w:sz="4" w:space="0" w:color="auto"/>
              <w:bottom w:val="single" w:sz="4" w:space="0" w:color="auto"/>
              <w:right w:val="single" w:sz="4" w:space="0" w:color="auto"/>
            </w:tcBorders>
          </w:tcPr>
          <w:p w:rsidR="00A5682B" w:rsidRPr="0027619C" w:rsidRDefault="00A5682B" w:rsidP="005760F3">
            <w:pPr>
              <w:pStyle w:val="Default"/>
              <w:rPr>
                <w:rFonts w:ascii="Times New Roman" w:hAnsi="Times New Roman" w:cs="Times New Roman"/>
                <w:sz w:val="20"/>
                <w:szCs w:val="20"/>
                <w:lang w:val="ro-RO"/>
              </w:rPr>
            </w:pPr>
          </w:p>
        </w:tc>
        <w:tc>
          <w:tcPr>
            <w:tcW w:w="290" w:type="pct"/>
            <w:vMerge/>
            <w:tcBorders>
              <w:left w:val="single" w:sz="4" w:space="0" w:color="auto"/>
              <w:bottom w:val="single" w:sz="4" w:space="0" w:color="auto"/>
              <w:right w:val="single" w:sz="4" w:space="0" w:color="auto"/>
            </w:tcBorders>
          </w:tcPr>
          <w:p w:rsidR="00A5682B" w:rsidRPr="0027619C" w:rsidRDefault="00A5682B" w:rsidP="005760F3">
            <w:pPr>
              <w:pStyle w:val="Default"/>
              <w:rPr>
                <w:rFonts w:ascii="Times New Roman" w:hAnsi="Times New Roman" w:cs="Times New Roman"/>
                <w:sz w:val="20"/>
                <w:szCs w:val="20"/>
                <w:lang w:val="ro-RO"/>
              </w:rPr>
            </w:pPr>
          </w:p>
        </w:tc>
        <w:tc>
          <w:tcPr>
            <w:tcW w:w="423" w:type="pct"/>
            <w:vMerge/>
            <w:tcBorders>
              <w:left w:val="single" w:sz="4" w:space="0" w:color="auto"/>
              <w:bottom w:val="single" w:sz="4" w:space="0" w:color="auto"/>
              <w:right w:val="single" w:sz="4" w:space="0" w:color="auto"/>
            </w:tcBorders>
          </w:tcPr>
          <w:p w:rsidR="00A5682B" w:rsidRDefault="00A5682B" w:rsidP="005760F3">
            <w:pPr>
              <w:pStyle w:val="Default"/>
              <w:rPr>
                <w:rFonts w:ascii="Times New Roman" w:hAnsi="Times New Roman" w:cs="Times New Roman"/>
                <w:sz w:val="20"/>
                <w:szCs w:val="20"/>
                <w:lang w:val="ro-RO"/>
              </w:rPr>
            </w:pPr>
          </w:p>
        </w:tc>
        <w:tc>
          <w:tcPr>
            <w:tcW w:w="254" w:type="pct"/>
            <w:tcBorders>
              <w:top w:val="single" w:sz="4" w:space="0" w:color="auto"/>
              <w:left w:val="single" w:sz="4" w:space="0" w:color="auto"/>
              <w:bottom w:val="single" w:sz="4" w:space="0" w:color="auto"/>
              <w:right w:val="single" w:sz="4" w:space="0" w:color="auto"/>
            </w:tcBorders>
          </w:tcPr>
          <w:p w:rsidR="00A5682B" w:rsidRPr="0027619C" w:rsidRDefault="00A5682B" w:rsidP="005760F3">
            <w:pPr>
              <w:pStyle w:val="Default"/>
              <w:rPr>
                <w:rFonts w:ascii="Times New Roman" w:hAnsi="Times New Roman" w:cs="Times New Roman"/>
                <w:sz w:val="20"/>
                <w:szCs w:val="20"/>
                <w:lang w:val="ro-RO"/>
              </w:rPr>
            </w:pPr>
          </w:p>
        </w:tc>
        <w:tc>
          <w:tcPr>
            <w:tcW w:w="543" w:type="pct"/>
            <w:tcBorders>
              <w:top w:val="single" w:sz="4" w:space="0" w:color="auto"/>
              <w:left w:val="single" w:sz="4" w:space="0" w:color="auto"/>
              <w:bottom w:val="single" w:sz="4" w:space="0" w:color="auto"/>
              <w:right w:val="single" w:sz="4" w:space="0" w:color="auto"/>
            </w:tcBorders>
          </w:tcPr>
          <w:p w:rsidR="00A5682B" w:rsidRPr="0027619C" w:rsidRDefault="00A5682B" w:rsidP="005760F3">
            <w:pPr>
              <w:pStyle w:val="Default"/>
              <w:rPr>
                <w:rFonts w:ascii="Times New Roman" w:hAnsi="Times New Roman" w:cs="Times New Roman"/>
                <w:sz w:val="20"/>
                <w:szCs w:val="20"/>
                <w:lang w:val="ro-RO"/>
              </w:rPr>
            </w:pPr>
          </w:p>
        </w:tc>
        <w:tc>
          <w:tcPr>
            <w:tcW w:w="518" w:type="pct"/>
            <w:tcBorders>
              <w:top w:val="single" w:sz="4" w:space="0" w:color="auto"/>
              <w:left w:val="single" w:sz="4" w:space="0" w:color="auto"/>
              <w:bottom w:val="single" w:sz="4" w:space="0" w:color="auto"/>
              <w:right w:val="single" w:sz="4" w:space="0" w:color="auto"/>
            </w:tcBorders>
          </w:tcPr>
          <w:p w:rsidR="00A5682B" w:rsidRPr="00F000AD" w:rsidRDefault="00A5682B" w:rsidP="005760F3">
            <w:pPr>
              <w:rPr>
                <w:i/>
                <w:lang w:val="en-US"/>
              </w:rPr>
            </w:pPr>
          </w:p>
        </w:tc>
        <w:tc>
          <w:tcPr>
            <w:tcW w:w="386" w:type="pct"/>
            <w:tcBorders>
              <w:top w:val="single" w:sz="4" w:space="0" w:color="auto"/>
              <w:left w:val="single" w:sz="4" w:space="0" w:color="auto"/>
              <w:bottom w:val="single" w:sz="4" w:space="0" w:color="auto"/>
              <w:right w:val="single" w:sz="4" w:space="0" w:color="auto"/>
            </w:tcBorders>
          </w:tcPr>
          <w:p w:rsidR="00A5682B" w:rsidRPr="00F000AD" w:rsidRDefault="00A5682B" w:rsidP="005760F3">
            <w:pPr>
              <w:rPr>
                <w:i/>
                <w:lang w:val="en-US"/>
              </w:rPr>
            </w:pPr>
          </w:p>
        </w:tc>
        <w:tc>
          <w:tcPr>
            <w:tcW w:w="401" w:type="pct"/>
            <w:tcBorders>
              <w:top w:val="single" w:sz="4" w:space="0" w:color="auto"/>
              <w:left w:val="single" w:sz="4" w:space="0" w:color="auto"/>
              <w:bottom w:val="single" w:sz="4" w:space="0" w:color="auto"/>
              <w:right w:val="single" w:sz="4" w:space="0" w:color="auto"/>
            </w:tcBorders>
          </w:tcPr>
          <w:p w:rsidR="00A5682B" w:rsidRPr="00F000AD" w:rsidRDefault="00A5682B" w:rsidP="005760F3">
            <w:pPr>
              <w:rPr>
                <w:b/>
                <w:lang w:val="en-US"/>
              </w:rPr>
            </w:pPr>
          </w:p>
        </w:tc>
        <w:tc>
          <w:tcPr>
            <w:tcW w:w="296" w:type="pct"/>
            <w:tcBorders>
              <w:top w:val="single" w:sz="4" w:space="0" w:color="auto"/>
              <w:left w:val="single" w:sz="4" w:space="0" w:color="auto"/>
              <w:bottom w:val="single" w:sz="4" w:space="0" w:color="auto"/>
              <w:right w:val="single" w:sz="4" w:space="0" w:color="auto"/>
            </w:tcBorders>
          </w:tcPr>
          <w:p w:rsidR="00A5682B" w:rsidRPr="00F000AD" w:rsidRDefault="00A5682B" w:rsidP="005760F3">
            <w:pPr>
              <w:rPr>
                <w:b/>
                <w:lang w:val="en-US"/>
              </w:rPr>
            </w:pPr>
          </w:p>
        </w:tc>
        <w:tc>
          <w:tcPr>
            <w:tcW w:w="306" w:type="pct"/>
            <w:tcBorders>
              <w:top w:val="single" w:sz="4" w:space="0" w:color="auto"/>
              <w:left w:val="single" w:sz="4" w:space="0" w:color="auto"/>
              <w:bottom w:val="single" w:sz="4" w:space="0" w:color="auto"/>
              <w:right w:val="single" w:sz="4" w:space="0" w:color="auto"/>
            </w:tcBorders>
          </w:tcPr>
          <w:p w:rsidR="00A5682B" w:rsidRPr="00F000AD" w:rsidRDefault="00A5682B" w:rsidP="005760F3">
            <w:pPr>
              <w:rPr>
                <w:i/>
                <w:lang w:val="en-US"/>
              </w:rPr>
            </w:pPr>
          </w:p>
        </w:tc>
        <w:tc>
          <w:tcPr>
            <w:tcW w:w="420" w:type="pct"/>
            <w:tcBorders>
              <w:top w:val="single" w:sz="4" w:space="0" w:color="auto"/>
              <w:left w:val="single" w:sz="4" w:space="0" w:color="auto"/>
              <w:bottom w:val="single" w:sz="4" w:space="0" w:color="auto"/>
              <w:right w:val="single" w:sz="4" w:space="0" w:color="auto"/>
            </w:tcBorders>
          </w:tcPr>
          <w:p w:rsidR="00A5682B" w:rsidRPr="00F000AD" w:rsidRDefault="00A5682B" w:rsidP="005760F3">
            <w:pPr>
              <w:rPr>
                <w:i/>
                <w:lang w:val="en-US"/>
              </w:rPr>
            </w:pPr>
          </w:p>
        </w:tc>
      </w:tr>
    </w:tbl>
    <w:p w:rsidR="00A5682B" w:rsidRPr="00F000AD" w:rsidRDefault="00A5682B" w:rsidP="00A5682B">
      <w:pPr>
        <w:rPr>
          <w:b/>
          <w:iCs/>
          <w:lang w:val="en-GB"/>
        </w:rPr>
      </w:pPr>
      <w:r w:rsidRPr="00F000AD">
        <w:rPr>
          <w:i/>
          <w:lang w:val="en-GB"/>
        </w:rPr>
        <w:t>[Point 2.1.1.3 in the Commission proposal has been moved up following changes in Article 17(3)(c) CPR and it is now point 2.1.1.bis]</w:t>
      </w:r>
    </w:p>
    <w:p w:rsidR="004043AF" w:rsidRDefault="004043AF" w:rsidP="00FB65EC">
      <w:pPr>
        <w:spacing w:before="240" w:after="240"/>
        <w:jc w:val="both"/>
        <w:rPr>
          <w:rFonts w:ascii="Times New Roman" w:hAnsi="Times New Roman" w:cs="Times New Roman"/>
          <w:b/>
          <w:sz w:val="28"/>
          <w:szCs w:val="28"/>
          <w:lang w:val="en-GB"/>
        </w:rPr>
      </w:pPr>
    </w:p>
    <w:p w:rsidR="004043AF" w:rsidRDefault="004043AF" w:rsidP="00FB65EC">
      <w:pPr>
        <w:spacing w:before="240" w:after="240"/>
        <w:jc w:val="both"/>
        <w:rPr>
          <w:rFonts w:ascii="Times New Roman" w:hAnsi="Times New Roman" w:cs="Times New Roman"/>
          <w:b/>
          <w:sz w:val="28"/>
          <w:szCs w:val="28"/>
          <w:lang w:val="en-GB"/>
        </w:rPr>
      </w:pPr>
    </w:p>
    <w:p w:rsidR="004043AF" w:rsidRDefault="004043AF" w:rsidP="00FB65EC">
      <w:pPr>
        <w:spacing w:before="240" w:after="240"/>
        <w:jc w:val="both"/>
        <w:rPr>
          <w:rFonts w:ascii="Times New Roman" w:hAnsi="Times New Roman" w:cs="Times New Roman"/>
          <w:b/>
          <w:sz w:val="28"/>
          <w:szCs w:val="28"/>
          <w:lang w:val="en-GB"/>
        </w:rPr>
      </w:pPr>
    </w:p>
    <w:p w:rsidR="004043AF" w:rsidRDefault="004043AF" w:rsidP="00FB65EC">
      <w:pPr>
        <w:spacing w:before="240" w:after="240"/>
        <w:jc w:val="both"/>
        <w:rPr>
          <w:rFonts w:ascii="Times New Roman" w:hAnsi="Times New Roman" w:cs="Times New Roman"/>
          <w:b/>
          <w:sz w:val="28"/>
          <w:szCs w:val="28"/>
          <w:lang w:val="en-GB"/>
        </w:rPr>
      </w:pPr>
    </w:p>
    <w:p w:rsidR="004043AF" w:rsidRDefault="004043AF" w:rsidP="00FB65EC">
      <w:pPr>
        <w:spacing w:before="240" w:after="240"/>
        <w:jc w:val="both"/>
        <w:rPr>
          <w:rFonts w:ascii="Times New Roman" w:hAnsi="Times New Roman" w:cs="Times New Roman"/>
          <w:b/>
          <w:sz w:val="28"/>
          <w:szCs w:val="28"/>
          <w:lang w:val="en-GB"/>
        </w:rPr>
      </w:pPr>
    </w:p>
    <w:p w:rsidR="004043AF" w:rsidRDefault="004043AF" w:rsidP="00FB65EC">
      <w:pPr>
        <w:spacing w:before="240" w:after="240"/>
        <w:jc w:val="both"/>
        <w:rPr>
          <w:rFonts w:ascii="Times New Roman" w:hAnsi="Times New Roman" w:cs="Times New Roman"/>
          <w:b/>
          <w:sz w:val="28"/>
          <w:szCs w:val="28"/>
          <w:lang w:val="en-GB"/>
        </w:rPr>
      </w:pPr>
    </w:p>
    <w:p w:rsidR="00FB65EC" w:rsidRDefault="00FB65EC" w:rsidP="00FB65EC">
      <w:pPr>
        <w:spacing w:before="240" w:after="240"/>
        <w:jc w:val="both"/>
        <w:rPr>
          <w:rFonts w:ascii="Times New Roman" w:hAnsi="Times New Roman" w:cs="Times New Roman"/>
          <w:b/>
          <w:sz w:val="28"/>
          <w:szCs w:val="28"/>
          <w:lang w:val="en-GB"/>
        </w:rPr>
      </w:pPr>
      <w:r w:rsidRPr="006F04E2">
        <w:rPr>
          <w:rFonts w:ascii="Times New Roman" w:hAnsi="Times New Roman" w:cs="Times New Roman"/>
          <w:b/>
          <w:sz w:val="28"/>
          <w:szCs w:val="28"/>
          <w:lang w:val="en-GB"/>
        </w:rPr>
        <w:t xml:space="preserve">Prioritatea </w:t>
      </w:r>
      <w:r>
        <w:rPr>
          <w:rFonts w:ascii="Times New Roman" w:hAnsi="Times New Roman" w:cs="Times New Roman"/>
          <w:b/>
          <w:sz w:val="28"/>
          <w:szCs w:val="28"/>
          <w:lang w:val="en-GB"/>
        </w:rPr>
        <w:t>6</w:t>
      </w:r>
      <w:r w:rsidRPr="006F04E2">
        <w:rPr>
          <w:rFonts w:ascii="Times New Roman" w:hAnsi="Times New Roman" w:cs="Times New Roman"/>
          <w:b/>
          <w:sz w:val="28"/>
          <w:szCs w:val="28"/>
          <w:lang w:val="en-GB"/>
        </w:rPr>
        <w:t xml:space="preserve"> - </w:t>
      </w:r>
      <w:r w:rsidRPr="00D86BB6">
        <w:rPr>
          <w:rFonts w:ascii="Times New Roman" w:hAnsi="Times New Roman" w:cs="Times New Roman"/>
          <w:b/>
          <w:sz w:val="28"/>
          <w:szCs w:val="28"/>
          <w:lang w:val="en-GB"/>
        </w:rPr>
        <w:t>O regiune atractivă</w:t>
      </w:r>
    </w:p>
    <w:p w:rsidR="00FB65EC" w:rsidRPr="006A3B94" w:rsidRDefault="00FB65EC" w:rsidP="00FB65EC">
      <w:pPr>
        <w:spacing w:line="240" w:lineRule="auto"/>
        <w:jc w:val="both"/>
        <w:rPr>
          <w:rFonts w:ascii="Times New Roman" w:hAnsi="Times New Roman" w:cs="Times New Roman"/>
          <w:b/>
          <w:iCs/>
          <w:sz w:val="24"/>
          <w:szCs w:val="24"/>
          <w:lang w:val="en-GB"/>
        </w:rPr>
      </w:pPr>
      <w:r w:rsidRPr="006A3B94">
        <w:rPr>
          <w:rFonts w:ascii="Times New Roman" w:hAnsi="Times New Roman" w:cs="Times New Roman"/>
          <w:b/>
          <w:iCs/>
          <w:sz w:val="24"/>
          <w:szCs w:val="24"/>
          <w:lang w:val="en-GB"/>
        </w:rPr>
        <w:lastRenderedPageBreak/>
        <w:t xml:space="preserve">2.A.2 Indicative breakdown of the programmed resources (EU) by type of intervention </w:t>
      </w:r>
      <w:r w:rsidRPr="006A3B94">
        <w:rPr>
          <w:rFonts w:ascii="Times New Roman" w:hAnsi="Times New Roman" w:cs="Times New Roman"/>
          <w:iCs/>
          <w:sz w:val="24"/>
          <w:szCs w:val="24"/>
          <w:lang w:val="en-GB"/>
        </w:rPr>
        <w:t xml:space="preserve">(not applicable to the EMFF) </w:t>
      </w:r>
      <w:r w:rsidRPr="006A3B94">
        <w:rPr>
          <w:rFonts w:ascii="Times New Roman" w:hAnsi="Times New Roman" w:cs="Times New Roman"/>
          <w:i/>
          <w:sz w:val="24"/>
          <w:szCs w:val="24"/>
          <w:lang w:val="en-GB"/>
        </w:rPr>
        <w:t>[This was point 2.1.1.3 in the Commission proposal and has been moved up following changes in Article 17(3)(c) CPR]</w:t>
      </w:r>
    </w:p>
    <w:p w:rsidR="00FB65EC" w:rsidRPr="006A3B94" w:rsidRDefault="00FB65EC" w:rsidP="00FB65EC">
      <w:pPr>
        <w:spacing w:line="240" w:lineRule="auto"/>
        <w:jc w:val="both"/>
        <w:rPr>
          <w:rFonts w:ascii="Times New Roman" w:hAnsi="Times New Roman" w:cs="Times New Roman"/>
          <w:i/>
          <w:sz w:val="24"/>
          <w:szCs w:val="24"/>
          <w:lang w:val="en-GB"/>
        </w:rPr>
      </w:pPr>
      <w:r w:rsidRPr="006A3B94">
        <w:rPr>
          <w:rFonts w:ascii="Times New Roman" w:hAnsi="Times New Roman" w:cs="Times New Roman"/>
          <w:i/>
          <w:sz w:val="24"/>
          <w:szCs w:val="24"/>
          <w:lang w:val="en-GB"/>
        </w:rPr>
        <w:t>Reference: Article 17(3)(c) CPR</w:t>
      </w:r>
    </w:p>
    <w:tbl>
      <w:tblPr>
        <w:tblW w:w="8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1"/>
        <w:gridCol w:w="1529"/>
        <w:gridCol w:w="1256"/>
        <w:gridCol w:w="1919"/>
        <w:gridCol w:w="1442"/>
      </w:tblGrid>
      <w:tr w:rsidR="00DC4544" w:rsidRPr="006A3B94" w:rsidTr="008239CE">
        <w:tc>
          <w:tcPr>
            <w:tcW w:w="8117" w:type="dxa"/>
            <w:gridSpan w:val="5"/>
            <w:tcBorders>
              <w:top w:val="single" w:sz="4" w:space="0" w:color="auto"/>
              <w:left w:val="single" w:sz="4" w:space="0" w:color="auto"/>
              <w:bottom w:val="single" w:sz="4" w:space="0" w:color="auto"/>
              <w:right w:val="single" w:sz="4" w:space="0" w:color="auto"/>
            </w:tcBorders>
            <w:hideMark/>
          </w:tcPr>
          <w:p w:rsidR="00DC4544" w:rsidRPr="006A3B94" w:rsidRDefault="00DC4544" w:rsidP="008239CE">
            <w:pPr>
              <w:rPr>
                <w:rFonts w:ascii="Times New Roman" w:hAnsi="Times New Roman" w:cs="Times New Roman"/>
                <w:b/>
                <w:iCs/>
                <w:sz w:val="24"/>
                <w:szCs w:val="24"/>
                <w:lang w:val="en-US"/>
              </w:rPr>
            </w:pPr>
            <w:r w:rsidRPr="006A3B94">
              <w:rPr>
                <w:rFonts w:ascii="Times New Roman" w:hAnsi="Times New Roman" w:cs="Times New Roman"/>
                <w:b/>
                <w:iCs/>
                <w:sz w:val="24"/>
                <w:szCs w:val="24"/>
                <w:lang w:val="en-US"/>
              </w:rPr>
              <w:t>Table 4: Dimension 1 – intervention field</w:t>
            </w:r>
          </w:p>
        </w:tc>
      </w:tr>
      <w:tr w:rsidR="00DC4544" w:rsidRPr="006A3B94" w:rsidTr="008239CE">
        <w:tc>
          <w:tcPr>
            <w:tcW w:w="1971" w:type="dxa"/>
            <w:tcBorders>
              <w:top w:val="single" w:sz="4" w:space="0" w:color="auto"/>
              <w:left w:val="single" w:sz="4" w:space="0" w:color="auto"/>
              <w:bottom w:val="single" w:sz="4" w:space="0" w:color="auto"/>
              <w:right w:val="single" w:sz="4" w:space="0" w:color="auto"/>
            </w:tcBorders>
            <w:hideMark/>
          </w:tcPr>
          <w:p w:rsidR="00DC4544" w:rsidRPr="00B25417" w:rsidRDefault="00DC4544" w:rsidP="008239CE">
            <w:pPr>
              <w:rPr>
                <w:rFonts w:ascii="Times New Roman" w:hAnsi="Times New Roman" w:cs="Times New Roman"/>
                <w:b/>
                <w:iCs/>
                <w:sz w:val="24"/>
                <w:szCs w:val="24"/>
              </w:rPr>
            </w:pPr>
            <w:r w:rsidRPr="00B25417">
              <w:rPr>
                <w:rFonts w:ascii="Times New Roman" w:hAnsi="Times New Roman" w:cs="Times New Roman"/>
                <w:b/>
                <w:iCs/>
                <w:sz w:val="24"/>
                <w:szCs w:val="24"/>
              </w:rPr>
              <w:t>Priority No</w:t>
            </w:r>
          </w:p>
        </w:tc>
        <w:tc>
          <w:tcPr>
            <w:tcW w:w="1529" w:type="dxa"/>
            <w:tcBorders>
              <w:top w:val="single" w:sz="4" w:space="0" w:color="auto"/>
              <w:left w:val="single" w:sz="4" w:space="0" w:color="auto"/>
              <w:bottom w:val="single" w:sz="4" w:space="0" w:color="auto"/>
              <w:right w:val="single" w:sz="4" w:space="0" w:color="auto"/>
            </w:tcBorders>
            <w:hideMark/>
          </w:tcPr>
          <w:p w:rsidR="00DC4544" w:rsidRPr="006A3B94" w:rsidRDefault="00DC4544" w:rsidP="008239CE">
            <w:pPr>
              <w:rPr>
                <w:rFonts w:ascii="Times New Roman" w:hAnsi="Times New Roman" w:cs="Times New Roman"/>
                <w:b/>
                <w:iCs/>
                <w:sz w:val="24"/>
                <w:szCs w:val="24"/>
                <w:lang w:val="en-US"/>
              </w:rPr>
            </w:pPr>
            <w:r w:rsidRPr="006A3B94">
              <w:rPr>
                <w:rFonts w:ascii="Times New Roman" w:hAnsi="Times New Roman" w:cs="Times New Roman"/>
                <w:b/>
                <w:iCs/>
                <w:sz w:val="24"/>
                <w:szCs w:val="24"/>
                <w:lang w:val="en-US"/>
              </w:rPr>
              <w:t>Fund</w:t>
            </w:r>
          </w:p>
        </w:tc>
        <w:tc>
          <w:tcPr>
            <w:tcW w:w="1256" w:type="dxa"/>
            <w:tcBorders>
              <w:top w:val="single" w:sz="4" w:space="0" w:color="auto"/>
              <w:left w:val="single" w:sz="4" w:space="0" w:color="auto"/>
              <w:bottom w:val="single" w:sz="4" w:space="0" w:color="auto"/>
              <w:right w:val="single" w:sz="4" w:space="0" w:color="auto"/>
            </w:tcBorders>
            <w:hideMark/>
          </w:tcPr>
          <w:p w:rsidR="00DC4544" w:rsidRPr="006A3B94" w:rsidRDefault="00DC4544" w:rsidP="008239CE">
            <w:pPr>
              <w:rPr>
                <w:rFonts w:ascii="Times New Roman" w:hAnsi="Times New Roman" w:cs="Times New Roman"/>
                <w:b/>
                <w:iCs/>
                <w:sz w:val="24"/>
                <w:szCs w:val="24"/>
                <w:lang w:val="en-US"/>
              </w:rPr>
            </w:pPr>
            <w:r w:rsidRPr="006A3B94">
              <w:rPr>
                <w:rFonts w:ascii="Times New Roman" w:hAnsi="Times New Roman" w:cs="Times New Roman"/>
                <w:b/>
                <w:iCs/>
                <w:sz w:val="24"/>
                <w:szCs w:val="24"/>
                <w:lang w:val="en-US"/>
              </w:rPr>
              <w:t>Category of region</w:t>
            </w:r>
            <w:r w:rsidRPr="006A3B94">
              <w:rPr>
                <w:rFonts w:ascii="Times New Roman" w:hAnsi="Times New Roman" w:cs="Times New Roman"/>
                <w:b/>
                <w:iCs/>
                <w:sz w:val="24"/>
                <w:szCs w:val="24"/>
                <w:vertAlign w:val="superscript"/>
                <w:lang w:val="en-US"/>
              </w:rPr>
              <w:footnoteReference w:id="58"/>
            </w:r>
          </w:p>
        </w:tc>
        <w:tc>
          <w:tcPr>
            <w:tcW w:w="1919" w:type="dxa"/>
            <w:tcBorders>
              <w:top w:val="single" w:sz="4" w:space="0" w:color="auto"/>
              <w:left w:val="single" w:sz="4" w:space="0" w:color="auto"/>
              <w:bottom w:val="single" w:sz="4" w:space="0" w:color="auto"/>
              <w:right w:val="single" w:sz="4" w:space="0" w:color="auto"/>
            </w:tcBorders>
            <w:hideMark/>
          </w:tcPr>
          <w:p w:rsidR="00DC4544" w:rsidRPr="006A3B94" w:rsidRDefault="00DC4544" w:rsidP="008239CE">
            <w:pPr>
              <w:rPr>
                <w:rFonts w:ascii="Times New Roman" w:hAnsi="Times New Roman" w:cs="Times New Roman"/>
                <w:b/>
                <w:iCs/>
                <w:sz w:val="24"/>
                <w:szCs w:val="24"/>
                <w:lang w:val="en-US"/>
              </w:rPr>
            </w:pPr>
            <w:r w:rsidRPr="006A3B94">
              <w:rPr>
                <w:rFonts w:ascii="Times New Roman" w:hAnsi="Times New Roman" w:cs="Times New Roman"/>
                <w:b/>
                <w:iCs/>
                <w:sz w:val="24"/>
                <w:szCs w:val="24"/>
                <w:lang w:val="en-US"/>
              </w:rPr>
              <w:t xml:space="preserve">Code </w:t>
            </w:r>
          </w:p>
        </w:tc>
        <w:tc>
          <w:tcPr>
            <w:tcW w:w="1442" w:type="dxa"/>
            <w:tcBorders>
              <w:top w:val="single" w:sz="4" w:space="0" w:color="auto"/>
              <w:left w:val="single" w:sz="4" w:space="0" w:color="auto"/>
              <w:bottom w:val="single" w:sz="4" w:space="0" w:color="auto"/>
              <w:right w:val="single" w:sz="4" w:space="0" w:color="auto"/>
            </w:tcBorders>
            <w:hideMark/>
          </w:tcPr>
          <w:p w:rsidR="00DC4544" w:rsidRPr="006A3B94" w:rsidRDefault="00DC4544" w:rsidP="008239CE">
            <w:pPr>
              <w:rPr>
                <w:rFonts w:ascii="Times New Roman" w:hAnsi="Times New Roman" w:cs="Times New Roman"/>
                <w:b/>
                <w:iCs/>
                <w:sz w:val="24"/>
                <w:szCs w:val="24"/>
                <w:lang w:val="en-US"/>
              </w:rPr>
            </w:pPr>
            <w:r w:rsidRPr="006A3B94">
              <w:rPr>
                <w:rFonts w:ascii="Times New Roman" w:hAnsi="Times New Roman" w:cs="Times New Roman"/>
                <w:b/>
                <w:iCs/>
                <w:sz w:val="24"/>
                <w:szCs w:val="24"/>
                <w:lang w:val="en-US"/>
              </w:rPr>
              <w:t>Amount (EUR)</w:t>
            </w:r>
          </w:p>
        </w:tc>
      </w:tr>
      <w:tr w:rsidR="00DC4544" w:rsidRPr="006A3B94" w:rsidTr="008239CE">
        <w:tc>
          <w:tcPr>
            <w:tcW w:w="1971" w:type="dxa"/>
            <w:tcBorders>
              <w:top w:val="single" w:sz="4" w:space="0" w:color="auto"/>
              <w:left w:val="single" w:sz="4" w:space="0" w:color="auto"/>
              <w:bottom w:val="single" w:sz="4" w:space="0" w:color="auto"/>
              <w:right w:val="single" w:sz="4" w:space="0" w:color="auto"/>
            </w:tcBorders>
          </w:tcPr>
          <w:p w:rsidR="00DC4544" w:rsidRPr="00B25417" w:rsidRDefault="00DC4544" w:rsidP="008239CE">
            <w:pPr>
              <w:spacing w:after="0" w:line="240" w:lineRule="auto"/>
              <w:jc w:val="both"/>
              <w:rPr>
                <w:rFonts w:ascii="Times New Roman" w:hAnsi="Times New Roman" w:cs="Times New Roman"/>
                <w:b/>
                <w:i/>
                <w:sz w:val="24"/>
                <w:szCs w:val="24"/>
              </w:rPr>
            </w:pPr>
            <w:r>
              <w:rPr>
                <w:rFonts w:ascii="Times New Roman" w:hAnsi="Times New Roman" w:cs="Times New Roman"/>
                <w:b/>
                <w:i/>
                <w:color w:val="000000"/>
              </w:rPr>
              <w:t>6.</w:t>
            </w:r>
            <w:r w:rsidR="00985CCB">
              <w:rPr>
                <w:rFonts w:ascii="Times New Roman" w:hAnsi="Times New Roman" w:cs="Times New Roman"/>
                <w:b/>
                <w:i/>
                <w:color w:val="000000"/>
              </w:rPr>
              <w:t>0</w:t>
            </w:r>
          </w:p>
          <w:p w:rsidR="00DC4544" w:rsidRPr="00B25417" w:rsidRDefault="00DC4544" w:rsidP="008239CE">
            <w:pPr>
              <w:spacing w:after="0" w:line="240" w:lineRule="auto"/>
              <w:jc w:val="both"/>
              <w:rPr>
                <w:rFonts w:ascii="Times New Roman" w:hAnsi="Times New Roman" w:cs="Times New Roman"/>
                <w:b/>
                <w:i/>
                <w:sz w:val="24"/>
                <w:szCs w:val="24"/>
              </w:rPr>
            </w:pPr>
          </w:p>
          <w:p w:rsidR="00DC4544" w:rsidRPr="00B25417" w:rsidRDefault="00DC4544" w:rsidP="008239CE">
            <w:pPr>
              <w:pStyle w:val="Listparagraf"/>
              <w:autoSpaceDE w:val="0"/>
              <w:autoSpaceDN w:val="0"/>
              <w:adjustRightInd w:val="0"/>
              <w:spacing w:after="0" w:line="240" w:lineRule="auto"/>
              <w:jc w:val="both"/>
              <w:rPr>
                <w:rFonts w:eastAsia="Times New Roman"/>
                <w:b/>
                <w:i/>
                <w:noProof/>
              </w:rPr>
            </w:pPr>
          </w:p>
        </w:tc>
        <w:tc>
          <w:tcPr>
            <w:tcW w:w="1529" w:type="dxa"/>
            <w:tcBorders>
              <w:top w:val="single" w:sz="4" w:space="0" w:color="auto"/>
              <w:left w:val="single" w:sz="4" w:space="0" w:color="auto"/>
              <w:bottom w:val="single" w:sz="4" w:space="0" w:color="auto"/>
              <w:right w:val="single" w:sz="4" w:space="0" w:color="auto"/>
            </w:tcBorders>
          </w:tcPr>
          <w:p w:rsidR="00DC4544" w:rsidRPr="006B6325" w:rsidRDefault="00DC4544" w:rsidP="008239CE">
            <w:pPr>
              <w:rPr>
                <w:rFonts w:ascii="Times New Roman" w:hAnsi="Times New Roman" w:cs="Times New Roman"/>
                <w:b/>
                <w:iCs/>
                <w:sz w:val="24"/>
                <w:szCs w:val="24"/>
                <w:lang w:val="en-US"/>
              </w:rPr>
            </w:pPr>
            <w:r>
              <w:rPr>
                <w:rFonts w:ascii="Times New Roman" w:hAnsi="Times New Roman" w:cs="Times New Roman"/>
                <w:b/>
                <w:iCs/>
                <w:sz w:val="24"/>
                <w:szCs w:val="24"/>
                <w:lang w:val="en-US"/>
              </w:rPr>
              <w:t>FEDR</w:t>
            </w:r>
          </w:p>
        </w:tc>
        <w:tc>
          <w:tcPr>
            <w:tcW w:w="1256" w:type="dxa"/>
            <w:tcBorders>
              <w:top w:val="single" w:sz="4" w:space="0" w:color="auto"/>
              <w:left w:val="single" w:sz="4" w:space="0" w:color="auto"/>
              <w:bottom w:val="single" w:sz="4" w:space="0" w:color="auto"/>
              <w:right w:val="single" w:sz="4" w:space="0" w:color="auto"/>
            </w:tcBorders>
          </w:tcPr>
          <w:p w:rsidR="00DC4544" w:rsidRPr="006B6325" w:rsidRDefault="00DC4544" w:rsidP="008239CE">
            <w:pPr>
              <w:rPr>
                <w:rFonts w:ascii="Times New Roman" w:hAnsi="Times New Roman" w:cs="Times New Roman"/>
                <w:b/>
                <w:iCs/>
                <w:sz w:val="24"/>
                <w:szCs w:val="24"/>
                <w:lang w:val="en-US"/>
              </w:rPr>
            </w:pPr>
            <w:r>
              <w:rPr>
                <w:rFonts w:ascii="Times New Roman" w:hAnsi="Times New Roman" w:cs="Times New Roman"/>
                <w:b/>
                <w:iCs/>
                <w:sz w:val="24"/>
                <w:szCs w:val="24"/>
                <w:lang w:val="en-US"/>
              </w:rPr>
              <w:t>Mai putin dezvoltate</w:t>
            </w:r>
          </w:p>
        </w:tc>
        <w:tc>
          <w:tcPr>
            <w:tcW w:w="1919" w:type="dxa"/>
            <w:tcBorders>
              <w:top w:val="single" w:sz="4" w:space="0" w:color="auto"/>
              <w:left w:val="single" w:sz="4" w:space="0" w:color="auto"/>
              <w:bottom w:val="single" w:sz="4" w:space="0" w:color="auto"/>
              <w:right w:val="single" w:sz="4" w:space="0" w:color="auto"/>
            </w:tcBorders>
          </w:tcPr>
          <w:p w:rsidR="00DC4544" w:rsidRPr="00B25417" w:rsidRDefault="00DC4544" w:rsidP="00985CCB">
            <w:pPr>
              <w:rPr>
                <w:rFonts w:ascii="Times New Roman" w:hAnsi="Times New Roman" w:cs="Times New Roman"/>
                <w:b/>
                <w:iCs/>
                <w:sz w:val="24"/>
                <w:szCs w:val="24"/>
              </w:rPr>
            </w:pPr>
            <w:r>
              <w:rPr>
                <w:rFonts w:ascii="Times New Roman" w:hAnsi="Times New Roman" w:cs="Times New Roman"/>
                <w:b/>
                <w:iCs/>
                <w:sz w:val="24"/>
                <w:szCs w:val="24"/>
                <w:lang w:val="en-US"/>
              </w:rPr>
              <w:t>128</w:t>
            </w:r>
          </w:p>
        </w:tc>
        <w:tc>
          <w:tcPr>
            <w:tcW w:w="1442" w:type="dxa"/>
            <w:tcBorders>
              <w:top w:val="single" w:sz="4" w:space="0" w:color="auto"/>
              <w:left w:val="single" w:sz="4" w:space="0" w:color="auto"/>
              <w:bottom w:val="single" w:sz="4" w:space="0" w:color="auto"/>
              <w:right w:val="single" w:sz="4" w:space="0" w:color="auto"/>
            </w:tcBorders>
          </w:tcPr>
          <w:p w:rsidR="00DC4544" w:rsidRPr="00B25417" w:rsidRDefault="004043AF" w:rsidP="004936B5">
            <w:pPr>
              <w:rPr>
                <w:rFonts w:ascii="Times New Roman" w:hAnsi="Times New Roman" w:cs="Times New Roman"/>
                <w:b/>
                <w:iCs/>
                <w:sz w:val="24"/>
                <w:szCs w:val="24"/>
                <w:lang w:val="en-US"/>
              </w:rPr>
            </w:pPr>
            <w:r>
              <w:rPr>
                <w:rFonts w:ascii="Times New Roman" w:hAnsi="Times New Roman" w:cs="Times New Roman"/>
                <w:b/>
                <w:iCs/>
                <w:sz w:val="24"/>
                <w:szCs w:val="24"/>
                <w:lang w:val="en-US"/>
              </w:rPr>
              <w:t>26.362.375</w:t>
            </w:r>
          </w:p>
        </w:tc>
      </w:tr>
      <w:tr w:rsidR="00985CCB" w:rsidRPr="006A3B94" w:rsidTr="008239CE">
        <w:tc>
          <w:tcPr>
            <w:tcW w:w="1971" w:type="dxa"/>
            <w:tcBorders>
              <w:top w:val="single" w:sz="4" w:space="0" w:color="auto"/>
              <w:left w:val="single" w:sz="4" w:space="0" w:color="auto"/>
              <w:bottom w:val="single" w:sz="4" w:space="0" w:color="auto"/>
              <w:right w:val="single" w:sz="4" w:space="0" w:color="auto"/>
            </w:tcBorders>
          </w:tcPr>
          <w:p w:rsidR="00985CCB" w:rsidRDefault="00985CCB" w:rsidP="008239CE">
            <w:pPr>
              <w:spacing w:after="0" w:line="240" w:lineRule="auto"/>
              <w:jc w:val="both"/>
              <w:rPr>
                <w:rFonts w:ascii="Times New Roman" w:hAnsi="Times New Roman" w:cs="Times New Roman"/>
                <w:b/>
                <w:i/>
                <w:color w:val="000000"/>
              </w:rPr>
            </w:pPr>
          </w:p>
        </w:tc>
        <w:tc>
          <w:tcPr>
            <w:tcW w:w="1529" w:type="dxa"/>
            <w:tcBorders>
              <w:top w:val="single" w:sz="4" w:space="0" w:color="auto"/>
              <w:left w:val="single" w:sz="4" w:space="0" w:color="auto"/>
              <w:bottom w:val="single" w:sz="4" w:space="0" w:color="auto"/>
              <w:right w:val="single" w:sz="4" w:space="0" w:color="auto"/>
            </w:tcBorders>
          </w:tcPr>
          <w:p w:rsidR="00985CCB" w:rsidRDefault="00985CCB" w:rsidP="008239CE">
            <w:pPr>
              <w:rPr>
                <w:rFonts w:ascii="Times New Roman" w:hAnsi="Times New Roman" w:cs="Times New Roman"/>
                <w:b/>
                <w:iCs/>
                <w:sz w:val="24"/>
                <w:szCs w:val="24"/>
                <w:lang w:val="en-US"/>
              </w:rPr>
            </w:pPr>
          </w:p>
        </w:tc>
        <w:tc>
          <w:tcPr>
            <w:tcW w:w="1256" w:type="dxa"/>
            <w:tcBorders>
              <w:top w:val="single" w:sz="4" w:space="0" w:color="auto"/>
              <w:left w:val="single" w:sz="4" w:space="0" w:color="auto"/>
              <w:bottom w:val="single" w:sz="4" w:space="0" w:color="auto"/>
              <w:right w:val="single" w:sz="4" w:space="0" w:color="auto"/>
            </w:tcBorders>
          </w:tcPr>
          <w:p w:rsidR="00985CCB" w:rsidRDefault="00985CCB" w:rsidP="008239CE">
            <w:pPr>
              <w:rPr>
                <w:rFonts w:ascii="Times New Roman" w:hAnsi="Times New Roman" w:cs="Times New Roman"/>
                <w:b/>
                <w:iCs/>
                <w:sz w:val="24"/>
                <w:szCs w:val="24"/>
                <w:lang w:val="en-US"/>
              </w:rPr>
            </w:pPr>
          </w:p>
        </w:tc>
        <w:tc>
          <w:tcPr>
            <w:tcW w:w="1919" w:type="dxa"/>
            <w:tcBorders>
              <w:top w:val="single" w:sz="4" w:space="0" w:color="auto"/>
              <w:left w:val="single" w:sz="4" w:space="0" w:color="auto"/>
              <w:bottom w:val="single" w:sz="4" w:space="0" w:color="auto"/>
              <w:right w:val="single" w:sz="4" w:space="0" w:color="auto"/>
            </w:tcBorders>
          </w:tcPr>
          <w:p w:rsidR="00985CCB" w:rsidRDefault="00985CCB" w:rsidP="008239CE">
            <w:pPr>
              <w:rPr>
                <w:rFonts w:ascii="Times New Roman" w:hAnsi="Times New Roman" w:cs="Times New Roman"/>
                <w:b/>
                <w:iCs/>
                <w:sz w:val="24"/>
                <w:szCs w:val="24"/>
                <w:lang w:val="en-US"/>
              </w:rPr>
            </w:pPr>
            <w:r>
              <w:rPr>
                <w:rFonts w:ascii="Times New Roman" w:hAnsi="Times New Roman" w:cs="Times New Roman"/>
                <w:b/>
                <w:iCs/>
                <w:sz w:val="24"/>
                <w:szCs w:val="24"/>
                <w:lang w:val="en-US"/>
              </w:rPr>
              <w:t>129</w:t>
            </w:r>
          </w:p>
        </w:tc>
        <w:tc>
          <w:tcPr>
            <w:tcW w:w="1442" w:type="dxa"/>
            <w:tcBorders>
              <w:top w:val="single" w:sz="4" w:space="0" w:color="auto"/>
              <w:left w:val="single" w:sz="4" w:space="0" w:color="auto"/>
              <w:bottom w:val="single" w:sz="4" w:space="0" w:color="auto"/>
              <w:right w:val="single" w:sz="4" w:space="0" w:color="auto"/>
            </w:tcBorders>
          </w:tcPr>
          <w:p w:rsidR="00985CCB" w:rsidRPr="00B25417" w:rsidRDefault="004043AF" w:rsidP="008239CE">
            <w:pPr>
              <w:rPr>
                <w:rFonts w:ascii="Times New Roman" w:hAnsi="Times New Roman" w:cs="Times New Roman"/>
                <w:b/>
                <w:iCs/>
                <w:sz w:val="24"/>
                <w:szCs w:val="24"/>
                <w:lang w:val="en-US"/>
              </w:rPr>
            </w:pPr>
            <w:r>
              <w:rPr>
                <w:rFonts w:ascii="Times New Roman" w:hAnsi="Times New Roman" w:cs="Times New Roman"/>
                <w:b/>
                <w:iCs/>
                <w:sz w:val="24"/>
                <w:szCs w:val="24"/>
                <w:lang w:val="en-US"/>
              </w:rPr>
              <w:t>46.641.125</w:t>
            </w:r>
          </w:p>
        </w:tc>
      </w:tr>
      <w:tr w:rsidR="00985CCB" w:rsidRPr="006A3B94" w:rsidTr="008239CE">
        <w:tc>
          <w:tcPr>
            <w:tcW w:w="1971" w:type="dxa"/>
            <w:tcBorders>
              <w:top w:val="single" w:sz="4" w:space="0" w:color="auto"/>
              <w:left w:val="single" w:sz="4" w:space="0" w:color="auto"/>
              <w:bottom w:val="single" w:sz="4" w:space="0" w:color="auto"/>
              <w:right w:val="single" w:sz="4" w:space="0" w:color="auto"/>
            </w:tcBorders>
          </w:tcPr>
          <w:p w:rsidR="00985CCB" w:rsidRDefault="00985CCB" w:rsidP="008239CE">
            <w:pPr>
              <w:spacing w:after="0" w:line="240" w:lineRule="auto"/>
              <w:jc w:val="both"/>
              <w:rPr>
                <w:rFonts w:ascii="Times New Roman" w:hAnsi="Times New Roman" w:cs="Times New Roman"/>
                <w:b/>
                <w:i/>
                <w:color w:val="000000"/>
              </w:rPr>
            </w:pPr>
          </w:p>
        </w:tc>
        <w:tc>
          <w:tcPr>
            <w:tcW w:w="1529" w:type="dxa"/>
            <w:tcBorders>
              <w:top w:val="single" w:sz="4" w:space="0" w:color="auto"/>
              <w:left w:val="single" w:sz="4" w:space="0" w:color="auto"/>
              <w:bottom w:val="single" w:sz="4" w:space="0" w:color="auto"/>
              <w:right w:val="single" w:sz="4" w:space="0" w:color="auto"/>
            </w:tcBorders>
          </w:tcPr>
          <w:p w:rsidR="00985CCB" w:rsidRDefault="00985CCB" w:rsidP="008239CE">
            <w:pPr>
              <w:rPr>
                <w:rFonts w:ascii="Times New Roman" w:hAnsi="Times New Roman" w:cs="Times New Roman"/>
                <w:b/>
                <w:iCs/>
                <w:sz w:val="24"/>
                <w:szCs w:val="24"/>
                <w:lang w:val="en-US"/>
              </w:rPr>
            </w:pPr>
          </w:p>
        </w:tc>
        <w:tc>
          <w:tcPr>
            <w:tcW w:w="1256" w:type="dxa"/>
            <w:tcBorders>
              <w:top w:val="single" w:sz="4" w:space="0" w:color="auto"/>
              <w:left w:val="single" w:sz="4" w:space="0" w:color="auto"/>
              <w:bottom w:val="single" w:sz="4" w:space="0" w:color="auto"/>
              <w:right w:val="single" w:sz="4" w:space="0" w:color="auto"/>
            </w:tcBorders>
          </w:tcPr>
          <w:p w:rsidR="00985CCB" w:rsidRDefault="00985CCB" w:rsidP="008239CE">
            <w:pPr>
              <w:rPr>
                <w:rFonts w:ascii="Times New Roman" w:hAnsi="Times New Roman" w:cs="Times New Roman"/>
                <w:b/>
                <w:iCs/>
                <w:sz w:val="24"/>
                <w:szCs w:val="24"/>
                <w:lang w:val="en-US"/>
              </w:rPr>
            </w:pPr>
          </w:p>
        </w:tc>
        <w:tc>
          <w:tcPr>
            <w:tcW w:w="1919" w:type="dxa"/>
            <w:tcBorders>
              <w:top w:val="single" w:sz="4" w:space="0" w:color="auto"/>
              <w:left w:val="single" w:sz="4" w:space="0" w:color="auto"/>
              <w:bottom w:val="single" w:sz="4" w:space="0" w:color="auto"/>
              <w:right w:val="single" w:sz="4" w:space="0" w:color="auto"/>
            </w:tcBorders>
          </w:tcPr>
          <w:p w:rsidR="00985CCB" w:rsidRDefault="00985CCB" w:rsidP="008239CE">
            <w:pPr>
              <w:rPr>
                <w:rFonts w:ascii="Times New Roman" w:hAnsi="Times New Roman" w:cs="Times New Roman"/>
                <w:b/>
                <w:iCs/>
                <w:sz w:val="24"/>
                <w:szCs w:val="24"/>
                <w:lang w:val="en-US"/>
              </w:rPr>
            </w:pPr>
            <w:r>
              <w:rPr>
                <w:rFonts w:ascii="Times New Roman" w:hAnsi="Times New Roman" w:cs="Times New Roman"/>
                <w:b/>
                <w:iCs/>
                <w:sz w:val="24"/>
                <w:szCs w:val="24"/>
                <w:lang w:val="en-US"/>
              </w:rPr>
              <w:t>130</w:t>
            </w:r>
          </w:p>
        </w:tc>
        <w:tc>
          <w:tcPr>
            <w:tcW w:w="1442" w:type="dxa"/>
            <w:tcBorders>
              <w:top w:val="single" w:sz="4" w:space="0" w:color="auto"/>
              <w:left w:val="single" w:sz="4" w:space="0" w:color="auto"/>
              <w:bottom w:val="single" w:sz="4" w:space="0" w:color="auto"/>
              <w:right w:val="single" w:sz="4" w:space="0" w:color="auto"/>
            </w:tcBorders>
          </w:tcPr>
          <w:p w:rsidR="00985CCB" w:rsidRPr="00B25417" w:rsidRDefault="004936B5" w:rsidP="008239CE">
            <w:pPr>
              <w:rPr>
                <w:rFonts w:ascii="Times New Roman" w:hAnsi="Times New Roman" w:cs="Times New Roman"/>
                <w:b/>
                <w:iCs/>
                <w:sz w:val="24"/>
                <w:szCs w:val="24"/>
                <w:lang w:val="en-US"/>
              </w:rPr>
            </w:pPr>
            <w:r w:rsidRPr="004936B5">
              <w:rPr>
                <w:rFonts w:ascii="Times New Roman" w:hAnsi="Times New Roman" w:cs="Times New Roman"/>
                <w:b/>
                <w:iCs/>
                <w:sz w:val="24"/>
                <w:szCs w:val="24"/>
                <w:lang w:val="en-US"/>
              </w:rPr>
              <w:t>8</w:t>
            </w:r>
            <w:r>
              <w:rPr>
                <w:rFonts w:ascii="Times New Roman" w:hAnsi="Times New Roman" w:cs="Times New Roman"/>
                <w:b/>
                <w:iCs/>
                <w:sz w:val="24"/>
                <w:szCs w:val="24"/>
                <w:lang w:val="en-US"/>
              </w:rPr>
              <w:t>.</w:t>
            </w:r>
            <w:r w:rsidRPr="004936B5">
              <w:rPr>
                <w:rFonts w:ascii="Times New Roman" w:hAnsi="Times New Roman" w:cs="Times New Roman"/>
                <w:b/>
                <w:iCs/>
                <w:sz w:val="24"/>
                <w:szCs w:val="24"/>
                <w:lang w:val="en-US"/>
              </w:rPr>
              <w:t>111</w:t>
            </w:r>
            <w:r>
              <w:rPr>
                <w:rFonts w:ascii="Times New Roman" w:hAnsi="Times New Roman" w:cs="Times New Roman"/>
                <w:b/>
                <w:iCs/>
                <w:sz w:val="24"/>
                <w:szCs w:val="24"/>
                <w:lang w:val="en-US"/>
              </w:rPr>
              <w:t>.</w:t>
            </w:r>
            <w:r w:rsidRPr="004936B5">
              <w:rPr>
                <w:rFonts w:ascii="Times New Roman" w:hAnsi="Times New Roman" w:cs="Times New Roman"/>
                <w:b/>
                <w:iCs/>
                <w:sz w:val="24"/>
                <w:szCs w:val="24"/>
                <w:lang w:val="en-US"/>
              </w:rPr>
              <w:t>500</w:t>
            </w:r>
          </w:p>
        </w:tc>
      </w:tr>
    </w:tbl>
    <w:p w:rsidR="00FB65EC" w:rsidRPr="006A3B94" w:rsidRDefault="00FB65EC" w:rsidP="00FB65EC">
      <w:pPr>
        <w:rPr>
          <w:rFonts w:ascii="Times New Roman" w:hAnsi="Times New Roman" w:cs="Times New Roman"/>
          <w:sz w:val="24"/>
          <w:szCs w:val="24"/>
          <w:lang w:val="en-GB"/>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433"/>
        <w:gridCol w:w="1053"/>
        <w:gridCol w:w="4591"/>
      </w:tblGrid>
      <w:tr w:rsidR="00FB65EC" w:rsidRPr="006A3B94" w:rsidTr="005025B9">
        <w:tc>
          <w:tcPr>
            <w:tcW w:w="10060" w:type="dxa"/>
            <w:gridSpan w:val="5"/>
            <w:tcBorders>
              <w:top w:val="single" w:sz="4" w:space="0" w:color="auto"/>
              <w:left w:val="single" w:sz="4" w:space="0" w:color="auto"/>
              <w:bottom w:val="single" w:sz="4" w:space="0" w:color="auto"/>
              <w:right w:val="single" w:sz="4" w:space="0" w:color="auto"/>
            </w:tcBorders>
            <w:hideMark/>
          </w:tcPr>
          <w:p w:rsidR="00FB65EC" w:rsidRPr="006A3B94" w:rsidRDefault="00FB65EC" w:rsidP="005025B9">
            <w:pPr>
              <w:rPr>
                <w:rFonts w:ascii="Times New Roman" w:hAnsi="Times New Roman" w:cs="Times New Roman"/>
                <w:b/>
                <w:iCs/>
                <w:sz w:val="24"/>
                <w:szCs w:val="24"/>
                <w:lang w:val="en-US"/>
              </w:rPr>
            </w:pPr>
            <w:r w:rsidRPr="006A3B94">
              <w:rPr>
                <w:rFonts w:ascii="Times New Roman" w:hAnsi="Times New Roman" w:cs="Times New Roman"/>
                <w:b/>
                <w:iCs/>
                <w:sz w:val="24"/>
                <w:szCs w:val="24"/>
                <w:lang w:val="en-US"/>
              </w:rPr>
              <w:t>Table 5: Dimension 2 – form of support</w:t>
            </w:r>
          </w:p>
        </w:tc>
      </w:tr>
      <w:tr w:rsidR="00FB65EC" w:rsidRPr="006A3B94" w:rsidTr="005025B9">
        <w:tc>
          <w:tcPr>
            <w:tcW w:w="1599" w:type="dxa"/>
            <w:tcBorders>
              <w:top w:val="single" w:sz="4" w:space="0" w:color="auto"/>
              <w:left w:val="single" w:sz="4" w:space="0" w:color="auto"/>
              <w:bottom w:val="single" w:sz="4" w:space="0" w:color="auto"/>
              <w:right w:val="single" w:sz="4" w:space="0" w:color="auto"/>
            </w:tcBorders>
            <w:hideMark/>
          </w:tcPr>
          <w:p w:rsidR="00FB65EC" w:rsidRPr="006A3B94" w:rsidRDefault="00FB65EC" w:rsidP="005025B9">
            <w:pPr>
              <w:rPr>
                <w:rFonts w:ascii="Times New Roman" w:hAnsi="Times New Roman" w:cs="Times New Roman"/>
                <w:b/>
                <w:iCs/>
                <w:sz w:val="24"/>
                <w:szCs w:val="24"/>
                <w:lang w:val="en-US"/>
              </w:rPr>
            </w:pPr>
            <w:r w:rsidRPr="006A3B94">
              <w:rPr>
                <w:rFonts w:ascii="Times New Roman" w:hAnsi="Times New Roman" w:cs="Times New Roman"/>
                <w:b/>
                <w:iCs/>
                <w:sz w:val="24"/>
                <w:szCs w:val="24"/>
                <w:lang w:val="en-US"/>
              </w:rPr>
              <w:t>Priority No</w:t>
            </w:r>
          </w:p>
        </w:tc>
        <w:tc>
          <w:tcPr>
            <w:tcW w:w="1384" w:type="dxa"/>
            <w:tcBorders>
              <w:top w:val="single" w:sz="4" w:space="0" w:color="auto"/>
              <w:left w:val="single" w:sz="4" w:space="0" w:color="auto"/>
              <w:bottom w:val="single" w:sz="4" w:space="0" w:color="auto"/>
              <w:right w:val="single" w:sz="4" w:space="0" w:color="auto"/>
            </w:tcBorders>
            <w:hideMark/>
          </w:tcPr>
          <w:p w:rsidR="00FB65EC" w:rsidRPr="006A3B94" w:rsidRDefault="00FB65EC" w:rsidP="005025B9">
            <w:pPr>
              <w:rPr>
                <w:rFonts w:ascii="Times New Roman" w:hAnsi="Times New Roman" w:cs="Times New Roman"/>
                <w:b/>
                <w:iCs/>
                <w:sz w:val="24"/>
                <w:szCs w:val="24"/>
                <w:lang w:val="en-US"/>
              </w:rPr>
            </w:pPr>
            <w:r w:rsidRPr="006A3B94">
              <w:rPr>
                <w:rFonts w:ascii="Times New Roman" w:hAnsi="Times New Roman" w:cs="Times New Roman"/>
                <w:b/>
                <w:iCs/>
                <w:sz w:val="24"/>
                <w:szCs w:val="24"/>
                <w:lang w:val="en-US"/>
              </w:rPr>
              <w:t>Fund</w:t>
            </w:r>
          </w:p>
        </w:tc>
        <w:tc>
          <w:tcPr>
            <w:tcW w:w="1433" w:type="dxa"/>
            <w:tcBorders>
              <w:top w:val="single" w:sz="4" w:space="0" w:color="auto"/>
              <w:left w:val="single" w:sz="4" w:space="0" w:color="auto"/>
              <w:bottom w:val="single" w:sz="4" w:space="0" w:color="auto"/>
              <w:right w:val="single" w:sz="4" w:space="0" w:color="auto"/>
            </w:tcBorders>
            <w:hideMark/>
          </w:tcPr>
          <w:p w:rsidR="00FB65EC" w:rsidRPr="006A3B94" w:rsidRDefault="00FB65EC" w:rsidP="005025B9">
            <w:pPr>
              <w:rPr>
                <w:rFonts w:ascii="Times New Roman" w:hAnsi="Times New Roman" w:cs="Times New Roman"/>
                <w:b/>
                <w:iCs/>
                <w:sz w:val="24"/>
                <w:szCs w:val="24"/>
                <w:lang w:val="en-US"/>
              </w:rPr>
            </w:pPr>
            <w:r w:rsidRPr="006A3B94">
              <w:rPr>
                <w:rFonts w:ascii="Times New Roman" w:hAnsi="Times New Roman" w:cs="Times New Roman"/>
                <w:b/>
                <w:iCs/>
                <w:sz w:val="24"/>
                <w:szCs w:val="24"/>
                <w:lang w:val="en-US"/>
              </w:rPr>
              <w:t>Category of region</w:t>
            </w:r>
            <w:r w:rsidRPr="006A3B94">
              <w:rPr>
                <w:rFonts w:ascii="Times New Roman" w:hAnsi="Times New Roman" w:cs="Times New Roman"/>
                <w:b/>
                <w:iCs/>
                <w:sz w:val="24"/>
                <w:szCs w:val="24"/>
                <w:vertAlign w:val="superscript"/>
                <w:lang w:val="en-US"/>
              </w:rPr>
              <w:footnoteReference w:id="59"/>
            </w:r>
          </w:p>
        </w:tc>
        <w:tc>
          <w:tcPr>
            <w:tcW w:w="1053" w:type="dxa"/>
            <w:tcBorders>
              <w:top w:val="single" w:sz="4" w:space="0" w:color="auto"/>
              <w:left w:val="single" w:sz="4" w:space="0" w:color="auto"/>
              <w:bottom w:val="single" w:sz="4" w:space="0" w:color="auto"/>
              <w:right w:val="single" w:sz="4" w:space="0" w:color="auto"/>
            </w:tcBorders>
            <w:hideMark/>
          </w:tcPr>
          <w:p w:rsidR="00FB65EC" w:rsidRPr="006A3B94" w:rsidRDefault="00FB65EC" w:rsidP="005025B9">
            <w:pPr>
              <w:rPr>
                <w:rFonts w:ascii="Times New Roman" w:hAnsi="Times New Roman" w:cs="Times New Roman"/>
                <w:b/>
                <w:iCs/>
                <w:sz w:val="24"/>
                <w:szCs w:val="24"/>
                <w:lang w:val="en-US"/>
              </w:rPr>
            </w:pPr>
            <w:r w:rsidRPr="006A3B94">
              <w:rPr>
                <w:rFonts w:ascii="Times New Roman" w:hAnsi="Times New Roman" w:cs="Times New Roman"/>
                <w:b/>
                <w:iCs/>
                <w:sz w:val="24"/>
                <w:szCs w:val="24"/>
                <w:lang w:val="en-US"/>
              </w:rPr>
              <w:t xml:space="preserve">Code </w:t>
            </w:r>
          </w:p>
        </w:tc>
        <w:tc>
          <w:tcPr>
            <w:tcW w:w="4591" w:type="dxa"/>
            <w:tcBorders>
              <w:top w:val="single" w:sz="4" w:space="0" w:color="auto"/>
              <w:left w:val="single" w:sz="4" w:space="0" w:color="auto"/>
              <w:bottom w:val="single" w:sz="4" w:space="0" w:color="auto"/>
              <w:right w:val="single" w:sz="4" w:space="0" w:color="auto"/>
            </w:tcBorders>
            <w:hideMark/>
          </w:tcPr>
          <w:p w:rsidR="00FB65EC" w:rsidRPr="006A3B94" w:rsidRDefault="00FB65EC" w:rsidP="005025B9">
            <w:pPr>
              <w:rPr>
                <w:rFonts w:ascii="Times New Roman" w:hAnsi="Times New Roman" w:cs="Times New Roman"/>
                <w:b/>
                <w:iCs/>
                <w:sz w:val="24"/>
                <w:szCs w:val="24"/>
                <w:lang w:val="en-US"/>
              </w:rPr>
            </w:pPr>
            <w:r w:rsidRPr="006A3B94">
              <w:rPr>
                <w:rFonts w:ascii="Times New Roman" w:hAnsi="Times New Roman" w:cs="Times New Roman"/>
                <w:b/>
                <w:iCs/>
                <w:sz w:val="24"/>
                <w:szCs w:val="24"/>
                <w:lang w:val="en-US"/>
              </w:rPr>
              <w:t>Amount (EUR)</w:t>
            </w:r>
          </w:p>
        </w:tc>
      </w:tr>
      <w:tr w:rsidR="00FB65EC" w:rsidRPr="006A3B94" w:rsidTr="005025B9">
        <w:tc>
          <w:tcPr>
            <w:tcW w:w="1599" w:type="dxa"/>
            <w:tcBorders>
              <w:top w:val="single" w:sz="4" w:space="0" w:color="auto"/>
              <w:left w:val="single" w:sz="4" w:space="0" w:color="auto"/>
              <w:bottom w:val="single" w:sz="4" w:space="0" w:color="auto"/>
              <w:right w:val="single" w:sz="4" w:space="0" w:color="auto"/>
            </w:tcBorders>
          </w:tcPr>
          <w:p w:rsidR="00FB65EC" w:rsidRPr="006A3B94" w:rsidRDefault="00576795" w:rsidP="005025B9">
            <w:pPr>
              <w:rPr>
                <w:rFonts w:ascii="Times New Roman" w:hAnsi="Times New Roman" w:cs="Times New Roman"/>
                <w:b/>
                <w:iCs/>
                <w:sz w:val="24"/>
                <w:szCs w:val="24"/>
                <w:lang w:val="en-US"/>
              </w:rPr>
            </w:pPr>
            <w:r>
              <w:rPr>
                <w:rFonts w:ascii="Times New Roman" w:hAnsi="Times New Roman" w:cs="Times New Roman"/>
                <w:b/>
                <w:iCs/>
                <w:sz w:val="24"/>
                <w:szCs w:val="24"/>
                <w:lang w:val="en-US"/>
              </w:rPr>
              <w:t>6.0</w:t>
            </w:r>
          </w:p>
        </w:tc>
        <w:tc>
          <w:tcPr>
            <w:tcW w:w="1384" w:type="dxa"/>
            <w:tcBorders>
              <w:top w:val="single" w:sz="4" w:space="0" w:color="auto"/>
              <w:left w:val="single" w:sz="4" w:space="0" w:color="auto"/>
              <w:bottom w:val="single" w:sz="4" w:space="0" w:color="auto"/>
              <w:right w:val="single" w:sz="4" w:space="0" w:color="auto"/>
            </w:tcBorders>
          </w:tcPr>
          <w:p w:rsidR="00FB65EC" w:rsidRPr="006B6325" w:rsidRDefault="00FB65EC" w:rsidP="005025B9">
            <w:pPr>
              <w:rPr>
                <w:rFonts w:ascii="Times New Roman" w:hAnsi="Times New Roman" w:cs="Times New Roman"/>
                <w:b/>
                <w:iCs/>
                <w:sz w:val="24"/>
                <w:szCs w:val="24"/>
                <w:lang w:val="en-US"/>
              </w:rPr>
            </w:pPr>
            <w:r>
              <w:rPr>
                <w:rFonts w:ascii="Times New Roman" w:hAnsi="Times New Roman" w:cs="Times New Roman"/>
                <w:b/>
                <w:iCs/>
                <w:sz w:val="24"/>
                <w:szCs w:val="24"/>
                <w:lang w:val="en-US"/>
              </w:rPr>
              <w:t>FEDR</w:t>
            </w:r>
          </w:p>
        </w:tc>
        <w:tc>
          <w:tcPr>
            <w:tcW w:w="1433" w:type="dxa"/>
            <w:tcBorders>
              <w:top w:val="single" w:sz="4" w:space="0" w:color="auto"/>
              <w:left w:val="single" w:sz="4" w:space="0" w:color="auto"/>
              <w:bottom w:val="single" w:sz="4" w:space="0" w:color="auto"/>
              <w:right w:val="single" w:sz="4" w:space="0" w:color="auto"/>
            </w:tcBorders>
          </w:tcPr>
          <w:p w:rsidR="00FB65EC" w:rsidRPr="006B6325" w:rsidRDefault="00FB65EC" w:rsidP="005025B9">
            <w:pPr>
              <w:rPr>
                <w:rFonts w:ascii="Times New Roman" w:hAnsi="Times New Roman" w:cs="Times New Roman"/>
                <w:b/>
                <w:iCs/>
                <w:sz w:val="24"/>
                <w:szCs w:val="24"/>
                <w:lang w:val="en-US"/>
              </w:rPr>
            </w:pPr>
            <w:r>
              <w:rPr>
                <w:rFonts w:ascii="Times New Roman" w:hAnsi="Times New Roman" w:cs="Times New Roman"/>
                <w:b/>
                <w:iCs/>
                <w:sz w:val="24"/>
                <w:szCs w:val="24"/>
                <w:lang w:val="en-US"/>
              </w:rPr>
              <w:t>Mai putin dezvoltate</w:t>
            </w:r>
          </w:p>
        </w:tc>
        <w:tc>
          <w:tcPr>
            <w:tcW w:w="1053" w:type="dxa"/>
            <w:tcBorders>
              <w:top w:val="single" w:sz="4" w:space="0" w:color="auto"/>
              <w:left w:val="single" w:sz="4" w:space="0" w:color="auto"/>
              <w:bottom w:val="single" w:sz="4" w:space="0" w:color="auto"/>
              <w:right w:val="single" w:sz="4" w:space="0" w:color="auto"/>
            </w:tcBorders>
          </w:tcPr>
          <w:p w:rsidR="00FB65EC" w:rsidRPr="006A3B94" w:rsidRDefault="00FB65EC" w:rsidP="005025B9">
            <w:pPr>
              <w:rPr>
                <w:rFonts w:ascii="Times New Roman" w:hAnsi="Times New Roman" w:cs="Times New Roman"/>
                <w:b/>
                <w:iCs/>
                <w:sz w:val="24"/>
                <w:szCs w:val="24"/>
                <w:lang w:val="en-US"/>
              </w:rPr>
            </w:pPr>
            <w:r>
              <w:rPr>
                <w:rFonts w:ascii="Times New Roman" w:hAnsi="Times New Roman" w:cs="Times New Roman"/>
                <w:b/>
                <w:iCs/>
                <w:sz w:val="24"/>
                <w:szCs w:val="24"/>
                <w:lang w:val="en-US"/>
              </w:rPr>
              <w:t>01</w:t>
            </w:r>
          </w:p>
        </w:tc>
        <w:tc>
          <w:tcPr>
            <w:tcW w:w="4591" w:type="dxa"/>
            <w:tcBorders>
              <w:top w:val="single" w:sz="4" w:space="0" w:color="auto"/>
              <w:left w:val="single" w:sz="4" w:space="0" w:color="auto"/>
              <w:bottom w:val="single" w:sz="4" w:space="0" w:color="auto"/>
              <w:right w:val="single" w:sz="4" w:space="0" w:color="auto"/>
            </w:tcBorders>
          </w:tcPr>
          <w:p w:rsidR="00FB65EC" w:rsidRPr="006A3B94" w:rsidRDefault="00657C41" w:rsidP="005025B9">
            <w:pPr>
              <w:rPr>
                <w:rFonts w:ascii="Times New Roman" w:hAnsi="Times New Roman" w:cs="Times New Roman"/>
                <w:b/>
                <w:iCs/>
                <w:sz w:val="24"/>
                <w:szCs w:val="24"/>
                <w:lang w:val="en-US"/>
              </w:rPr>
            </w:pPr>
            <w:r>
              <w:rPr>
                <w:rFonts w:ascii="Times New Roman" w:hAnsi="Times New Roman" w:cs="Times New Roman"/>
                <w:b/>
                <w:iCs/>
                <w:sz w:val="24"/>
                <w:szCs w:val="24"/>
                <w:lang w:val="en-US"/>
              </w:rPr>
              <w:t>81.115.000</w:t>
            </w:r>
          </w:p>
        </w:tc>
      </w:tr>
    </w:tbl>
    <w:p w:rsidR="00FB65EC" w:rsidRDefault="00FB65EC" w:rsidP="00FB65EC">
      <w:pPr>
        <w:rPr>
          <w:rFonts w:ascii="Times New Roman" w:hAnsi="Times New Roman" w:cs="Times New Roman"/>
          <w:b/>
          <w:iCs/>
          <w:sz w:val="24"/>
          <w:szCs w:val="24"/>
          <w:lang w:val="en-GB"/>
        </w:rPr>
      </w:pPr>
    </w:p>
    <w:tbl>
      <w:tblPr>
        <w:tblW w:w="9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1417"/>
        <w:gridCol w:w="1418"/>
        <w:gridCol w:w="992"/>
        <w:gridCol w:w="3073"/>
        <w:gridCol w:w="1475"/>
      </w:tblGrid>
      <w:tr w:rsidR="00576795" w:rsidRPr="006A3B94" w:rsidTr="00576795">
        <w:trPr>
          <w:trHeight w:val="606"/>
        </w:trPr>
        <w:tc>
          <w:tcPr>
            <w:tcW w:w="9930" w:type="dxa"/>
            <w:gridSpan w:val="6"/>
            <w:tcBorders>
              <w:top w:val="single" w:sz="4" w:space="0" w:color="auto"/>
              <w:left w:val="single" w:sz="4" w:space="0" w:color="auto"/>
              <w:bottom w:val="single" w:sz="4" w:space="0" w:color="auto"/>
              <w:right w:val="single" w:sz="4" w:space="0" w:color="auto"/>
            </w:tcBorders>
            <w:hideMark/>
          </w:tcPr>
          <w:p w:rsidR="00576795" w:rsidRPr="006A3B94" w:rsidRDefault="00576795" w:rsidP="008239CE">
            <w:pPr>
              <w:rPr>
                <w:rFonts w:ascii="Times New Roman" w:hAnsi="Times New Roman" w:cs="Times New Roman"/>
                <w:b/>
                <w:iCs/>
                <w:sz w:val="24"/>
                <w:szCs w:val="24"/>
                <w:lang w:val="en-US"/>
              </w:rPr>
            </w:pPr>
            <w:r w:rsidRPr="006A3B94">
              <w:rPr>
                <w:rFonts w:ascii="Times New Roman" w:hAnsi="Times New Roman" w:cs="Times New Roman"/>
                <w:b/>
                <w:iCs/>
                <w:sz w:val="24"/>
                <w:szCs w:val="24"/>
                <w:lang w:val="en-US"/>
              </w:rPr>
              <w:t>Table 6: Dimension 3 – territorial delivery mechanism and territorial focus</w:t>
            </w:r>
          </w:p>
        </w:tc>
      </w:tr>
      <w:tr w:rsidR="00576795" w:rsidRPr="006A3B94" w:rsidTr="008239CE">
        <w:trPr>
          <w:trHeight w:val="919"/>
        </w:trPr>
        <w:tc>
          <w:tcPr>
            <w:tcW w:w="1555" w:type="dxa"/>
            <w:tcBorders>
              <w:top w:val="single" w:sz="4" w:space="0" w:color="auto"/>
              <w:left w:val="single" w:sz="4" w:space="0" w:color="auto"/>
              <w:bottom w:val="single" w:sz="4" w:space="0" w:color="auto"/>
              <w:right w:val="single" w:sz="4" w:space="0" w:color="auto"/>
            </w:tcBorders>
            <w:hideMark/>
          </w:tcPr>
          <w:p w:rsidR="00576795" w:rsidRPr="006A3B94" w:rsidRDefault="00576795" w:rsidP="008239CE">
            <w:pPr>
              <w:rPr>
                <w:rFonts w:ascii="Times New Roman" w:hAnsi="Times New Roman" w:cs="Times New Roman"/>
                <w:b/>
                <w:iCs/>
                <w:sz w:val="24"/>
                <w:szCs w:val="24"/>
                <w:lang w:val="en-US"/>
              </w:rPr>
            </w:pPr>
            <w:r w:rsidRPr="006A3B94">
              <w:rPr>
                <w:rFonts w:ascii="Times New Roman" w:hAnsi="Times New Roman" w:cs="Times New Roman"/>
                <w:b/>
                <w:iCs/>
                <w:sz w:val="24"/>
                <w:szCs w:val="24"/>
                <w:lang w:val="en-US"/>
              </w:rPr>
              <w:t>Priority No</w:t>
            </w:r>
          </w:p>
        </w:tc>
        <w:tc>
          <w:tcPr>
            <w:tcW w:w="1417" w:type="dxa"/>
            <w:tcBorders>
              <w:top w:val="single" w:sz="4" w:space="0" w:color="auto"/>
              <w:left w:val="single" w:sz="4" w:space="0" w:color="auto"/>
              <w:bottom w:val="single" w:sz="4" w:space="0" w:color="auto"/>
              <w:right w:val="single" w:sz="4" w:space="0" w:color="auto"/>
            </w:tcBorders>
            <w:hideMark/>
          </w:tcPr>
          <w:p w:rsidR="00576795" w:rsidRPr="006A3B94" w:rsidRDefault="00576795" w:rsidP="008239CE">
            <w:pPr>
              <w:rPr>
                <w:rFonts w:ascii="Times New Roman" w:hAnsi="Times New Roman" w:cs="Times New Roman"/>
                <w:b/>
                <w:iCs/>
                <w:sz w:val="24"/>
                <w:szCs w:val="24"/>
                <w:lang w:val="en-US"/>
              </w:rPr>
            </w:pPr>
            <w:r w:rsidRPr="006A3B94">
              <w:rPr>
                <w:rFonts w:ascii="Times New Roman" w:hAnsi="Times New Roman" w:cs="Times New Roman"/>
                <w:b/>
                <w:iCs/>
                <w:sz w:val="24"/>
                <w:szCs w:val="24"/>
                <w:lang w:val="en-US"/>
              </w:rPr>
              <w:t>Fund</w:t>
            </w:r>
          </w:p>
        </w:tc>
        <w:tc>
          <w:tcPr>
            <w:tcW w:w="1418" w:type="dxa"/>
            <w:tcBorders>
              <w:top w:val="single" w:sz="4" w:space="0" w:color="auto"/>
              <w:left w:val="single" w:sz="4" w:space="0" w:color="auto"/>
              <w:bottom w:val="single" w:sz="4" w:space="0" w:color="auto"/>
              <w:right w:val="single" w:sz="4" w:space="0" w:color="auto"/>
            </w:tcBorders>
            <w:hideMark/>
          </w:tcPr>
          <w:p w:rsidR="00576795" w:rsidRPr="006A3B94" w:rsidRDefault="00576795" w:rsidP="008239CE">
            <w:pPr>
              <w:rPr>
                <w:rFonts w:ascii="Times New Roman" w:hAnsi="Times New Roman" w:cs="Times New Roman"/>
                <w:b/>
                <w:iCs/>
                <w:sz w:val="24"/>
                <w:szCs w:val="24"/>
                <w:lang w:val="en-US"/>
              </w:rPr>
            </w:pPr>
            <w:r w:rsidRPr="006A3B94">
              <w:rPr>
                <w:rFonts w:ascii="Times New Roman" w:hAnsi="Times New Roman" w:cs="Times New Roman"/>
                <w:b/>
                <w:iCs/>
                <w:sz w:val="24"/>
                <w:szCs w:val="24"/>
                <w:lang w:val="en-US"/>
              </w:rPr>
              <w:t>Category of region</w:t>
            </w:r>
            <w:r w:rsidRPr="006A3B94">
              <w:rPr>
                <w:rFonts w:ascii="Times New Roman" w:hAnsi="Times New Roman" w:cs="Times New Roman"/>
                <w:b/>
                <w:iCs/>
                <w:sz w:val="24"/>
                <w:szCs w:val="24"/>
                <w:vertAlign w:val="superscript"/>
                <w:lang w:val="en-US"/>
              </w:rPr>
              <w:footnoteReference w:id="60"/>
            </w:r>
          </w:p>
        </w:tc>
        <w:tc>
          <w:tcPr>
            <w:tcW w:w="992" w:type="dxa"/>
            <w:tcBorders>
              <w:top w:val="single" w:sz="4" w:space="0" w:color="auto"/>
              <w:left w:val="single" w:sz="4" w:space="0" w:color="auto"/>
              <w:bottom w:val="single" w:sz="4" w:space="0" w:color="auto"/>
              <w:right w:val="single" w:sz="4" w:space="0" w:color="auto"/>
            </w:tcBorders>
            <w:hideMark/>
          </w:tcPr>
          <w:p w:rsidR="00576795" w:rsidRPr="006A3B94" w:rsidRDefault="00576795" w:rsidP="008239CE">
            <w:pPr>
              <w:rPr>
                <w:rFonts w:ascii="Times New Roman" w:hAnsi="Times New Roman" w:cs="Times New Roman"/>
                <w:b/>
                <w:iCs/>
                <w:sz w:val="24"/>
                <w:szCs w:val="24"/>
                <w:lang w:val="en-US"/>
              </w:rPr>
            </w:pPr>
            <w:r w:rsidRPr="006A3B94">
              <w:rPr>
                <w:rFonts w:ascii="Times New Roman" w:hAnsi="Times New Roman" w:cs="Times New Roman"/>
                <w:b/>
                <w:iCs/>
                <w:sz w:val="24"/>
                <w:szCs w:val="24"/>
                <w:lang w:val="en-US"/>
              </w:rPr>
              <w:t xml:space="preserve">Code </w:t>
            </w:r>
          </w:p>
        </w:tc>
        <w:tc>
          <w:tcPr>
            <w:tcW w:w="4548" w:type="dxa"/>
            <w:gridSpan w:val="2"/>
            <w:tcBorders>
              <w:top w:val="single" w:sz="4" w:space="0" w:color="auto"/>
              <w:left w:val="single" w:sz="4" w:space="0" w:color="auto"/>
              <w:bottom w:val="single" w:sz="4" w:space="0" w:color="auto"/>
              <w:right w:val="single" w:sz="4" w:space="0" w:color="auto"/>
            </w:tcBorders>
            <w:hideMark/>
          </w:tcPr>
          <w:p w:rsidR="00576795" w:rsidRPr="006A3B94" w:rsidRDefault="00576795" w:rsidP="008239CE">
            <w:pPr>
              <w:rPr>
                <w:rFonts w:ascii="Times New Roman" w:hAnsi="Times New Roman" w:cs="Times New Roman"/>
                <w:b/>
                <w:iCs/>
                <w:sz w:val="24"/>
                <w:szCs w:val="24"/>
                <w:lang w:val="en-US"/>
              </w:rPr>
            </w:pPr>
            <w:r w:rsidRPr="006A3B94">
              <w:rPr>
                <w:rFonts w:ascii="Times New Roman" w:hAnsi="Times New Roman" w:cs="Times New Roman"/>
                <w:b/>
                <w:iCs/>
                <w:sz w:val="24"/>
                <w:szCs w:val="24"/>
                <w:lang w:val="en-US"/>
              </w:rPr>
              <w:t>Amount (EUR)</w:t>
            </w:r>
          </w:p>
        </w:tc>
      </w:tr>
      <w:tr w:rsidR="00576795" w:rsidRPr="006A3B94" w:rsidTr="00E95FAC">
        <w:trPr>
          <w:trHeight w:val="573"/>
        </w:trPr>
        <w:tc>
          <w:tcPr>
            <w:tcW w:w="1555" w:type="dxa"/>
            <w:tcBorders>
              <w:top w:val="single" w:sz="4" w:space="0" w:color="auto"/>
              <w:left w:val="single" w:sz="4" w:space="0" w:color="auto"/>
              <w:bottom w:val="single" w:sz="4" w:space="0" w:color="auto"/>
              <w:right w:val="single" w:sz="4" w:space="0" w:color="auto"/>
            </w:tcBorders>
          </w:tcPr>
          <w:p w:rsidR="00576795" w:rsidRPr="006A3B94" w:rsidRDefault="00BF6A8C" w:rsidP="008239CE">
            <w:pPr>
              <w:rPr>
                <w:rFonts w:ascii="Times New Roman" w:hAnsi="Times New Roman" w:cs="Times New Roman"/>
                <w:b/>
                <w:iCs/>
                <w:sz w:val="24"/>
                <w:szCs w:val="24"/>
                <w:lang w:val="en-US"/>
              </w:rPr>
            </w:pPr>
            <w:r>
              <w:rPr>
                <w:rFonts w:ascii="Times New Roman" w:hAnsi="Times New Roman" w:cs="Times New Roman"/>
                <w:b/>
                <w:iCs/>
                <w:sz w:val="24"/>
                <w:szCs w:val="24"/>
                <w:lang w:val="en-US"/>
              </w:rPr>
              <w:t>6.0</w:t>
            </w:r>
          </w:p>
        </w:tc>
        <w:tc>
          <w:tcPr>
            <w:tcW w:w="1417" w:type="dxa"/>
            <w:tcBorders>
              <w:top w:val="single" w:sz="4" w:space="0" w:color="auto"/>
              <w:left w:val="single" w:sz="4" w:space="0" w:color="auto"/>
              <w:bottom w:val="single" w:sz="4" w:space="0" w:color="auto"/>
              <w:right w:val="single" w:sz="4" w:space="0" w:color="auto"/>
            </w:tcBorders>
          </w:tcPr>
          <w:p w:rsidR="00576795" w:rsidRPr="006B6325" w:rsidRDefault="00576795" w:rsidP="008239CE">
            <w:pPr>
              <w:rPr>
                <w:rFonts w:ascii="Times New Roman" w:hAnsi="Times New Roman" w:cs="Times New Roman"/>
                <w:b/>
                <w:iCs/>
                <w:sz w:val="24"/>
                <w:szCs w:val="24"/>
                <w:lang w:val="en-US"/>
              </w:rPr>
            </w:pPr>
            <w:r>
              <w:rPr>
                <w:rFonts w:ascii="Times New Roman" w:hAnsi="Times New Roman" w:cs="Times New Roman"/>
                <w:b/>
                <w:iCs/>
                <w:sz w:val="24"/>
                <w:szCs w:val="24"/>
                <w:lang w:val="en-US"/>
              </w:rPr>
              <w:t>FEDR</w:t>
            </w:r>
          </w:p>
        </w:tc>
        <w:tc>
          <w:tcPr>
            <w:tcW w:w="1418" w:type="dxa"/>
            <w:tcBorders>
              <w:top w:val="single" w:sz="4" w:space="0" w:color="auto"/>
              <w:left w:val="single" w:sz="4" w:space="0" w:color="auto"/>
              <w:bottom w:val="single" w:sz="4" w:space="0" w:color="auto"/>
              <w:right w:val="single" w:sz="4" w:space="0" w:color="auto"/>
            </w:tcBorders>
          </w:tcPr>
          <w:p w:rsidR="00576795" w:rsidRPr="006B6325" w:rsidRDefault="00576795" w:rsidP="008239CE">
            <w:pPr>
              <w:rPr>
                <w:rFonts w:ascii="Times New Roman" w:hAnsi="Times New Roman" w:cs="Times New Roman"/>
                <w:b/>
                <w:iCs/>
                <w:sz w:val="24"/>
                <w:szCs w:val="24"/>
                <w:lang w:val="en-US"/>
              </w:rPr>
            </w:pPr>
            <w:r>
              <w:rPr>
                <w:rFonts w:ascii="Times New Roman" w:hAnsi="Times New Roman" w:cs="Times New Roman"/>
                <w:b/>
                <w:iCs/>
                <w:sz w:val="24"/>
                <w:szCs w:val="24"/>
                <w:lang w:val="en-US"/>
              </w:rPr>
              <w:t>Mai putin dezvoltate</w:t>
            </w:r>
          </w:p>
        </w:tc>
        <w:tc>
          <w:tcPr>
            <w:tcW w:w="992" w:type="dxa"/>
            <w:tcBorders>
              <w:top w:val="single" w:sz="4" w:space="0" w:color="auto"/>
              <w:left w:val="single" w:sz="4" w:space="0" w:color="auto"/>
              <w:bottom w:val="single" w:sz="4" w:space="0" w:color="auto"/>
              <w:right w:val="single" w:sz="4" w:space="0" w:color="auto"/>
            </w:tcBorders>
          </w:tcPr>
          <w:p w:rsidR="00576795" w:rsidRPr="006A3B94" w:rsidRDefault="00BF6A8C" w:rsidP="008239CE">
            <w:pPr>
              <w:rPr>
                <w:rFonts w:ascii="Times New Roman" w:hAnsi="Times New Roman" w:cs="Times New Roman"/>
                <w:b/>
                <w:iCs/>
                <w:sz w:val="24"/>
                <w:szCs w:val="24"/>
                <w:lang w:val="en-US"/>
              </w:rPr>
            </w:pPr>
            <w:r>
              <w:rPr>
                <w:rFonts w:ascii="Times New Roman" w:hAnsi="Times New Roman" w:cs="Times New Roman"/>
                <w:b/>
                <w:iCs/>
                <w:sz w:val="24"/>
                <w:szCs w:val="24"/>
                <w:lang w:val="en-US"/>
              </w:rPr>
              <w:t>42</w:t>
            </w:r>
          </w:p>
        </w:tc>
        <w:tc>
          <w:tcPr>
            <w:tcW w:w="3073" w:type="dxa"/>
            <w:tcBorders>
              <w:top w:val="single" w:sz="4" w:space="0" w:color="auto"/>
              <w:left w:val="single" w:sz="4" w:space="0" w:color="auto"/>
              <w:bottom w:val="single" w:sz="4" w:space="0" w:color="auto"/>
              <w:right w:val="single" w:sz="4" w:space="0" w:color="auto"/>
            </w:tcBorders>
          </w:tcPr>
          <w:p w:rsidR="00576795" w:rsidRPr="006A3B94" w:rsidRDefault="00BF6A8C" w:rsidP="008239CE">
            <w:pPr>
              <w:rPr>
                <w:rFonts w:ascii="Times New Roman" w:hAnsi="Times New Roman" w:cs="Times New Roman"/>
                <w:b/>
                <w:iCs/>
                <w:sz w:val="24"/>
                <w:szCs w:val="24"/>
                <w:lang w:val="en-US"/>
              </w:rPr>
            </w:pPr>
            <w:r>
              <w:rPr>
                <w:rFonts w:ascii="Times New Roman" w:hAnsi="Times New Roman" w:cs="Times New Roman"/>
                <w:b/>
                <w:iCs/>
                <w:sz w:val="24"/>
                <w:szCs w:val="24"/>
                <w:lang w:val="en-US"/>
              </w:rPr>
              <w:t>65.703.150</w:t>
            </w:r>
          </w:p>
        </w:tc>
        <w:tc>
          <w:tcPr>
            <w:tcW w:w="1475" w:type="dxa"/>
            <w:tcBorders>
              <w:top w:val="single" w:sz="4" w:space="0" w:color="auto"/>
              <w:left w:val="single" w:sz="4" w:space="0" w:color="auto"/>
              <w:bottom w:val="single" w:sz="4" w:space="0" w:color="auto"/>
              <w:right w:val="single" w:sz="4" w:space="0" w:color="auto"/>
            </w:tcBorders>
          </w:tcPr>
          <w:p w:rsidR="00576795" w:rsidRPr="006A3B94" w:rsidRDefault="00576795" w:rsidP="008239CE">
            <w:pPr>
              <w:rPr>
                <w:rFonts w:ascii="Times New Roman" w:hAnsi="Times New Roman" w:cs="Times New Roman"/>
                <w:b/>
                <w:iCs/>
                <w:sz w:val="24"/>
                <w:szCs w:val="24"/>
                <w:lang w:val="en-US"/>
              </w:rPr>
            </w:pPr>
          </w:p>
        </w:tc>
      </w:tr>
      <w:tr w:rsidR="00576795" w:rsidRPr="006A3B94" w:rsidTr="00E95FAC">
        <w:trPr>
          <w:trHeight w:val="573"/>
        </w:trPr>
        <w:tc>
          <w:tcPr>
            <w:tcW w:w="1555" w:type="dxa"/>
            <w:tcBorders>
              <w:top w:val="single" w:sz="4" w:space="0" w:color="auto"/>
              <w:left w:val="single" w:sz="4" w:space="0" w:color="auto"/>
              <w:bottom w:val="single" w:sz="4" w:space="0" w:color="auto"/>
              <w:right w:val="single" w:sz="4" w:space="0" w:color="auto"/>
            </w:tcBorders>
          </w:tcPr>
          <w:p w:rsidR="00576795" w:rsidRDefault="00576795" w:rsidP="008239CE">
            <w:pPr>
              <w:rPr>
                <w:rFonts w:ascii="Times New Roman" w:hAnsi="Times New Roman" w:cs="Times New Roman"/>
                <w:b/>
                <w:iCs/>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576795" w:rsidRPr="006B6325" w:rsidRDefault="00576795" w:rsidP="008239CE">
            <w:pPr>
              <w:rPr>
                <w:rFonts w:ascii="Times New Roman" w:hAnsi="Times New Roman" w:cs="Times New Roman"/>
                <w:b/>
                <w:iCs/>
                <w:sz w:val="24"/>
                <w:szCs w:val="24"/>
                <w:lang w:val="en-US"/>
              </w:rPr>
            </w:pPr>
            <w:r>
              <w:rPr>
                <w:rFonts w:ascii="Times New Roman" w:hAnsi="Times New Roman" w:cs="Times New Roman"/>
                <w:b/>
                <w:iCs/>
                <w:sz w:val="24"/>
                <w:szCs w:val="24"/>
                <w:lang w:val="en-US"/>
              </w:rPr>
              <w:t>FEDR</w:t>
            </w:r>
          </w:p>
        </w:tc>
        <w:tc>
          <w:tcPr>
            <w:tcW w:w="1418" w:type="dxa"/>
            <w:tcBorders>
              <w:top w:val="single" w:sz="4" w:space="0" w:color="auto"/>
              <w:left w:val="single" w:sz="4" w:space="0" w:color="auto"/>
              <w:bottom w:val="single" w:sz="4" w:space="0" w:color="auto"/>
              <w:right w:val="single" w:sz="4" w:space="0" w:color="auto"/>
            </w:tcBorders>
          </w:tcPr>
          <w:p w:rsidR="00576795" w:rsidRPr="006B6325" w:rsidRDefault="00576795" w:rsidP="008239CE">
            <w:pPr>
              <w:rPr>
                <w:rFonts w:ascii="Times New Roman" w:hAnsi="Times New Roman" w:cs="Times New Roman"/>
                <w:b/>
                <w:iCs/>
                <w:sz w:val="24"/>
                <w:szCs w:val="24"/>
                <w:lang w:val="en-US"/>
              </w:rPr>
            </w:pPr>
            <w:r>
              <w:rPr>
                <w:rFonts w:ascii="Times New Roman" w:hAnsi="Times New Roman" w:cs="Times New Roman"/>
                <w:b/>
                <w:iCs/>
                <w:sz w:val="24"/>
                <w:szCs w:val="24"/>
                <w:lang w:val="en-US"/>
              </w:rPr>
              <w:t>Mai putin dezvoltate</w:t>
            </w:r>
          </w:p>
        </w:tc>
        <w:tc>
          <w:tcPr>
            <w:tcW w:w="992" w:type="dxa"/>
            <w:tcBorders>
              <w:top w:val="single" w:sz="4" w:space="0" w:color="auto"/>
              <w:left w:val="single" w:sz="4" w:space="0" w:color="auto"/>
              <w:bottom w:val="single" w:sz="4" w:space="0" w:color="auto"/>
              <w:right w:val="single" w:sz="4" w:space="0" w:color="auto"/>
            </w:tcBorders>
          </w:tcPr>
          <w:p w:rsidR="00576795" w:rsidRPr="006A3B94" w:rsidRDefault="00BF6A8C" w:rsidP="008239CE">
            <w:pPr>
              <w:rPr>
                <w:rFonts w:ascii="Times New Roman" w:hAnsi="Times New Roman" w:cs="Times New Roman"/>
                <w:b/>
                <w:iCs/>
                <w:sz w:val="24"/>
                <w:szCs w:val="24"/>
                <w:lang w:val="en-US"/>
              </w:rPr>
            </w:pPr>
            <w:r>
              <w:rPr>
                <w:rFonts w:ascii="Times New Roman" w:hAnsi="Times New Roman" w:cs="Times New Roman"/>
                <w:b/>
                <w:iCs/>
                <w:sz w:val="24"/>
                <w:szCs w:val="24"/>
                <w:lang w:val="en-US"/>
              </w:rPr>
              <w:t>47</w:t>
            </w:r>
          </w:p>
        </w:tc>
        <w:tc>
          <w:tcPr>
            <w:tcW w:w="3073" w:type="dxa"/>
            <w:tcBorders>
              <w:top w:val="single" w:sz="4" w:space="0" w:color="auto"/>
              <w:left w:val="single" w:sz="4" w:space="0" w:color="auto"/>
              <w:bottom w:val="single" w:sz="4" w:space="0" w:color="auto"/>
              <w:right w:val="single" w:sz="4" w:space="0" w:color="auto"/>
            </w:tcBorders>
          </w:tcPr>
          <w:p w:rsidR="00576795" w:rsidRPr="006A3B94" w:rsidRDefault="00BF6A8C" w:rsidP="008239CE">
            <w:pPr>
              <w:rPr>
                <w:rFonts w:ascii="Times New Roman" w:hAnsi="Times New Roman" w:cs="Times New Roman"/>
                <w:b/>
                <w:iCs/>
                <w:sz w:val="24"/>
                <w:szCs w:val="24"/>
                <w:lang w:val="en-US"/>
              </w:rPr>
            </w:pPr>
            <w:r>
              <w:rPr>
                <w:rFonts w:ascii="Times New Roman" w:hAnsi="Times New Roman" w:cs="Times New Roman"/>
                <w:b/>
                <w:iCs/>
                <w:sz w:val="24"/>
                <w:szCs w:val="24"/>
                <w:lang w:val="en-US"/>
              </w:rPr>
              <w:t>15.411.850</w:t>
            </w:r>
          </w:p>
        </w:tc>
        <w:tc>
          <w:tcPr>
            <w:tcW w:w="1475" w:type="dxa"/>
            <w:tcBorders>
              <w:top w:val="single" w:sz="4" w:space="0" w:color="auto"/>
              <w:left w:val="single" w:sz="4" w:space="0" w:color="auto"/>
              <w:bottom w:val="single" w:sz="4" w:space="0" w:color="auto"/>
              <w:right w:val="single" w:sz="4" w:space="0" w:color="auto"/>
            </w:tcBorders>
          </w:tcPr>
          <w:p w:rsidR="00576795" w:rsidRPr="006A3B94" w:rsidRDefault="00576795" w:rsidP="008239CE">
            <w:pPr>
              <w:rPr>
                <w:rFonts w:ascii="Times New Roman" w:hAnsi="Times New Roman" w:cs="Times New Roman"/>
                <w:b/>
                <w:iCs/>
                <w:sz w:val="24"/>
                <w:szCs w:val="24"/>
                <w:lang w:val="en-US"/>
              </w:rPr>
            </w:pPr>
          </w:p>
        </w:tc>
      </w:tr>
    </w:tbl>
    <w:p w:rsidR="00FB65EC" w:rsidRPr="006A3B94" w:rsidRDefault="00FB65EC" w:rsidP="00FB65EC">
      <w:pPr>
        <w:rPr>
          <w:rFonts w:ascii="Times New Roman" w:hAnsi="Times New Roman" w:cs="Times New Roman"/>
          <w:b/>
          <w:iCs/>
          <w:sz w:val="24"/>
          <w:szCs w:val="24"/>
          <w:lang w:val="en-GB"/>
        </w:rPr>
      </w:pPr>
    </w:p>
    <w:tbl>
      <w:tblPr>
        <w:tblW w:w="10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1"/>
        <w:gridCol w:w="1819"/>
        <w:gridCol w:w="1883"/>
        <w:gridCol w:w="1384"/>
        <w:gridCol w:w="2861"/>
      </w:tblGrid>
      <w:tr w:rsidR="00FB65EC" w:rsidRPr="006A3B94" w:rsidTr="005025B9">
        <w:trPr>
          <w:trHeight w:val="530"/>
        </w:trPr>
        <w:tc>
          <w:tcPr>
            <w:tcW w:w="10048" w:type="dxa"/>
            <w:gridSpan w:val="5"/>
            <w:tcBorders>
              <w:top w:val="single" w:sz="4" w:space="0" w:color="auto"/>
              <w:left w:val="single" w:sz="4" w:space="0" w:color="auto"/>
              <w:bottom w:val="single" w:sz="4" w:space="0" w:color="auto"/>
              <w:right w:val="single" w:sz="4" w:space="0" w:color="auto"/>
            </w:tcBorders>
            <w:hideMark/>
          </w:tcPr>
          <w:p w:rsidR="00FB65EC" w:rsidRPr="00DE593C" w:rsidRDefault="00FB65EC" w:rsidP="005025B9">
            <w:pPr>
              <w:rPr>
                <w:rFonts w:ascii="Times New Roman" w:hAnsi="Times New Roman" w:cs="Times New Roman"/>
                <w:b/>
                <w:iCs/>
                <w:sz w:val="24"/>
                <w:szCs w:val="24"/>
                <w:lang w:val="en-US"/>
              </w:rPr>
            </w:pPr>
            <w:r w:rsidRPr="00DE593C">
              <w:rPr>
                <w:rFonts w:ascii="Times New Roman" w:hAnsi="Times New Roman" w:cs="Times New Roman"/>
                <w:b/>
                <w:iCs/>
                <w:sz w:val="24"/>
                <w:szCs w:val="24"/>
                <w:lang w:val="en-US"/>
              </w:rPr>
              <w:t>Table 7: Dimension 6 – ESF+ secondary themes</w:t>
            </w:r>
          </w:p>
        </w:tc>
      </w:tr>
      <w:tr w:rsidR="00FB65EC" w:rsidRPr="006A3B94" w:rsidTr="005025B9">
        <w:trPr>
          <w:trHeight w:val="861"/>
        </w:trPr>
        <w:tc>
          <w:tcPr>
            <w:tcW w:w="2101" w:type="dxa"/>
            <w:tcBorders>
              <w:top w:val="single" w:sz="4" w:space="0" w:color="auto"/>
              <w:left w:val="single" w:sz="4" w:space="0" w:color="auto"/>
              <w:bottom w:val="single" w:sz="4" w:space="0" w:color="auto"/>
              <w:right w:val="single" w:sz="4" w:space="0" w:color="auto"/>
            </w:tcBorders>
            <w:hideMark/>
          </w:tcPr>
          <w:p w:rsidR="00FB65EC" w:rsidRPr="00DE593C" w:rsidRDefault="00FB65EC" w:rsidP="005025B9">
            <w:pPr>
              <w:rPr>
                <w:rFonts w:ascii="Times New Roman" w:hAnsi="Times New Roman" w:cs="Times New Roman"/>
                <w:b/>
                <w:iCs/>
                <w:sz w:val="24"/>
                <w:szCs w:val="24"/>
                <w:lang w:val="en-US"/>
              </w:rPr>
            </w:pPr>
            <w:r w:rsidRPr="00DE593C">
              <w:rPr>
                <w:rFonts w:ascii="Times New Roman" w:hAnsi="Times New Roman" w:cs="Times New Roman"/>
                <w:b/>
                <w:iCs/>
                <w:sz w:val="24"/>
                <w:szCs w:val="24"/>
                <w:lang w:val="en-US"/>
              </w:rPr>
              <w:t>Priority No</w:t>
            </w:r>
          </w:p>
        </w:tc>
        <w:tc>
          <w:tcPr>
            <w:tcW w:w="1819" w:type="dxa"/>
            <w:tcBorders>
              <w:top w:val="single" w:sz="4" w:space="0" w:color="auto"/>
              <w:left w:val="single" w:sz="4" w:space="0" w:color="auto"/>
              <w:bottom w:val="single" w:sz="4" w:space="0" w:color="auto"/>
              <w:right w:val="single" w:sz="4" w:space="0" w:color="auto"/>
            </w:tcBorders>
            <w:hideMark/>
          </w:tcPr>
          <w:p w:rsidR="00FB65EC" w:rsidRPr="00DE593C" w:rsidRDefault="00FB65EC" w:rsidP="005025B9">
            <w:pPr>
              <w:rPr>
                <w:rFonts w:ascii="Times New Roman" w:hAnsi="Times New Roman" w:cs="Times New Roman"/>
                <w:b/>
                <w:iCs/>
                <w:sz w:val="24"/>
                <w:szCs w:val="24"/>
                <w:lang w:val="en-US"/>
              </w:rPr>
            </w:pPr>
            <w:r w:rsidRPr="00DE593C">
              <w:rPr>
                <w:rFonts w:ascii="Times New Roman" w:hAnsi="Times New Roman" w:cs="Times New Roman"/>
                <w:b/>
                <w:iCs/>
                <w:sz w:val="24"/>
                <w:szCs w:val="24"/>
                <w:lang w:val="en-US"/>
              </w:rPr>
              <w:t>Fund</w:t>
            </w:r>
          </w:p>
        </w:tc>
        <w:tc>
          <w:tcPr>
            <w:tcW w:w="1883" w:type="dxa"/>
            <w:tcBorders>
              <w:top w:val="single" w:sz="4" w:space="0" w:color="auto"/>
              <w:left w:val="single" w:sz="4" w:space="0" w:color="auto"/>
              <w:bottom w:val="single" w:sz="4" w:space="0" w:color="auto"/>
              <w:right w:val="single" w:sz="4" w:space="0" w:color="auto"/>
            </w:tcBorders>
            <w:hideMark/>
          </w:tcPr>
          <w:p w:rsidR="00FB65EC" w:rsidRPr="00DE593C" w:rsidRDefault="00FB65EC" w:rsidP="005025B9">
            <w:pPr>
              <w:rPr>
                <w:rFonts w:ascii="Times New Roman" w:hAnsi="Times New Roman" w:cs="Times New Roman"/>
                <w:b/>
                <w:iCs/>
                <w:sz w:val="24"/>
                <w:szCs w:val="24"/>
                <w:lang w:val="en-US"/>
              </w:rPr>
            </w:pPr>
            <w:r w:rsidRPr="00DE593C">
              <w:rPr>
                <w:rFonts w:ascii="Times New Roman" w:hAnsi="Times New Roman" w:cs="Times New Roman"/>
                <w:b/>
                <w:iCs/>
                <w:sz w:val="24"/>
                <w:szCs w:val="24"/>
                <w:lang w:val="en-US"/>
              </w:rPr>
              <w:t>Category of region</w:t>
            </w:r>
          </w:p>
        </w:tc>
        <w:tc>
          <w:tcPr>
            <w:tcW w:w="1384" w:type="dxa"/>
            <w:tcBorders>
              <w:top w:val="single" w:sz="4" w:space="0" w:color="auto"/>
              <w:left w:val="single" w:sz="4" w:space="0" w:color="auto"/>
              <w:bottom w:val="single" w:sz="4" w:space="0" w:color="auto"/>
              <w:right w:val="single" w:sz="4" w:space="0" w:color="auto"/>
            </w:tcBorders>
            <w:hideMark/>
          </w:tcPr>
          <w:p w:rsidR="00FB65EC" w:rsidRPr="00DE593C" w:rsidRDefault="00FB65EC" w:rsidP="005025B9">
            <w:pPr>
              <w:rPr>
                <w:rFonts w:ascii="Times New Roman" w:hAnsi="Times New Roman" w:cs="Times New Roman"/>
                <w:b/>
                <w:iCs/>
                <w:sz w:val="24"/>
                <w:szCs w:val="24"/>
                <w:lang w:val="en-US"/>
              </w:rPr>
            </w:pPr>
            <w:r w:rsidRPr="00DE593C">
              <w:rPr>
                <w:rFonts w:ascii="Times New Roman" w:hAnsi="Times New Roman" w:cs="Times New Roman"/>
                <w:b/>
                <w:iCs/>
                <w:sz w:val="24"/>
                <w:szCs w:val="24"/>
                <w:lang w:val="en-US"/>
              </w:rPr>
              <w:t xml:space="preserve">Code </w:t>
            </w:r>
          </w:p>
        </w:tc>
        <w:tc>
          <w:tcPr>
            <w:tcW w:w="2859" w:type="dxa"/>
            <w:tcBorders>
              <w:top w:val="single" w:sz="4" w:space="0" w:color="auto"/>
              <w:left w:val="single" w:sz="4" w:space="0" w:color="auto"/>
              <w:bottom w:val="single" w:sz="4" w:space="0" w:color="auto"/>
              <w:right w:val="single" w:sz="4" w:space="0" w:color="auto"/>
            </w:tcBorders>
            <w:hideMark/>
          </w:tcPr>
          <w:p w:rsidR="00FB65EC" w:rsidRPr="00DE593C" w:rsidRDefault="00FB65EC" w:rsidP="005025B9">
            <w:pPr>
              <w:rPr>
                <w:rFonts w:ascii="Times New Roman" w:hAnsi="Times New Roman" w:cs="Times New Roman"/>
                <w:b/>
                <w:iCs/>
                <w:sz w:val="24"/>
                <w:szCs w:val="24"/>
                <w:lang w:val="en-US"/>
              </w:rPr>
            </w:pPr>
            <w:r w:rsidRPr="00DE593C">
              <w:rPr>
                <w:rFonts w:ascii="Times New Roman" w:hAnsi="Times New Roman" w:cs="Times New Roman"/>
                <w:b/>
                <w:iCs/>
                <w:sz w:val="24"/>
                <w:szCs w:val="24"/>
                <w:lang w:val="en-US"/>
              </w:rPr>
              <w:t>Amount (EUR)</w:t>
            </w:r>
          </w:p>
        </w:tc>
      </w:tr>
      <w:tr w:rsidR="00FB65EC" w:rsidRPr="006A3B94" w:rsidTr="005025B9">
        <w:trPr>
          <w:trHeight w:val="530"/>
        </w:trPr>
        <w:tc>
          <w:tcPr>
            <w:tcW w:w="2101" w:type="dxa"/>
            <w:tcBorders>
              <w:top w:val="single" w:sz="4" w:space="0" w:color="auto"/>
              <w:left w:val="single" w:sz="4" w:space="0" w:color="auto"/>
              <w:bottom w:val="single" w:sz="4" w:space="0" w:color="auto"/>
              <w:right w:val="single" w:sz="4" w:space="0" w:color="auto"/>
            </w:tcBorders>
          </w:tcPr>
          <w:p w:rsidR="00FB65EC" w:rsidRPr="00DE593C" w:rsidRDefault="00FB65EC" w:rsidP="005025B9">
            <w:pPr>
              <w:rPr>
                <w:rFonts w:ascii="Times New Roman" w:hAnsi="Times New Roman" w:cs="Times New Roman"/>
                <w:b/>
                <w:iCs/>
                <w:sz w:val="24"/>
                <w:szCs w:val="24"/>
                <w:lang w:val="en-US"/>
              </w:rPr>
            </w:pPr>
          </w:p>
        </w:tc>
        <w:tc>
          <w:tcPr>
            <w:tcW w:w="1819" w:type="dxa"/>
            <w:tcBorders>
              <w:top w:val="single" w:sz="4" w:space="0" w:color="auto"/>
              <w:left w:val="single" w:sz="4" w:space="0" w:color="auto"/>
              <w:bottom w:val="single" w:sz="4" w:space="0" w:color="auto"/>
              <w:right w:val="single" w:sz="4" w:space="0" w:color="auto"/>
            </w:tcBorders>
          </w:tcPr>
          <w:p w:rsidR="00FB65EC" w:rsidRPr="00DE593C" w:rsidRDefault="00FB65EC" w:rsidP="005025B9">
            <w:pPr>
              <w:rPr>
                <w:rFonts w:ascii="Times New Roman" w:hAnsi="Times New Roman" w:cs="Times New Roman"/>
                <w:b/>
                <w:iCs/>
                <w:sz w:val="24"/>
                <w:szCs w:val="24"/>
                <w:lang w:val="en-US"/>
              </w:rPr>
            </w:pPr>
          </w:p>
        </w:tc>
        <w:tc>
          <w:tcPr>
            <w:tcW w:w="1883" w:type="dxa"/>
            <w:tcBorders>
              <w:top w:val="single" w:sz="4" w:space="0" w:color="auto"/>
              <w:left w:val="single" w:sz="4" w:space="0" w:color="auto"/>
              <w:bottom w:val="single" w:sz="4" w:space="0" w:color="auto"/>
              <w:right w:val="single" w:sz="4" w:space="0" w:color="auto"/>
            </w:tcBorders>
          </w:tcPr>
          <w:p w:rsidR="00FB65EC" w:rsidRPr="00DE593C" w:rsidRDefault="00FB65EC" w:rsidP="005025B9">
            <w:pPr>
              <w:rPr>
                <w:rFonts w:ascii="Times New Roman" w:hAnsi="Times New Roman" w:cs="Times New Roman"/>
                <w:b/>
                <w:iCs/>
                <w:sz w:val="24"/>
                <w:szCs w:val="24"/>
                <w:lang w:val="en-US"/>
              </w:rPr>
            </w:pPr>
          </w:p>
        </w:tc>
        <w:tc>
          <w:tcPr>
            <w:tcW w:w="1384" w:type="dxa"/>
            <w:tcBorders>
              <w:top w:val="single" w:sz="4" w:space="0" w:color="auto"/>
              <w:left w:val="single" w:sz="4" w:space="0" w:color="auto"/>
              <w:bottom w:val="single" w:sz="4" w:space="0" w:color="auto"/>
              <w:right w:val="single" w:sz="4" w:space="0" w:color="auto"/>
            </w:tcBorders>
          </w:tcPr>
          <w:p w:rsidR="00FB65EC" w:rsidRPr="00DE593C" w:rsidRDefault="00FB65EC" w:rsidP="005025B9">
            <w:pPr>
              <w:rPr>
                <w:rFonts w:ascii="Times New Roman" w:hAnsi="Times New Roman" w:cs="Times New Roman"/>
                <w:b/>
                <w:iCs/>
                <w:sz w:val="24"/>
                <w:szCs w:val="24"/>
                <w:lang w:val="en-US"/>
              </w:rPr>
            </w:pPr>
          </w:p>
        </w:tc>
        <w:tc>
          <w:tcPr>
            <w:tcW w:w="2859" w:type="dxa"/>
            <w:tcBorders>
              <w:top w:val="single" w:sz="4" w:space="0" w:color="auto"/>
              <w:left w:val="single" w:sz="4" w:space="0" w:color="auto"/>
              <w:bottom w:val="single" w:sz="4" w:space="0" w:color="auto"/>
              <w:right w:val="single" w:sz="4" w:space="0" w:color="auto"/>
            </w:tcBorders>
          </w:tcPr>
          <w:p w:rsidR="00FB65EC" w:rsidRPr="00DE593C" w:rsidRDefault="00FB65EC" w:rsidP="005025B9">
            <w:pPr>
              <w:rPr>
                <w:rFonts w:ascii="Times New Roman" w:hAnsi="Times New Roman" w:cs="Times New Roman"/>
                <w:b/>
                <w:iCs/>
                <w:sz w:val="24"/>
                <w:szCs w:val="24"/>
                <w:lang w:val="en-US"/>
              </w:rPr>
            </w:pPr>
          </w:p>
        </w:tc>
      </w:tr>
    </w:tbl>
    <w:p w:rsidR="00FB65EC" w:rsidRDefault="00FB65EC" w:rsidP="00FB65EC">
      <w:pPr>
        <w:tabs>
          <w:tab w:val="left" w:pos="3150"/>
        </w:tabs>
        <w:rPr>
          <w:rFonts w:ascii="Times New Roman" w:hAnsi="Times New Roman" w:cs="Times New Roman"/>
          <w:sz w:val="24"/>
          <w:szCs w:val="24"/>
          <w:lang w:val="en-GB"/>
        </w:rPr>
      </w:pPr>
    </w:p>
    <w:p w:rsidR="009731AC" w:rsidRDefault="009731AC" w:rsidP="009731AC">
      <w:pPr>
        <w:spacing w:before="240" w:after="240" w:line="360" w:lineRule="auto"/>
        <w:rPr>
          <w:rFonts w:ascii="Times New Roman" w:eastAsia="Times New Roman" w:hAnsi="Times New Roman" w:cs="Times New Roman"/>
          <w:b/>
          <w:iCs/>
          <w:noProof/>
          <w:sz w:val="24"/>
          <w:szCs w:val="24"/>
          <w:lang w:val="en-GB"/>
        </w:rPr>
      </w:pPr>
      <w:r w:rsidRPr="006A3B94">
        <w:rPr>
          <w:rFonts w:ascii="Times New Roman" w:eastAsia="Times New Roman" w:hAnsi="Times New Roman" w:cs="Times New Roman"/>
          <w:b/>
          <w:iCs/>
          <w:noProof/>
          <w:sz w:val="24"/>
          <w:szCs w:val="24"/>
          <w:lang w:val="en-GB"/>
        </w:rPr>
        <w:t>2.A.3 Specific objective</w:t>
      </w:r>
      <w:r w:rsidRPr="006A3B94">
        <w:rPr>
          <w:rFonts w:ascii="Times New Roman" w:eastAsia="Times New Roman" w:hAnsi="Times New Roman" w:cs="Times New Roman"/>
          <w:b/>
          <w:bCs/>
          <w:iCs/>
          <w:noProof/>
          <w:sz w:val="24"/>
          <w:szCs w:val="24"/>
          <w:vertAlign w:val="superscript"/>
          <w:lang w:val="en-GB"/>
        </w:rPr>
        <w:footnoteReference w:id="61"/>
      </w:r>
      <w:r w:rsidRPr="006A3B94">
        <w:rPr>
          <w:rFonts w:ascii="Times New Roman" w:eastAsia="Times New Roman" w:hAnsi="Times New Roman" w:cs="Times New Roman"/>
          <w:b/>
          <w:iCs/>
          <w:noProof/>
          <w:sz w:val="24"/>
          <w:szCs w:val="24"/>
          <w:lang w:val="en-GB"/>
        </w:rPr>
        <w:t xml:space="preserve">  (Investment for Jobs and Growth goal) repeated for each selected specific objective for priorities other than technical assistance</w:t>
      </w:r>
    </w:p>
    <w:p w:rsidR="009731AC" w:rsidRPr="00F54F7B" w:rsidRDefault="009731AC" w:rsidP="009731AC">
      <w:pPr>
        <w:spacing w:before="240" w:after="240" w:line="360" w:lineRule="auto"/>
        <w:rPr>
          <w:rFonts w:ascii="Times New Roman" w:eastAsia="Times New Roman" w:hAnsi="Times New Roman" w:cs="Times New Roman"/>
          <w:b/>
          <w:iCs/>
          <w:noProof/>
          <w:sz w:val="24"/>
          <w:szCs w:val="24"/>
          <w:lang w:val="en-GB"/>
        </w:rPr>
      </w:pPr>
      <w:r w:rsidRPr="00F54F7B">
        <w:rPr>
          <w:rFonts w:ascii="Times New Roman" w:eastAsia="Times New Roman" w:hAnsi="Times New Roman" w:cs="Times New Roman"/>
          <w:b/>
          <w:i/>
          <w:iCs/>
          <w:noProof/>
          <w:sz w:val="24"/>
          <w:szCs w:val="24"/>
        </w:rPr>
        <w:t>SO e (i) Promovarea dezvoltării integrate în domeniul social, economic și al mediului, a patrimoniului cultural și a securității în zonele urbane</w:t>
      </w:r>
    </w:p>
    <w:p w:rsidR="009731AC" w:rsidRPr="006A3B94" w:rsidRDefault="009731AC" w:rsidP="009731AC">
      <w:pPr>
        <w:spacing w:after="0" w:line="240" w:lineRule="auto"/>
        <w:rPr>
          <w:rFonts w:ascii="Times New Roman" w:eastAsia="Times New Roman" w:hAnsi="Times New Roman" w:cs="Times New Roman"/>
          <w:b/>
          <w:iCs/>
          <w:noProof/>
          <w:sz w:val="24"/>
          <w:szCs w:val="24"/>
          <w:lang w:val="en-GB"/>
        </w:rPr>
      </w:pPr>
      <w:r w:rsidRPr="006A3B94">
        <w:rPr>
          <w:rFonts w:ascii="Times New Roman" w:eastAsia="Times New Roman" w:hAnsi="Times New Roman" w:cs="Times New Roman"/>
          <w:b/>
          <w:iCs/>
          <w:noProof/>
          <w:sz w:val="24"/>
          <w:szCs w:val="24"/>
          <w:lang w:val="en-GB"/>
        </w:rPr>
        <w:t>2.A.3.1 Interventions of the Funds</w:t>
      </w:r>
    </w:p>
    <w:p w:rsidR="009731AC" w:rsidRPr="006A3B94" w:rsidRDefault="009731AC" w:rsidP="009731AC">
      <w:pPr>
        <w:spacing w:after="0" w:line="240" w:lineRule="auto"/>
        <w:rPr>
          <w:rFonts w:ascii="Times New Roman" w:eastAsia="Times New Roman" w:hAnsi="Times New Roman" w:cs="Times New Roman"/>
          <w:i/>
          <w:noProof/>
          <w:sz w:val="24"/>
          <w:szCs w:val="24"/>
          <w:lang w:val="en-GB"/>
        </w:rPr>
      </w:pPr>
      <w:r w:rsidRPr="006A3B94">
        <w:rPr>
          <w:rFonts w:ascii="Times New Roman" w:eastAsia="Times New Roman" w:hAnsi="Times New Roman" w:cs="Times New Roman"/>
          <w:i/>
          <w:noProof/>
          <w:sz w:val="24"/>
          <w:szCs w:val="24"/>
          <w:lang w:val="en-GB"/>
        </w:rPr>
        <w:t>Reference: Article 17(3)(d)(i),(iii),(iv),(v),(vi);</w:t>
      </w:r>
    </w:p>
    <w:p w:rsidR="009731AC" w:rsidRDefault="009731AC" w:rsidP="009731AC">
      <w:pPr>
        <w:bidi/>
        <w:spacing w:after="0" w:line="240" w:lineRule="auto"/>
        <w:jc w:val="right"/>
        <w:rPr>
          <w:rFonts w:ascii="Times New Roman" w:eastAsia="Times New Roman" w:hAnsi="Times New Roman" w:cs="Times New Roman"/>
          <w:i/>
          <w:noProof/>
          <w:sz w:val="24"/>
          <w:szCs w:val="24"/>
          <w:lang w:val="en-GB"/>
        </w:rPr>
      </w:pPr>
      <w:r w:rsidRPr="006A3B94">
        <w:rPr>
          <w:rFonts w:ascii="Times New Roman" w:eastAsia="Times New Roman" w:hAnsi="Times New Roman" w:cs="Times New Roman"/>
          <w:i/>
          <w:noProof/>
          <w:sz w:val="24"/>
          <w:szCs w:val="24"/>
          <w:lang w:val="en-GB"/>
        </w:rPr>
        <w:t>The related types of actions – Article 17(3)(d)(i) CPR; Article 6(2) ES</w:t>
      </w:r>
      <w:r>
        <w:rPr>
          <w:rFonts w:ascii="Times New Roman" w:eastAsia="Times New Roman" w:hAnsi="Times New Roman" w:cs="Times New Roman"/>
          <w:i/>
          <w:noProof/>
          <w:sz w:val="24"/>
          <w:szCs w:val="24"/>
          <w:lang w:val="en-GB"/>
        </w:rPr>
        <w:t>F+</w:t>
      </w:r>
    </w:p>
    <w:p w:rsidR="009731AC" w:rsidRPr="002C7CB1" w:rsidRDefault="009731AC" w:rsidP="009731AC">
      <w:pPr>
        <w:bidi/>
        <w:spacing w:after="0" w:line="240" w:lineRule="auto"/>
        <w:jc w:val="center"/>
        <w:rPr>
          <w:rt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9731AC" w:rsidRPr="002C7CB1" w:rsidTr="008239CE">
        <w:tc>
          <w:tcPr>
            <w:tcW w:w="13462" w:type="dxa"/>
            <w:tcBorders>
              <w:top w:val="single" w:sz="4" w:space="0" w:color="auto"/>
              <w:left w:val="single" w:sz="4" w:space="0" w:color="auto"/>
              <w:bottom w:val="single" w:sz="4" w:space="0" w:color="auto"/>
              <w:right w:val="single" w:sz="4" w:space="0" w:color="auto"/>
            </w:tcBorders>
            <w:hideMark/>
          </w:tcPr>
          <w:p w:rsidR="009731AC" w:rsidRDefault="009731AC" w:rsidP="008239CE">
            <w:pPr>
              <w:spacing w:before="120" w:after="120" w:line="360" w:lineRule="auto"/>
              <w:jc w:val="both"/>
              <w:rPr>
                <w:rFonts w:ascii="Times New Roman" w:eastAsia="Times New Roman" w:hAnsi="Times New Roman" w:cs="Times New Roman"/>
                <w:i/>
                <w:iCs/>
                <w:noProof/>
                <w:szCs w:val="24"/>
                <w:lang w:val="en-US"/>
              </w:rPr>
            </w:pPr>
            <w:r w:rsidRPr="002E744B">
              <w:rPr>
                <w:rFonts w:ascii="Times New Roman" w:eastAsia="Times New Roman" w:hAnsi="Times New Roman" w:cs="Times New Roman"/>
                <w:i/>
                <w:iCs/>
                <w:noProof/>
                <w:szCs w:val="24"/>
                <w:lang w:val="en-US"/>
              </w:rPr>
              <w:t>Text field [8 000]</w:t>
            </w:r>
          </w:p>
          <w:p w:rsidR="009731AC" w:rsidRDefault="009731AC" w:rsidP="008239CE">
            <w:pPr>
              <w:spacing w:after="120"/>
              <w:jc w:val="both"/>
              <w:rPr>
                <w:rFonts w:ascii="Times New Roman" w:hAnsi="Times New Roman" w:cs="Times New Roman"/>
                <w:sz w:val="20"/>
                <w:szCs w:val="20"/>
              </w:rPr>
            </w:pPr>
            <w:r w:rsidRPr="009C1A4B">
              <w:rPr>
                <w:rFonts w:ascii="Times New Roman" w:hAnsi="Times New Roman" w:cs="Times New Roman"/>
                <w:b/>
                <w:bCs/>
                <w:sz w:val="20"/>
                <w:szCs w:val="20"/>
              </w:rPr>
              <w:t xml:space="preserve">Dezvoltarea urbană </w:t>
            </w:r>
            <w:r w:rsidRPr="009C1A4B">
              <w:rPr>
                <w:rFonts w:ascii="Times New Roman" w:hAnsi="Times New Roman" w:cs="Times New Roman"/>
                <w:sz w:val="20"/>
                <w:szCs w:val="20"/>
              </w:rPr>
              <w:t xml:space="preserve">este un </w:t>
            </w:r>
            <w:r w:rsidRPr="009C1A4B">
              <w:rPr>
                <w:rFonts w:ascii="Times New Roman" w:hAnsi="Times New Roman" w:cs="Times New Roman"/>
                <w:b/>
                <w:bCs/>
                <w:sz w:val="20"/>
                <w:szCs w:val="20"/>
              </w:rPr>
              <w:t>proces complex</w:t>
            </w:r>
            <w:r w:rsidRPr="009C1A4B">
              <w:rPr>
                <w:rFonts w:ascii="Times New Roman" w:hAnsi="Times New Roman" w:cs="Times New Roman"/>
                <w:sz w:val="20"/>
                <w:szCs w:val="20"/>
              </w:rPr>
              <w:t xml:space="preserve"> cu provocări și </w:t>
            </w:r>
            <w:r w:rsidRPr="009C1A4B">
              <w:rPr>
                <w:rFonts w:ascii="Times New Roman" w:hAnsi="Times New Roman" w:cs="Times New Roman"/>
                <w:b/>
                <w:bCs/>
                <w:sz w:val="20"/>
                <w:szCs w:val="20"/>
              </w:rPr>
              <w:t xml:space="preserve">dinamici specifice. </w:t>
            </w:r>
            <w:r w:rsidRPr="009C1A4B">
              <w:rPr>
                <w:rFonts w:ascii="Times New Roman" w:hAnsi="Times New Roman" w:cs="Times New Roman"/>
                <w:sz w:val="20"/>
                <w:szCs w:val="20"/>
              </w:rPr>
              <w:t xml:space="preserve">Orașele constituie  atât </w:t>
            </w:r>
            <w:r w:rsidRPr="009C1A4B">
              <w:rPr>
                <w:rFonts w:ascii="Times New Roman" w:hAnsi="Times New Roman" w:cs="Times New Roman"/>
                <w:b/>
                <w:bCs/>
                <w:sz w:val="20"/>
                <w:szCs w:val="20"/>
              </w:rPr>
              <w:t>sursa</w:t>
            </w:r>
            <w:r w:rsidRPr="009C1A4B">
              <w:rPr>
                <w:rFonts w:ascii="Times New Roman" w:hAnsi="Times New Roman" w:cs="Times New Roman"/>
                <w:sz w:val="20"/>
                <w:szCs w:val="20"/>
              </w:rPr>
              <w:t xml:space="preserve"> cât și </w:t>
            </w:r>
            <w:r w:rsidRPr="009C1A4B">
              <w:rPr>
                <w:rFonts w:ascii="Times New Roman" w:hAnsi="Times New Roman" w:cs="Times New Roman"/>
                <w:b/>
                <w:bCs/>
                <w:sz w:val="20"/>
                <w:szCs w:val="20"/>
              </w:rPr>
              <w:t xml:space="preserve">soluția provocărilor </w:t>
            </w:r>
            <w:r w:rsidRPr="009C1A4B">
              <w:rPr>
                <w:rFonts w:ascii="Times New Roman" w:hAnsi="Times New Roman" w:cs="Times New Roman"/>
                <w:bCs/>
                <w:sz w:val="20"/>
                <w:szCs w:val="20"/>
              </w:rPr>
              <w:t>actuale economice, de mediu și sociale</w:t>
            </w:r>
            <w:r w:rsidRPr="009C1A4B">
              <w:rPr>
                <w:rFonts w:ascii="Times New Roman" w:hAnsi="Times New Roman" w:cs="Times New Roman"/>
                <w:b/>
                <w:bCs/>
                <w:sz w:val="20"/>
                <w:szCs w:val="20"/>
              </w:rPr>
              <w:t xml:space="preserve">.  </w:t>
            </w:r>
            <w:r w:rsidRPr="009C1A4B">
              <w:rPr>
                <w:rFonts w:ascii="Times New Roman" w:hAnsi="Times New Roman" w:cs="Times New Roman"/>
                <w:sz w:val="20"/>
                <w:szCs w:val="20"/>
              </w:rPr>
              <w:t xml:space="preserve">Orașele se confruntă cu provocări majore privind adaptabilitatea și sustenabilitatea dezvoltării pe termen lung. În acest sens este nevoie de o abordare integrată a dezvoltării la nivelul zonelor urbane atât pentru municipiile reședință de județ, cât și pentru celelate municipii și orașe de la nivel regional. </w:t>
            </w:r>
          </w:p>
          <w:p w:rsidR="009731AC" w:rsidRPr="009C1A4B" w:rsidRDefault="009731AC" w:rsidP="008239CE">
            <w:pPr>
              <w:spacing w:after="120"/>
              <w:jc w:val="both"/>
              <w:rPr>
                <w:rFonts w:ascii="Times New Roman" w:hAnsi="Times New Roman" w:cs="Times New Roman"/>
                <w:sz w:val="20"/>
                <w:szCs w:val="20"/>
              </w:rPr>
            </w:pPr>
            <w:r w:rsidRPr="009C1A4B">
              <w:rPr>
                <w:rFonts w:ascii="Times New Roman" w:hAnsi="Times New Roman" w:cs="Times New Roman"/>
                <w:sz w:val="20"/>
                <w:szCs w:val="20"/>
              </w:rPr>
              <w:t>La nivelul Regiunii Centru s-a observat o</w:t>
            </w:r>
            <w:r w:rsidRPr="009C1A4B">
              <w:rPr>
                <w:rFonts w:ascii="Times New Roman" w:hAnsi="Times New Roman" w:cs="Times New Roman"/>
                <w:b/>
                <w:sz w:val="20"/>
                <w:szCs w:val="20"/>
              </w:rPr>
              <w:t xml:space="preserve"> creşterea </w:t>
            </w:r>
            <w:r w:rsidRPr="009C1A4B">
              <w:rPr>
                <w:rFonts w:ascii="Times New Roman" w:hAnsi="Times New Roman" w:cs="Times New Roman"/>
                <w:b/>
                <w:bCs/>
                <w:sz w:val="20"/>
                <w:szCs w:val="20"/>
              </w:rPr>
              <w:t>disparităţilor</w:t>
            </w:r>
            <w:r w:rsidRPr="009C1A4B">
              <w:rPr>
                <w:rFonts w:ascii="Times New Roman" w:hAnsi="Times New Roman" w:cs="Times New Roman"/>
                <w:sz w:val="20"/>
                <w:szCs w:val="20"/>
              </w:rPr>
              <w:t xml:space="preserve"> între </w:t>
            </w:r>
            <w:r w:rsidRPr="009C1A4B">
              <w:rPr>
                <w:rFonts w:ascii="Times New Roman" w:hAnsi="Times New Roman" w:cs="Times New Roman"/>
                <w:b/>
                <w:bCs/>
                <w:sz w:val="20"/>
                <w:szCs w:val="20"/>
              </w:rPr>
              <w:t>centrele urbane mari</w:t>
            </w:r>
            <w:r w:rsidRPr="009C1A4B">
              <w:rPr>
                <w:rFonts w:ascii="Times New Roman" w:hAnsi="Times New Roman" w:cs="Times New Roman"/>
                <w:bCs/>
                <w:sz w:val="20"/>
                <w:szCs w:val="20"/>
              </w:rPr>
              <w:t xml:space="preserve"> </w:t>
            </w:r>
            <w:r w:rsidRPr="009C1A4B">
              <w:rPr>
                <w:rFonts w:ascii="Times New Roman" w:hAnsi="Times New Roman" w:cs="Times New Roman"/>
                <w:sz w:val="20"/>
                <w:szCs w:val="20"/>
              </w:rPr>
              <w:t xml:space="preserve">care au beneficiat de finanţări şi </w:t>
            </w:r>
            <w:r w:rsidRPr="009C1A4B">
              <w:rPr>
                <w:rFonts w:ascii="Times New Roman" w:hAnsi="Times New Roman" w:cs="Times New Roman"/>
                <w:b/>
                <w:bCs/>
                <w:sz w:val="20"/>
                <w:szCs w:val="20"/>
              </w:rPr>
              <w:t>oraşele mici şi mijlocii</w:t>
            </w:r>
            <w:r w:rsidRPr="009C1A4B">
              <w:rPr>
                <w:rFonts w:ascii="Times New Roman" w:hAnsi="Times New Roman" w:cs="Times New Roman"/>
                <w:bCs/>
                <w:sz w:val="20"/>
                <w:szCs w:val="20"/>
              </w:rPr>
              <w:t xml:space="preserve"> </w:t>
            </w:r>
            <w:r w:rsidRPr="009C1A4B">
              <w:rPr>
                <w:rFonts w:ascii="Times New Roman" w:hAnsi="Times New Roman" w:cs="Times New Roman"/>
                <w:sz w:val="20"/>
                <w:szCs w:val="20"/>
              </w:rPr>
              <w:t xml:space="preserve">care au avut un acces redus la </w:t>
            </w:r>
            <w:r w:rsidRPr="009C1A4B">
              <w:rPr>
                <w:rFonts w:ascii="Times New Roman" w:hAnsi="Times New Roman" w:cs="Times New Roman"/>
                <w:b/>
                <w:bCs/>
                <w:sz w:val="20"/>
                <w:szCs w:val="20"/>
              </w:rPr>
              <w:t>finanţare nerambursabilă</w:t>
            </w:r>
            <w:r w:rsidRPr="009C1A4B">
              <w:rPr>
                <w:rFonts w:ascii="Times New Roman" w:hAnsi="Times New Roman" w:cs="Times New Roman"/>
                <w:bCs/>
                <w:sz w:val="20"/>
                <w:szCs w:val="20"/>
              </w:rPr>
              <w:t>.</w:t>
            </w:r>
          </w:p>
          <w:p w:rsidR="009731AC" w:rsidRPr="009C1A4B" w:rsidRDefault="009731AC" w:rsidP="008239CE">
            <w:pPr>
              <w:spacing w:after="120"/>
              <w:jc w:val="both"/>
              <w:rPr>
                <w:rFonts w:ascii="Times New Roman" w:hAnsi="Times New Roman" w:cs="Times New Roman"/>
                <w:sz w:val="20"/>
                <w:szCs w:val="20"/>
              </w:rPr>
            </w:pPr>
            <w:r w:rsidRPr="009C1A4B">
              <w:rPr>
                <w:rFonts w:ascii="Times New Roman" w:hAnsi="Times New Roman" w:cs="Times New Roman"/>
                <w:sz w:val="20"/>
                <w:szCs w:val="20"/>
              </w:rPr>
              <w:t>Potrivit datelor statistice din 2019, peste trei sferturi din rețeaua urbană din Regiunea Centru are o populație sub 30.000 locuitori (77,2%, 44 din cele 57 de municipii și orașe). Amintim că 35 de orașe au o populație mai mică de 20.000 locuitori, dintre care 26 de orașe au o populație mai mică de 10.000 locuitori.</w:t>
            </w:r>
          </w:p>
          <w:p w:rsidR="009731AC" w:rsidRPr="009C1A4B" w:rsidRDefault="009731AC" w:rsidP="008239CE">
            <w:pPr>
              <w:spacing w:after="0" w:line="240" w:lineRule="auto"/>
              <w:jc w:val="both"/>
              <w:rPr>
                <w:rFonts w:ascii="Times New Roman" w:hAnsi="Times New Roman" w:cs="Times New Roman"/>
                <w:sz w:val="20"/>
                <w:szCs w:val="20"/>
              </w:rPr>
            </w:pPr>
            <w:r w:rsidRPr="009C1A4B">
              <w:rPr>
                <w:rFonts w:ascii="Times New Roman" w:hAnsi="Times New Roman" w:cs="Times New Roman"/>
                <w:sz w:val="20"/>
                <w:szCs w:val="20"/>
              </w:rPr>
              <w:t xml:space="preserve">În acest sens </w:t>
            </w:r>
            <w:r w:rsidRPr="009C1A4B">
              <w:rPr>
                <w:rFonts w:ascii="Times New Roman" w:hAnsi="Times New Roman" w:cs="Times New Roman"/>
                <w:b/>
                <w:sz w:val="20"/>
                <w:szCs w:val="20"/>
              </w:rPr>
              <w:t>este nevoie de o abordare diferențiată pe categorii de orașe la nivel regional.</w:t>
            </w:r>
            <w:r w:rsidRPr="009C1A4B">
              <w:rPr>
                <w:rFonts w:ascii="Times New Roman" w:hAnsi="Times New Roman" w:cs="Times New Roman"/>
                <w:sz w:val="20"/>
                <w:szCs w:val="20"/>
              </w:rPr>
              <w:t xml:space="preserve"> </w:t>
            </w:r>
          </w:p>
          <w:p w:rsidR="009731AC" w:rsidRDefault="009731AC" w:rsidP="008239CE">
            <w:pPr>
              <w:spacing w:after="0" w:line="240" w:lineRule="auto"/>
              <w:jc w:val="both"/>
              <w:rPr>
                <w:rFonts w:ascii="Times New Roman" w:hAnsi="Times New Roman" w:cs="Times New Roman"/>
                <w:sz w:val="20"/>
                <w:szCs w:val="20"/>
              </w:rPr>
            </w:pPr>
          </w:p>
          <w:p w:rsidR="009731AC" w:rsidRPr="009C1A4B" w:rsidRDefault="009731AC" w:rsidP="008239CE">
            <w:pPr>
              <w:spacing w:after="0" w:line="240" w:lineRule="auto"/>
              <w:jc w:val="both"/>
              <w:rPr>
                <w:rFonts w:ascii="Times New Roman" w:hAnsi="Times New Roman" w:cs="Times New Roman"/>
                <w:sz w:val="20"/>
                <w:szCs w:val="20"/>
              </w:rPr>
            </w:pPr>
            <w:r w:rsidRPr="009C1A4B">
              <w:rPr>
                <w:rFonts w:ascii="Times New Roman" w:hAnsi="Times New Roman" w:cs="Times New Roman"/>
                <w:sz w:val="20"/>
                <w:szCs w:val="20"/>
              </w:rPr>
              <w:t>Astfel orașele mici și mijlocii se confruntă cu o atractivitate redusă determinată de oportunitățile limitate de dezvoltare economică și de starea necorespunzătoare a infrastructurii de educație, sănătate și cultură și capacitate redusă de atragere a investițiilor private și de susținere a investițiilor publice, precum și de exitența unor zone mai restrânse din orașe, locuite de comunități cu probleme de ordin social și economic. Multe orașe mici din Regiunea Centru au evidente trăsături rurale, putându-se observa în multe contexte ”ruralul” în mediul urban.</w:t>
            </w:r>
          </w:p>
          <w:p w:rsidR="009731AC" w:rsidRPr="009C1A4B" w:rsidRDefault="009731AC" w:rsidP="008239CE">
            <w:pPr>
              <w:spacing w:after="0" w:line="240" w:lineRule="auto"/>
              <w:jc w:val="both"/>
              <w:rPr>
                <w:rFonts w:ascii="Times New Roman" w:hAnsi="Times New Roman" w:cs="Times New Roman"/>
                <w:sz w:val="20"/>
                <w:szCs w:val="20"/>
              </w:rPr>
            </w:pPr>
          </w:p>
          <w:p w:rsidR="009731AC" w:rsidRDefault="009731AC" w:rsidP="008239CE">
            <w:pPr>
              <w:spacing w:after="120"/>
              <w:jc w:val="both"/>
              <w:rPr>
                <w:rFonts w:ascii="Times New Roman" w:hAnsi="Times New Roman" w:cs="Times New Roman"/>
                <w:sz w:val="20"/>
                <w:szCs w:val="20"/>
              </w:rPr>
            </w:pPr>
            <w:r w:rsidRPr="009C1A4B">
              <w:rPr>
                <w:rFonts w:ascii="Times New Roman" w:hAnsi="Times New Roman" w:cs="Times New Roman"/>
                <w:sz w:val="20"/>
                <w:szCs w:val="20"/>
              </w:rPr>
              <w:t>Majoritatea municipiilor și orașelor din Regiunea Centru dispun de obiectivele importante de patrimoniu, parte dintre ele fiind reabilitate, restaurate și reincluse în circuitul turistic prin finanțări anterioare, dar mare parte dintre ele, inclusiv obiective de patrimoniu importante la nivel național și mondial</w:t>
            </w:r>
            <w:r>
              <w:rPr>
                <w:rFonts w:ascii="Times New Roman" w:hAnsi="Times New Roman" w:cs="Times New Roman"/>
                <w:sz w:val="20"/>
                <w:szCs w:val="20"/>
              </w:rPr>
              <w:t>,</w:t>
            </w:r>
            <w:r w:rsidRPr="009C1A4B">
              <w:rPr>
                <w:rFonts w:ascii="Times New Roman" w:hAnsi="Times New Roman" w:cs="Times New Roman"/>
                <w:sz w:val="20"/>
                <w:szCs w:val="20"/>
              </w:rPr>
              <w:t xml:space="preserve"> sunt în stare avansată de degradare și au nevoie de îmbunătățiri pentru a crește atractivitatea zonelor urbane. Pentru a fi menținut interesul turiștilor români și străini pentru patrimoniul cultural istoric este nevoie de continuarea sprijinului financiar pentru reabilitarea/ conservarea obiectivelor importante de patrimoniu care nu au beneficiat până acum de astfel de investiții.  </w:t>
            </w:r>
          </w:p>
          <w:p w:rsidR="00CB1D2B" w:rsidRPr="00640277" w:rsidRDefault="00CB1D2B" w:rsidP="00CB1D2B">
            <w:pPr>
              <w:pStyle w:val="Bullet"/>
              <w:numPr>
                <w:ilvl w:val="0"/>
                <w:numId w:val="0"/>
              </w:numPr>
              <w:spacing w:after="0" w:line="240" w:lineRule="auto"/>
              <w:ind w:left="22"/>
              <w:jc w:val="both"/>
              <w:rPr>
                <w:sz w:val="20"/>
                <w:szCs w:val="20"/>
                <w:lang w:val="ro-RO"/>
              </w:rPr>
            </w:pPr>
            <w:r w:rsidRPr="00640277">
              <w:rPr>
                <w:sz w:val="20"/>
                <w:szCs w:val="20"/>
                <w:lang w:val="ro-RO"/>
              </w:rPr>
              <w:t xml:space="preserve">Beneficiarii de sprijin în cadrul acestei axe vor realiza în mod obligatoriu planuri de conservare/ mentenanță a obiectivelor de patrimoniu. De asemenea, vor beneficia de sprijin activitățile care au ca finalitate dezvoltarea planurilor de interpretare pentru public. În acest scop, se va finanța digitalizarea obiectivelor de patrimoniu și utilizarea mijloacelor tehnologice de ultimă oră pentru promovarea patrimoniului, care pot asigura atât atragerea unui număr mai mare de turiști, cât și conservarea laturii imateriale a patrimoniului național. </w:t>
            </w:r>
          </w:p>
          <w:p w:rsidR="00CB1D2B" w:rsidRPr="009C1A4B" w:rsidRDefault="00CB1D2B" w:rsidP="008239CE">
            <w:pPr>
              <w:spacing w:after="120"/>
              <w:jc w:val="both"/>
              <w:rPr>
                <w:rFonts w:ascii="Times New Roman" w:hAnsi="Times New Roman" w:cs="Times New Roman"/>
                <w:sz w:val="20"/>
                <w:szCs w:val="20"/>
              </w:rPr>
            </w:pPr>
          </w:p>
          <w:p w:rsidR="009731AC" w:rsidRPr="009C1A4B" w:rsidRDefault="009731AC" w:rsidP="008239CE">
            <w:pPr>
              <w:pStyle w:val="Listparagraf"/>
              <w:spacing w:after="0" w:line="276" w:lineRule="auto"/>
              <w:ind w:left="0"/>
              <w:jc w:val="both"/>
              <w:rPr>
                <w:noProof/>
                <w:sz w:val="20"/>
                <w:szCs w:val="20"/>
              </w:rPr>
            </w:pPr>
            <w:r w:rsidRPr="009C1A4B">
              <w:rPr>
                <w:sz w:val="20"/>
                <w:szCs w:val="20"/>
              </w:rPr>
              <w:t xml:space="preserve">De asemenea la nivel regional avem orașe cu profil turistic (statiuni balneare sau balneo-climatice, stațiuni turistice de interes național sau local) care necesită sprijin pentru diversificarea activității economice și dezvoltarea infrastructurii de îngrijire, tratament, prevenție și recuperare, dar și pentru dezvoltarea infrastructurii publice de turism. </w:t>
            </w:r>
            <w:r w:rsidRPr="009C1A4B">
              <w:rPr>
                <w:sz w:val="20"/>
                <w:szCs w:val="20"/>
                <w:lang w:val="ro-RO"/>
              </w:rPr>
              <w:t xml:space="preserve">În ultimii ani </w:t>
            </w:r>
            <w:r w:rsidRPr="009C1A4B">
              <w:rPr>
                <w:sz w:val="20"/>
                <w:szCs w:val="20"/>
                <w:lang w:val="ro-RO"/>
              </w:rPr>
              <w:lastRenderedPageBreak/>
              <w:t>s-au finanțat prin intermediul POR mai multe proiecte vizând reabilitarea și modernizarea stațiunilor din Regiunea Centru, impactul pozitiv al acestor proiecte fiind deja vizibil.</w:t>
            </w:r>
            <w:r w:rsidRPr="009C1A4B">
              <w:rPr>
                <w:noProof/>
                <w:sz w:val="20"/>
                <w:szCs w:val="20"/>
                <w:lang w:val="ro-RO"/>
              </w:rPr>
              <w:t xml:space="preserve"> Dezvoltarea infrastructurii pentru turismul balnear</w:t>
            </w:r>
            <w:r w:rsidRPr="009C1A4B">
              <w:rPr>
                <w:noProof/>
                <w:sz w:val="20"/>
                <w:szCs w:val="20"/>
              </w:rPr>
              <w:t xml:space="preserve"> va presupune investiții în</w:t>
            </w:r>
            <w:r w:rsidRPr="009C1A4B">
              <w:rPr>
                <w:noProof/>
                <w:sz w:val="20"/>
                <w:szCs w:val="20"/>
                <w:lang w:val="ro-RO"/>
              </w:rPr>
              <w:t xml:space="preserve"> rețele de captare și transport, modernizare și creare</w:t>
            </w:r>
            <w:r w:rsidRPr="009C1A4B">
              <w:rPr>
                <w:noProof/>
                <w:sz w:val="20"/>
                <w:szCs w:val="20"/>
              </w:rPr>
              <w:t xml:space="preserve"> baze de tratament, </w:t>
            </w:r>
            <w:r w:rsidRPr="009C1A4B">
              <w:rPr>
                <w:noProof/>
                <w:sz w:val="20"/>
                <w:szCs w:val="20"/>
                <w:lang w:val="ro-RO"/>
              </w:rPr>
              <w:t>parcuri balneare,</w:t>
            </w:r>
            <w:r w:rsidRPr="009C1A4B">
              <w:rPr>
                <w:noProof/>
                <w:sz w:val="20"/>
                <w:szCs w:val="20"/>
              </w:rPr>
              <w:t xml:space="preserve"> c</w:t>
            </w:r>
            <w:r w:rsidRPr="009C1A4B">
              <w:rPr>
                <w:noProof/>
                <w:sz w:val="20"/>
                <w:szCs w:val="20"/>
                <w:lang w:val="ro-RO"/>
              </w:rPr>
              <w:t xml:space="preserve">rearea şi extinderea infrastructurii de agrement, inclusiv a utilităţilor aferente, amenajarea obiectivelor turistice naturale de utilitate publică, precum şi crearea/ modernizarea infrastructurilor conexe de utilitate publică, dezvoltarea de infrastructuri publice la scară mică pentru valorificarea atracțiilor turistice, activități de marketing și promovare turistică ale obiectivului finanțat, </w:t>
            </w:r>
            <w:r w:rsidRPr="009C1A4B">
              <w:rPr>
                <w:noProof/>
                <w:sz w:val="20"/>
                <w:szCs w:val="20"/>
              </w:rPr>
              <w:t>îmbunătățirea accesului către resursele turistice (ca activitate complementară celorlalte).</w:t>
            </w:r>
          </w:p>
          <w:p w:rsidR="009731AC" w:rsidRPr="009C1A4B" w:rsidRDefault="009731AC" w:rsidP="008239CE">
            <w:pPr>
              <w:spacing w:after="0"/>
              <w:jc w:val="both"/>
              <w:rPr>
                <w:rFonts w:ascii="Times New Roman" w:eastAsia="MS Gothic" w:hAnsi="Times New Roman" w:cs="Times New Roman"/>
                <w:color w:val="000000" w:themeColor="text1"/>
                <w:sz w:val="20"/>
                <w:szCs w:val="20"/>
                <w:lang w:eastAsia="en-GB"/>
              </w:rPr>
            </w:pPr>
            <w:r w:rsidRPr="009C1A4B">
              <w:rPr>
                <w:rFonts w:ascii="Times New Roman" w:eastAsia="MS Gothic" w:hAnsi="Times New Roman" w:cs="Times New Roman"/>
                <w:color w:val="000000" w:themeColor="text1"/>
                <w:sz w:val="20"/>
                <w:szCs w:val="20"/>
                <w:lang w:eastAsia="en-GB"/>
              </w:rPr>
              <w:t>Unul din domeniile care sprijină dezvoltarea urbană este cultura, aceasta fiind un instrument de revitalizare socială și economică. Majoritatea clădirilor și spațiilor destinate activităților culturale din Regiunea Centru, fie că este vorba de muzee, galerii de artă, săli de spectacol sau cinematografe, au o vechime considerabilă, însă puține au reușit să fie reabilitate, modernizate și dotate corespunzător (instalații și echipamente moderne necesare desfășurării activităților culturale și cele care țin de siguranța și confortul participanților).</w:t>
            </w:r>
          </w:p>
          <w:p w:rsidR="009731AC" w:rsidRPr="009C1A4B" w:rsidRDefault="009731AC" w:rsidP="008239CE">
            <w:pPr>
              <w:spacing w:after="0" w:line="240" w:lineRule="auto"/>
              <w:rPr>
                <w:rFonts w:ascii="Times New Roman" w:hAnsi="Times New Roman" w:cs="Times New Roman"/>
                <w:sz w:val="20"/>
                <w:szCs w:val="20"/>
              </w:rPr>
            </w:pPr>
            <w:r w:rsidRPr="009C1A4B">
              <w:rPr>
                <w:rFonts w:ascii="Times New Roman" w:eastAsia="MS Gothic" w:hAnsi="Times New Roman" w:cs="Times New Roman"/>
                <w:color w:val="000000" w:themeColor="text1"/>
                <w:sz w:val="20"/>
                <w:szCs w:val="20"/>
                <w:lang w:eastAsia="en-GB"/>
              </w:rPr>
              <w:t>Prin intermediul acestui obiectiv specific se dorește inclusiv finanțarea infrastructurii culturale, în măsura în care investiția face parte dintr-o strategie teritorială. Pe lângă reabilitarea/ modernizarea/ dotarea spațiilor actuale cu destinație culturală, va fi nevoie în unele centre urbane mari și mijlocii din regiune de crearea și dotarea de noi spații/ clădiri multifuncționale care să servească nevoile de dezvoltare a sectorului cultural.</w:t>
            </w:r>
          </w:p>
          <w:p w:rsidR="009731AC" w:rsidRPr="009C1A4B" w:rsidRDefault="009731AC" w:rsidP="008239CE">
            <w:pPr>
              <w:spacing w:after="0" w:line="240" w:lineRule="auto"/>
              <w:jc w:val="both"/>
              <w:rPr>
                <w:rFonts w:ascii="Times New Roman" w:hAnsi="Times New Roman" w:cs="Times New Roman"/>
                <w:sz w:val="20"/>
                <w:szCs w:val="20"/>
              </w:rPr>
            </w:pPr>
          </w:p>
          <w:p w:rsidR="009731AC" w:rsidRPr="00DE593C" w:rsidRDefault="009731AC" w:rsidP="008239CE">
            <w:pPr>
              <w:spacing w:after="0" w:line="240" w:lineRule="auto"/>
              <w:jc w:val="both"/>
              <w:rPr>
                <w:rFonts w:ascii="Times New Roman" w:hAnsi="Times New Roman" w:cs="Times New Roman"/>
                <w:noProof/>
                <w:sz w:val="20"/>
                <w:szCs w:val="20"/>
              </w:rPr>
            </w:pPr>
            <w:r w:rsidRPr="00DE593C">
              <w:rPr>
                <w:rFonts w:ascii="Times New Roman" w:hAnsi="Times New Roman" w:cs="Times New Roman"/>
                <w:noProof/>
                <w:sz w:val="20"/>
                <w:szCs w:val="20"/>
              </w:rPr>
              <w:t>În cadrul acestei Priorități se propune a se avea în vedere dezvoltarea cadrului dezvoltării urbane, inclusiv finanțarea elaborării/actualizării documentelor strategice, în principal SIDU și PMUD. În acest sens se va dezvolta un Document Cadru care va include linii directoare atât pentru municipii reședință de județ, cât și pentru celelate orașe și municipii.</w:t>
            </w:r>
          </w:p>
          <w:p w:rsidR="009731AC" w:rsidRPr="00DE593C" w:rsidRDefault="009731AC" w:rsidP="008239CE">
            <w:pPr>
              <w:spacing w:after="0"/>
              <w:jc w:val="both"/>
              <w:rPr>
                <w:rFonts w:ascii="Times New Roman" w:hAnsi="Times New Roman" w:cs="Times New Roman"/>
                <w:noProof/>
                <w:sz w:val="20"/>
                <w:szCs w:val="20"/>
                <w:lang w:val="en-GB"/>
              </w:rPr>
            </w:pPr>
          </w:p>
          <w:p w:rsidR="009731AC" w:rsidRPr="00DE593C" w:rsidRDefault="009731AC" w:rsidP="008239CE">
            <w:pPr>
              <w:spacing w:after="120"/>
              <w:jc w:val="both"/>
              <w:rPr>
                <w:rFonts w:ascii="Times New Roman" w:hAnsi="Times New Roman" w:cs="Times New Roman"/>
                <w:sz w:val="20"/>
                <w:szCs w:val="20"/>
              </w:rPr>
            </w:pPr>
            <w:r w:rsidRPr="00DE593C">
              <w:rPr>
                <w:rFonts w:ascii="Times New Roman" w:hAnsi="Times New Roman" w:cs="Times New Roman"/>
                <w:sz w:val="20"/>
                <w:szCs w:val="20"/>
              </w:rPr>
              <w:t xml:space="preserve">Investițiile prevăzute în cadrul acestui obiectiv specific continuă intervențiile finanțate în perioadele anterioare de programare și vizează următoarele tipuri de acțiuni: </w:t>
            </w:r>
          </w:p>
          <w:p w:rsidR="009731AC" w:rsidRPr="00DE593C" w:rsidRDefault="009731AC" w:rsidP="008239CE">
            <w:pPr>
              <w:pStyle w:val="Listparagraf"/>
              <w:numPr>
                <w:ilvl w:val="0"/>
                <w:numId w:val="76"/>
              </w:numPr>
              <w:spacing w:before="0" w:after="0" w:line="240" w:lineRule="auto"/>
              <w:jc w:val="both"/>
              <w:rPr>
                <w:rFonts w:eastAsia="Calibri"/>
                <w:noProof/>
                <w:sz w:val="20"/>
                <w:szCs w:val="20"/>
                <w:lang w:val="ro-RO" w:eastAsia="en-GB"/>
              </w:rPr>
            </w:pPr>
            <w:r w:rsidRPr="00DE593C">
              <w:rPr>
                <w:rFonts w:eastAsia="Calibri"/>
                <w:noProof/>
                <w:sz w:val="20"/>
                <w:szCs w:val="20"/>
                <w:lang w:val="ro-RO" w:eastAsia="en-GB"/>
              </w:rPr>
              <w:t xml:space="preserve">Conservarea, protecția și valorificarea durabilă a patrimoniului cultural și natural; </w:t>
            </w:r>
          </w:p>
          <w:p w:rsidR="009731AC" w:rsidRPr="00DE593C" w:rsidRDefault="009731AC" w:rsidP="008239CE">
            <w:pPr>
              <w:pStyle w:val="Listparagraf"/>
              <w:numPr>
                <w:ilvl w:val="0"/>
                <w:numId w:val="76"/>
              </w:numPr>
              <w:spacing w:before="0" w:after="0" w:line="240" w:lineRule="auto"/>
              <w:jc w:val="both"/>
              <w:rPr>
                <w:rFonts w:eastAsia="Calibri"/>
                <w:noProof/>
                <w:sz w:val="20"/>
                <w:szCs w:val="20"/>
                <w:lang w:val="ro-RO" w:eastAsia="en-GB"/>
              </w:rPr>
            </w:pPr>
            <w:r w:rsidRPr="00DE593C">
              <w:rPr>
                <w:rFonts w:eastAsia="Calibri"/>
                <w:noProof/>
                <w:sz w:val="20"/>
                <w:szCs w:val="20"/>
                <w:lang w:val="ro-RO" w:eastAsia="en-GB"/>
              </w:rPr>
              <w:t>Îmbunătățirea infrastructurii de turism, în special în zone care dispun de un potențial turistic valoros;</w:t>
            </w:r>
          </w:p>
          <w:p w:rsidR="009731AC" w:rsidRPr="00DE593C" w:rsidRDefault="009731AC" w:rsidP="008239CE">
            <w:pPr>
              <w:pStyle w:val="Listparagraf"/>
              <w:numPr>
                <w:ilvl w:val="0"/>
                <w:numId w:val="76"/>
              </w:numPr>
              <w:spacing w:before="0" w:after="0" w:line="240" w:lineRule="auto"/>
              <w:jc w:val="both"/>
              <w:rPr>
                <w:rFonts w:eastAsia="Calibri"/>
                <w:noProof/>
                <w:sz w:val="20"/>
                <w:szCs w:val="20"/>
                <w:lang w:val="ro-RO" w:eastAsia="en-GB"/>
              </w:rPr>
            </w:pPr>
            <w:r w:rsidRPr="00DE593C">
              <w:rPr>
                <w:rFonts w:eastAsia="Calibri"/>
                <w:noProof/>
                <w:sz w:val="20"/>
                <w:szCs w:val="20"/>
                <w:lang w:val="ro-RO" w:eastAsia="en-GB"/>
              </w:rPr>
              <w:t>Dezvoltarea turismului balnear și de agrement;</w:t>
            </w:r>
          </w:p>
          <w:p w:rsidR="009731AC" w:rsidRPr="00DE593C" w:rsidRDefault="009731AC" w:rsidP="008239CE">
            <w:pPr>
              <w:pStyle w:val="Listparagraf"/>
              <w:numPr>
                <w:ilvl w:val="0"/>
                <w:numId w:val="76"/>
              </w:numPr>
              <w:spacing w:before="0" w:after="0" w:line="240" w:lineRule="auto"/>
              <w:jc w:val="both"/>
              <w:rPr>
                <w:sz w:val="20"/>
                <w:szCs w:val="20"/>
              </w:rPr>
            </w:pPr>
            <w:r w:rsidRPr="00DE593C">
              <w:rPr>
                <w:sz w:val="20"/>
                <w:szCs w:val="20"/>
              </w:rPr>
              <w:t>Promovarea unor nise turistice inovative;</w:t>
            </w:r>
          </w:p>
          <w:p w:rsidR="009731AC" w:rsidRPr="00DE593C" w:rsidRDefault="009731AC" w:rsidP="008239CE">
            <w:pPr>
              <w:pStyle w:val="Listparagraf"/>
              <w:numPr>
                <w:ilvl w:val="0"/>
                <w:numId w:val="76"/>
              </w:numPr>
              <w:spacing w:before="0" w:after="0" w:line="240" w:lineRule="auto"/>
              <w:jc w:val="both"/>
              <w:rPr>
                <w:sz w:val="20"/>
                <w:szCs w:val="20"/>
              </w:rPr>
            </w:pPr>
            <w:r w:rsidRPr="00DE593C">
              <w:rPr>
                <w:sz w:val="20"/>
                <w:szCs w:val="20"/>
              </w:rPr>
              <w:t>Imbunatatirea accesului către resursele și obiectivele turistice (ca activitate complementară celorlalte);</w:t>
            </w:r>
          </w:p>
          <w:p w:rsidR="009731AC" w:rsidRPr="00DE593C" w:rsidRDefault="009731AC" w:rsidP="008239CE">
            <w:pPr>
              <w:pStyle w:val="Listparagraf"/>
              <w:numPr>
                <w:ilvl w:val="0"/>
                <w:numId w:val="76"/>
              </w:numPr>
              <w:spacing w:before="0" w:after="0" w:line="240" w:lineRule="auto"/>
              <w:jc w:val="both"/>
              <w:rPr>
                <w:rFonts w:eastAsia="Calibri"/>
                <w:noProof/>
                <w:sz w:val="20"/>
                <w:szCs w:val="20"/>
                <w:lang w:val="ro-RO" w:eastAsia="en-GB"/>
              </w:rPr>
            </w:pPr>
            <w:r w:rsidRPr="00DE593C">
              <w:rPr>
                <w:rFonts w:eastAsia="Calibri"/>
                <w:noProof/>
                <w:sz w:val="20"/>
                <w:szCs w:val="20"/>
                <w:lang w:val="ro-RO" w:eastAsia="en-GB"/>
              </w:rPr>
              <w:t>Dezvoltarea infrastructurilor integrate cu rol în administrare, protejare, informare și exploatare turistică sustenabilă;</w:t>
            </w:r>
          </w:p>
          <w:p w:rsidR="009731AC" w:rsidRPr="00DE593C" w:rsidRDefault="009731AC" w:rsidP="008239CE">
            <w:pPr>
              <w:pStyle w:val="Listparagraf"/>
              <w:numPr>
                <w:ilvl w:val="0"/>
                <w:numId w:val="76"/>
              </w:numPr>
              <w:spacing w:before="0" w:after="0" w:line="240" w:lineRule="auto"/>
              <w:rPr>
                <w:rFonts w:eastAsia="Calibri"/>
                <w:noProof/>
                <w:sz w:val="20"/>
                <w:szCs w:val="20"/>
                <w:lang w:val="ro-RO" w:eastAsia="en-GB"/>
              </w:rPr>
            </w:pPr>
            <w:r w:rsidRPr="00DE593C">
              <w:rPr>
                <w:rFonts w:eastAsia="Calibri"/>
                <w:noProof/>
                <w:sz w:val="20"/>
                <w:szCs w:val="20"/>
                <w:lang w:val="ro-RO" w:eastAsia="en-GB"/>
              </w:rPr>
              <w:t>Investiții în infrastructura din domeniul cultural</w:t>
            </w:r>
          </w:p>
          <w:p w:rsidR="009731AC" w:rsidRPr="00DE593C" w:rsidRDefault="009731AC" w:rsidP="003D7489">
            <w:pPr>
              <w:pStyle w:val="Listparagraf"/>
              <w:numPr>
                <w:ilvl w:val="0"/>
                <w:numId w:val="76"/>
              </w:numPr>
              <w:spacing w:before="0" w:after="0" w:line="240" w:lineRule="auto"/>
              <w:rPr>
                <w:rFonts w:eastAsia="Calibri"/>
                <w:noProof/>
                <w:sz w:val="20"/>
                <w:szCs w:val="20"/>
                <w:lang w:eastAsia="en-GB"/>
              </w:rPr>
            </w:pPr>
            <w:r w:rsidRPr="00DE593C">
              <w:rPr>
                <w:sz w:val="20"/>
                <w:szCs w:val="20"/>
              </w:rPr>
              <w:t xml:space="preserve">Dezvoltare urbană </w:t>
            </w:r>
            <w:r w:rsidR="003D7489" w:rsidRPr="00DE593C">
              <w:rPr>
                <w:sz w:val="20"/>
                <w:szCs w:val="20"/>
              </w:rPr>
              <w:t>integrata</w:t>
            </w:r>
          </w:p>
          <w:p w:rsidR="009731AC" w:rsidRPr="003D7489" w:rsidRDefault="009731AC" w:rsidP="003D7489">
            <w:pPr>
              <w:pStyle w:val="Bullet"/>
              <w:numPr>
                <w:ilvl w:val="0"/>
                <w:numId w:val="0"/>
              </w:numPr>
              <w:spacing w:after="0" w:line="276" w:lineRule="auto"/>
              <w:ind w:left="567" w:hanging="567"/>
              <w:jc w:val="both"/>
              <w:rPr>
                <w:sz w:val="20"/>
                <w:szCs w:val="20"/>
                <w:lang w:val="ro-RO"/>
              </w:rPr>
            </w:pPr>
          </w:p>
        </w:tc>
      </w:tr>
    </w:tbl>
    <w:p w:rsidR="009731AC" w:rsidRDefault="009731AC" w:rsidP="009731AC">
      <w:pPr>
        <w:spacing w:after="0" w:line="240" w:lineRule="auto"/>
        <w:rPr>
          <w:rFonts w:ascii="Times New Roman" w:eastAsia="Times New Roman" w:hAnsi="Times New Roman" w:cs="Times New Roman"/>
          <w:i/>
          <w:noProof/>
          <w:sz w:val="24"/>
          <w:szCs w:val="24"/>
          <w:lang w:val="en-GB"/>
        </w:rPr>
      </w:pPr>
    </w:p>
    <w:p w:rsidR="009731AC" w:rsidRPr="006A3B94" w:rsidRDefault="009731AC" w:rsidP="009731AC">
      <w:pPr>
        <w:spacing w:after="0" w:line="240" w:lineRule="auto"/>
        <w:rPr>
          <w:rFonts w:ascii="Times New Roman" w:eastAsia="Times New Roman" w:hAnsi="Times New Roman" w:cs="Times New Roman"/>
          <w:b/>
          <w:i/>
          <w:iCs/>
          <w:noProof/>
          <w:sz w:val="24"/>
          <w:szCs w:val="24"/>
          <w:lang w:val="en-GB"/>
        </w:rPr>
      </w:pPr>
      <w:r w:rsidRPr="006A3B94">
        <w:rPr>
          <w:rFonts w:ascii="Times New Roman" w:eastAsia="Times New Roman" w:hAnsi="Times New Roman" w:cs="Times New Roman"/>
          <w:i/>
          <w:noProof/>
          <w:sz w:val="24"/>
          <w:szCs w:val="24"/>
          <w:lang w:val="en-GB"/>
        </w:rPr>
        <w:t>The main target groups - Article 17(3)(d)(iii):</w:t>
      </w:r>
    </w:p>
    <w:p w:rsidR="009731AC" w:rsidRDefault="009731AC" w:rsidP="009731AC">
      <w:pPr>
        <w:pBdr>
          <w:top w:val="single" w:sz="4" w:space="1" w:color="auto"/>
          <w:left w:val="single" w:sz="4" w:space="4" w:color="auto"/>
          <w:bottom w:val="single" w:sz="4" w:space="1" w:color="auto"/>
          <w:right w:val="single" w:sz="4" w:space="4" w:color="auto"/>
        </w:pBdr>
        <w:spacing w:before="120" w:after="120" w:line="360" w:lineRule="auto"/>
        <w:jc w:val="both"/>
        <w:rPr>
          <w:rFonts w:ascii="Times New Roman" w:eastAsia="Times New Roman" w:hAnsi="Times New Roman" w:cs="Times New Roman"/>
          <w:i/>
          <w:iCs/>
          <w:noProof/>
          <w:sz w:val="24"/>
          <w:szCs w:val="24"/>
          <w:lang w:val="en-GB"/>
        </w:rPr>
      </w:pPr>
      <w:r w:rsidRPr="006A3B94">
        <w:rPr>
          <w:rFonts w:ascii="Times New Roman" w:eastAsia="Times New Roman" w:hAnsi="Times New Roman" w:cs="Times New Roman"/>
          <w:i/>
          <w:iCs/>
          <w:noProof/>
          <w:sz w:val="24"/>
          <w:szCs w:val="24"/>
          <w:lang w:val="en-GB"/>
        </w:rPr>
        <w:t>Text field [1 000]</w:t>
      </w:r>
    </w:p>
    <w:p w:rsidR="00640277" w:rsidRPr="00EF3012" w:rsidRDefault="00640277" w:rsidP="0064027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0"/>
          <w:szCs w:val="20"/>
        </w:rPr>
      </w:pPr>
      <w:r w:rsidRPr="00EF3012">
        <w:rPr>
          <w:rFonts w:ascii="Times New Roman" w:hAnsi="Times New Roman" w:cs="Times New Roman"/>
          <w:sz w:val="20"/>
          <w:szCs w:val="20"/>
        </w:rPr>
        <w:t>Locuitorii zonelor respective, autoritățile locale, Turiștii,  consumatorii de cultură</w:t>
      </w:r>
    </w:p>
    <w:p w:rsidR="00640277" w:rsidRPr="00EF3012" w:rsidRDefault="00640277" w:rsidP="0064027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0"/>
          <w:szCs w:val="20"/>
        </w:rPr>
      </w:pPr>
      <w:r w:rsidRPr="00EF3012">
        <w:rPr>
          <w:rFonts w:ascii="Times New Roman" w:hAnsi="Times New Roman" w:cs="Times New Roman"/>
          <w:sz w:val="20"/>
          <w:szCs w:val="20"/>
        </w:rPr>
        <w:t>Locuitorii zonelor urbane modernizate</w:t>
      </w:r>
    </w:p>
    <w:p w:rsidR="00640277" w:rsidRPr="00EF3012" w:rsidRDefault="00640277" w:rsidP="0064027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0"/>
          <w:szCs w:val="20"/>
        </w:rPr>
      </w:pPr>
      <w:r w:rsidRPr="00EF3012">
        <w:rPr>
          <w:rFonts w:ascii="Times New Roman" w:hAnsi="Times New Roman" w:cs="Times New Roman"/>
          <w:sz w:val="20"/>
          <w:szCs w:val="20"/>
        </w:rPr>
        <w:t>Autoritatile locale si partenerii socio-economici</w:t>
      </w:r>
    </w:p>
    <w:p w:rsidR="009731AC" w:rsidRPr="006A3B94" w:rsidRDefault="009731AC" w:rsidP="009731AC">
      <w:pPr>
        <w:spacing w:before="120" w:after="120" w:line="360" w:lineRule="auto"/>
        <w:rPr>
          <w:rFonts w:ascii="Times New Roman" w:eastAsia="Times New Roman" w:hAnsi="Times New Roman" w:cs="Times New Roman"/>
          <w:i/>
          <w:noProof/>
          <w:sz w:val="24"/>
          <w:szCs w:val="24"/>
          <w:lang w:val="en-GB"/>
        </w:rPr>
      </w:pPr>
      <w:r w:rsidRPr="006A3B94">
        <w:rPr>
          <w:rFonts w:ascii="Times New Roman" w:eastAsia="Times New Roman" w:hAnsi="Times New Roman" w:cs="Times New Roman"/>
          <w:i/>
          <w:noProof/>
          <w:sz w:val="24"/>
          <w:szCs w:val="24"/>
          <w:lang w:val="en-GB"/>
        </w:rPr>
        <w:t>Specific territories tageted, including the planned use of territorial tools – Article 17(3)(d)(iv)</w:t>
      </w:r>
    </w:p>
    <w:p w:rsidR="009731AC" w:rsidRDefault="009731AC" w:rsidP="009731AC">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iCs/>
          <w:noProof/>
          <w:sz w:val="24"/>
          <w:szCs w:val="24"/>
          <w:lang w:val="en-GB"/>
        </w:rPr>
      </w:pPr>
      <w:r w:rsidRPr="006A3B94">
        <w:rPr>
          <w:rFonts w:ascii="Times New Roman" w:eastAsia="Times New Roman" w:hAnsi="Times New Roman" w:cs="Times New Roman"/>
          <w:i/>
          <w:iCs/>
          <w:noProof/>
          <w:sz w:val="24"/>
          <w:szCs w:val="24"/>
          <w:lang w:val="en-GB"/>
        </w:rPr>
        <w:t>Text field [2 000]</w:t>
      </w:r>
    </w:p>
    <w:p w:rsidR="009731AC" w:rsidRDefault="003D7489" w:rsidP="009731AC">
      <w:pPr>
        <w:pBdr>
          <w:top w:val="single" w:sz="4" w:space="1" w:color="auto"/>
          <w:left w:val="single" w:sz="4" w:space="4" w:color="auto"/>
          <w:bottom w:val="single" w:sz="4" w:space="1" w:color="auto"/>
          <w:right w:val="single" w:sz="4" w:space="4" w:color="auto"/>
        </w:pBdr>
        <w:rPr>
          <w:rFonts w:ascii="Times New Roman" w:hAnsi="Times New Roman" w:cs="Times New Roman"/>
          <w:sz w:val="20"/>
          <w:szCs w:val="20"/>
        </w:rPr>
      </w:pPr>
      <w:r>
        <w:rPr>
          <w:rFonts w:ascii="Times New Roman" w:hAnsi="Times New Roman" w:cs="Times New Roman"/>
          <w:sz w:val="20"/>
          <w:szCs w:val="20"/>
        </w:rPr>
        <w:t xml:space="preserve">Zonele urbane, zonele urbane functionale, zone metropolitane </w:t>
      </w:r>
    </w:p>
    <w:p w:rsidR="00CE7542" w:rsidRPr="00B3176C" w:rsidRDefault="00B3176C" w:rsidP="00B3176C">
      <w:pPr>
        <w:pBdr>
          <w:top w:val="single" w:sz="4" w:space="1" w:color="auto"/>
          <w:left w:val="single" w:sz="4" w:space="4" w:color="auto"/>
          <w:bottom w:val="single" w:sz="4" w:space="1" w:color="auto"/>
          <w:right w:val="single" w:sz="4" w:space="4" w:color="auto"/>
        </w:pBdr>
        <w:rPr>
          <w:rFonts w:ascii="Times New Roman" w:hAnsi="Times New Roman" w:cs="Times New Roman"/>
          <w:sz w:val="20"/>
          <w:szCs w:val="20"/>
        </w:rPr>
      </w:pPr>
      <w:r w:rsidRPr="00B3176C">
        <w:rPr>
          <w:rFonts w:ascii="Times New Roman" w:hAnsi="Times New Roman" w:cs="Times New Roman"/>
          <w:sz w:val="20"/>
          <w:szCs w:val="20"/>
        </w:rPr>
        <w:t>Accesul la finantare este conditionat de existenta SIDU si</w:t>
      </w:r>
      <w:r w:rsidRPr="00E95FAC">
        <w:rPr>
          <w:rFonts w:ascii="Times New Roman" w:hAnsi="Times New Roman" w:cs="Times New Roman"/>
          <w:sz w:val="20"/>
          <w:szCs w:val="20"/>
        </w:rPr>
        <w:t xml:space="preserve"> de justificări bazate pe dovezi în ceea ce privește oportunitatea și rolul investițiilor în ansamblul dezvoltării</w:t>
      </w:r>
      <w:r w:rsidR="00CE7542" w:rsidRPr="00CE7542">
        <w:rPr>
          <w:rFonts w:ascii="Times New Roman" w:hAnsi="Times New Roman" w:cs="Times New Roman"/>
          <w:sz w:val="20"/>
          <w:szCs w:val="20"/>
        </w:rPr>
        <w:t>.</w:t>
      </w:r>
    </w:p>
    <w:p w:rsidR="009731AC" w:rsidRPr="006A3B94" w:rsidRDefault="009731AC" w:rsidP="009731AC">
      <w:pPr>
        <w:spacing w:before="120" w:after="120" w:line="360" w:lineRule="auto"/>
        <w:rPr>
          <w:rFonts w:ascii="Times New Roman" w:eastAsia="Times New Roman" w:hAnsi="Times New Roman" w:cs="Times New Roman"/>
          <w:b/>
          <w:i/>
          <w:iCs/>
          <w:noProof/>
          <w:sz w:val="24"/>
          <w:szCs w:val="24"/>
          <w:lang w:val="en-GB"/>
        </w:rPr>
      </w:pPr>
      <w:r w:rsidRPr="006A3B94">
        <w:rPr>
          <w:rFonts w:ascii="Times New Roman" w:eastAsia="Times New Roman" w:hAnsi="Times New Roman" w:cs="Times New Roman"/>
          <w:i/>
          <w:noProof/>
          <w:sz w:val="24"/>
          <w:szCs w:val="24"/>
          <w:lang w:val="en-GB"/>
        </w:rPr>
        <w:t>The interregional and transnational actions  –Article – 17(3)(d)(v)</w:t>
      </w:r>
    </w:p>
    <w:p w:rsidR="009731AC" w:rsidRDefault="009731AC" w:rsidP="009731AC">
      <w:pPr>
        <w:pBdr>
          <w:top w:val="single" w:sz="4" w:space="0"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iCs/>
          <w:noProof/>
          <w:sz w:val="24"/>
          <w:szCs w:val="24"/>
          <w:lang w:val="en-GB"/>
        </w:rPr>
      </w:pPr>
      <w:r w:rsidRPr="006A3B94">
        <w:rPr>
          <w:rFonts w:ascii="Times New Roman" w:eastAsia="Times New Roman" w:hAnsi="Times New Roman" w:cs="Times New Roman"/>
          <w:i/>
          <w:iCs/>
          <w:noProof/>
          <w:sz w:val="24"/>
          <w:szCs w:val="24"/>
          <w:lang w:val="en-GB"/>
        </w:rPr>
        <w:t>Text field [2 000]</w:t>
      </w:r>
    </w:p>
    <w:p w:rsidR="009731AC" w:rsidRPr="006A3B94" w:rsidRDefault="009731AC" w:rsidP="009731AC">
      <w:pPr>
        <w:spacing w:before="120" w:after="120" w:line="360" w:lineRule="auto"/>
        <w:rPr>
          <w:rFonts w:ascii="Times New Roman" w:eastAsia="Times New Roman" w:hAnsi="Times New Roman" w:cs="Times New Roman"/>
          <w:b/>
          <w:i/>
          <w:iCs/>
          <w:noProof/>
          <w:sz w:val="24"/>
          <w:szCs w:val="24"/>
          <w:lang w:val="en-GB"/>
        </w:rPr>
      </w:pPr>
      <w:r w:rsidRPr="006A3B94">
        <w:rPr>
          <w:rFonts w:ascii="Times New Roman" w:eastAsia="Times New Roman" w:hAnsi="Times New Roman" w:cs="Times New Roman"/>
          <w:i/>
          <w:noProof/>
          <w:sz w:val="24"/>
          <w:szCs w:val="24"/>
          <w:lang w:val="en-GB"/>
        </w:rPr>
        <w:t>The planned use of financial instruments – Article – 17(3)(d)(vi)</w:t>
      </w:r>
    </w:p>
    <w:p w:rsidR="009731AC" w:rsidRPr="00524607" w:rsidRDefault="009731AC" w:rsidP="009731AC">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iCs/>
          <w:noProof/>
          <w:sz w:val="24"/>
          <w:szCs w:val="24"/>
          <w:lang w:val="en-GB"/>
        </w:rPr>
      </w:pPr>
      <w:r w:rsidRPr="00524607">
        <w:rPr>
          <w:rFonts w:ascii="Times New Roman" w:eastAsia="Times New Roman" w:hAnsi="Times New Roman" w:cs="Times New Roman"/>
          <w:i/>
          <w:iCs/>
          <w:noProof/>
          <w:sz w:val="24"/>
          <w:szCs w:val="24"/>
          <w:lang w:val="en-GB"/>
        </w:rPr>
        <w:lastRenderedPageBreak/>
        <w:t>Text field [1 000]</w:t>
      </w:r>
    </w:p>
    <w:p w:rsidR="009731AC" w:rsidRPr="006A3B94" w:rsidRDefault="009731AC" w:rsidP="009731AC">
      <w:pPr>
        <w:spacing w:after="0" w:line="240" w:lineRule="auto"/>
        <w:rPr>
          <w:rFonts w:ascii="Times New Roman" w:hAnsi="Times New Roman" w:cs="Times New Roman"/>
          <w:b/>
          <w:iCs/>
          <w:sz w:val="24"/>
          <w:szCs w:val="24"/>
          <w:lang w:val="en-GB"/>
        </w:rPr>
      </w:pPr>
      <w:r w:rsidRPr="006A3B94">
        <w:rPr>
          <w:rFonts w:ascii="Times New Roman" w:hAnsi="Times New Roman" w:cs="Times New Roman"/>
          <w:b/>
          <w:iCs/>
          <w:sz w:val="24"/>
          <w:szCs w:val="24"/>
          <w:lang w:val="en-GB"/>
        </w:rPr>
        <w:t>2.A.3.2 Indicators</w:t>
      </w:r>
    </w:p>
    <w:p w:rsidR="009731AC" w:rsidRPr="006A3B94" w:rsidRDefault="009731AC" w:rsidP="009731AC">
      <w:pPr>
        <w:spacing w:after="0" w:line="240" w:lineRule="auto"/>
        <w:rPr>
          <w:rFonts w:ascii="Times New Roman" w:hAnsi="Times New Roman" w:cs="Times New Roman"/>
          <w:b/>
          <w:bCs/>
          <w:i/>
          <w:sz w:val="24"/>
          <w:szCs w:val="24"/>
          <w:u w:val="single"/>
          <w:lang w:val="en-GB"/>
        </w:rPr>
      </w:pPr>
      <w:r w:rsidRPr="006A3B94">
        <w:rPr>
          <w:rFonts w:ascii="Times New Roman" w:hAnsi="Times New Roman" w:cs="Times New Roman"/>
          <w:i/>
          <w:sz w:val="24"/>
          <w:szCs w:val="24"/>
          <w:lang w:val="en-GB"/>
        </w:rPr>
        <w:t xml:space="preserve">Reference: Article 17(3)(d)(ii) CPR </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1"/>
        <w:gridCol w:w="1740"/>
        <w:gridCol w:w="727"/>
        <w:gridCol w:w="1161"/>
        <w:gridCol w:w="869"/>
        <w:gridCol w:w="2323"/>
        <w:gridCol w:w="873"/>
        <w:gridCol w:w="871"/>
        <w:gridCol w:w="867"/>
      </w:tblGrid>
      <w:tr w:rsidR="009731AC" w:rsidRPr="00A146B8" w:rsidTr="008239CE">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rsidR="009731AC" w:rsidRPr="00A146B8" w:rsidRDefault="009731AC" w:rsidP="008239CE">
            <w:pPr>
              <w:spacing w:after="0" w:line="240" w:lineRule="auto"/>
              <w:rPr>
                <w:rFonts w:ascii="Times New Roman" w:hAnsi="Times New Roman" w:cs="Times New Roman"/>
                <w:b/>
                <w:sz w:val="20"/>
                <w:szCs w:val="20"/>
                <w:lang w:val="en-US"/>
              </w:rPr>
            </w:pPr>
            <w:r w:rsidRPr="00A146B8">
              <w:rPr>
                <w:rFonts w:ascii="Times New Roman" w:hAnsi="Times New Roman" w:cs="Times New Roman"/>
                <w:b/>
                <w:iCs/>
                <w:sz w:val="20"/>
                <w:szCs w:val="20"/>
                <w:lang w:val="en-US"/>
              </w:rPr>
              <w:t>Table 2: Output indicators</w:t>
            </w:r>
          </w:p>
        </w:tc>
      </w:tr>
      <w:tr w:rsidR="009731AC" w:rsidRPr="00A146B8" w:rsidTr="008239CE">
        <w:trPr>
          <w:trHeight w:val="1647"/>
        </w:trPr>
        <w:tc>
          <w:tcPr>
            <w:tcW w:w="355" w:type="pct"/>
            <w:tcBorders>
              <w:top w:val="single" w:sz="4" w:space="0" w:color="auto"/>
              <w:left w:val="single" w:sz="4" w:space="0" w:color="auto"/>
              <w:bottom w:val="single" w:sz="4" w:space="0" w:color="auto"/>
              <w:right w:val="single" w:sz="4" w:space="0" w:color="auto"/>
            </w:tcBorders>
            <w:hideMark/>
          </w:tcPr>
          <w:p w:rsidR="009731AC" w:rsidRPr="00A146B8" w:rsidRDefault="009731AC" w:rsidP="008239CE">
            <w:pPr>
              <w:spacing w:after="0" w:line="240" w:lineRule="auto"/>
              <w:rPr>
                <w:rFonts w:ascii="Times New Roman" w:hAnsi="Times New Roman" w:cs="Times New Roman"/>
                <w:b/>
                <w:sz w:val="20"/>
                <w:szCs w:val="20"/>
                <w:lang w:val="en-US"/>
              </w:rPr>
            </w:pPr>
            <w:r w:rsidRPr="00A146B8">
              <w:rPr>
                <w:rFonts w:ascii="Times New Roman" w:hAnsi="Times New Roman" w:cs="Times New Roman"/>
                <w:b/>
                <w:sz w:val="20"/>
                <w:szCs w:val="20"/>
                <w:lang w:val="en-US"/>
              </w:rPr>
              <w:t xml:space="preserve">Priority </w:t>
            </w:r>
          </w:p>
        </w:tc>
        <w:tc>
          <w:tcPr>
            <w:tcW w:w="857" w:type="pct"/>
            <w:tcBorders>
              <w:top w:val="single" w:sz="4" w:space="0" w:color="auto"/>
              <w:left w:val="single" w:sz="4" w:space="0" w:color="auto"/>
              <w:bottom w:val="single" w:sz="4" w:space="0" w:color="auto"/>
              <w:right w:val="single" w:sz="4" w:space="0" w:color="auto"/>
            </w:tcBorders>
            <w:hideMark/>
          </w:tcPr>
          <w:p w:rsidR="009731AC" w:rsidRPr="00A146B8" w:rsidRDefault="009731AC" w:rsidP="008239CE">
            <w:pPr>
              <w:spacing w:after="0" w:line="240" w:lineRule="auto"/>
              <w:rPr>
                <w:rFonts w:ascii="Times New Roman" w:hAnsi="Times New Roman" w:cs="Times New Roman"/>
                <w:b/>
                <w:sz w:val="20"/>
                <w:szCs w:val="20"/>
                <w:lang w:val="en-US"/>
              </w:rPr>
            </w:pPr>
            <w:r w:rsidRPr="00A146B8">
              <w:rPr>
                <w:rFonts w:ascii="Times New Roman" w:hAnsi="Times New Roman" w:cs="Times New Roman"/>
                <w:b/>
                <w:sz w:val="20"/>
                <w:szCs w:val="20"/>
                <w:lang w:val="en-US"/>
              </w:rPr>
              <w:t>Specific objective (Investment for Jobs and Growth goal or EMFF)</w:t>
            </w:r>
          </w:p>
        </w:tc>
        <w:tc>
          <w:tcPr>
            <w:tcW w:w="358" w:type="pct"/>
            <w:tcBorders>
              <w:top w:val="single" w:sz="4" w:space="0" w:color="auto"/>
              <w:left w:val="single" w:sz="4" w:space="0" w:color="auto"/>
              <w:bottom w:val="single" w:sz="4" w:space="0" w:color="auto"/>
              <w:right w:val="single" w:sz="4" w:space="0" w:color="auto"/>
            </w:tcBorders>
            <w:hideMark/>
          </w:tcPr>
          <w:p w:rsidR="009731AC" w:rsidRPr="00A146B8" w:rsidRDefault="009731AC" w:rsidP="008239CE">
            <w:pPr>
              <w:spacing w:after="0" w:line="240" w:lineRule="auto"/>
              <w:rPr>
                <w:rFonts w:ascii="Times New Roman" w:hAnsi="Times New Roman" w:cs="Times New Roman"/>
                <w:b/>
                <w:sz w:val="20"/>
                <w:szCs w:val="20"/>
                <w:lang w:val="en-US"/>
              </w:rPr>
            </w:pPr>
            <w:r w:rsidRPr="00A146B8">
              <w:rPr>
                <w:rFonts w:ascii="Times New Roman" w:hAnsi="Times New Roman" w:cs="Times New Roman"/>
                <w:b/>
                <w:sz w:val="20"/>
                <w:szCs w:val="20"/>
                <w:lang w:val="en-US"/>
              </w:rPr>
              <w:t>Fund</w:t>
            </w:r>
          </w:p>
        </w:tc>
        <w:tc>
          <w:tcPr>
            <w:tcW w:w="572" w:type="pct"/>
            <w:tcBorders>
              <w:top w:val="single" w:sz="4" w:space="0" w:color="auto"/>
              <w:left w:val="single" w:sz="4" w:space="0" w:color="auto"/>
              <w:bottom w:val="single" w:sz="4" w:space="0" w:color="auto"/>
              <w:right w:val="single" w:sz="4" w:space="0" w:color="auto"/>
            </w:tcBorders>
            <w:hideMark/>
          </w:tcPr>
          <w:p w:rsidR="009731AC" w:rsidRPr="00A146B8" w:rsidRDefault="009731AC" w:rsidP="008239CE">
            <w:pPr>
              <w:spacing w:after="0" w:line="240" w:lineRule="auto"/>
              <w:rPr>
                <w:rFonts w:ascii="Times New Roman" w:hAnsi="Times New Roman" w:cs="Times New Roman"/>
                <w:b/>
                <w:sz w:val="20"/>
                <w:szCs w:val="20"/>
                <w:lang w:val="en-US"/>
              </w:rPr>
            </w:pPr>
            <w:r w:rsidRPr="00A146B8">
              <w:rPr>
                <w:rFonts w:ascii="Times New Roman" w:hAnsi="Times New Roman" w:cs="Times New Roman"/>
                <w:b/>
                <w:sz w:val="20"/>
                <w:szCs w:val="20"/>
                <w:lang w:val="en-US"/>
              </w:rPr>
              <w:t>Category of region</w:t>
            </w:r>
          </w:p>
        </w:tc>
        <w:tc>
          <w:tcPr>
            <w:tcW w:w="428" w:type="pct"/>
            <w:tcBorders>
              <w:top w:val="single" w:sz="4" w:space="0" w:color="auto"/>
              <w:left w:val="single" w:sz="4" w:space="0" w:color="auto"/>
              <w:bottom w:val="single" w:sz="4" w:space="0" w:color="auto"/>
              <w:right w:val="single" w:sz="4" w:space="0" w:color="auto"/>
            </w:tcBorders>
            <w:hideMark/>
          </w:tcPr>
          <w:p w:rsidR="009731AC" w:rsidRPr="00A146B8" w:rsidRDefault="009731AC" w:rsidP="008239CE">
            <w:pPr>
              <w:spacing w:after="0" w:line="240" w:lineRule="auto"/>
              <w:jc w:val="center"/>
              <w:rPr>
                <w:rFonts w:ascii="Times New Roman" w:hAnsi="Times New Roman" w:cs="Times New Roman"/>
                <w:b/>
                <w:sz w:val="20"/>
                <w:szCs w:val="20"/>
                <w:lang w:val="en-US"/>
              </w:rPr>
            </w:pPr>
            <w:r w:rsidRPr="00A146B8">
              <w:rPr>
                <w:rFonts w:ascii="Times New Roman" w:hAnsi="Times New Roman" w:cs="Times New Roman"/>
                <w:b/>
                <w:sz w:val="20"/>
                <w:szCs w:val="20"/>
                <w:lang w:val="en-US"/>
              </w:rPr>
              <w:t>ID [5]</w:t>
            </w:r>
          </w:p>
        </w:tc>
        <w:tc>
          <w:tcPr>
            <w:tcW w:w="1144" w:type="pct"/>
            <w:tcBorders>
              <w:top w:val="single" w:sz="4" w:space="0" w:color="auto"/>
              <w:left w:val="single" w:sz="4" w:space="0" w:color="auto"/>
              <w:bottom w:val="single" w:sz="4" w:space="0" w:color="auto"/>
              <w:right w:val="single" w:sz="4" w:space="0" w:color="auto"/>
            </w:tcBorders>
            <w:hideMark/>
          </w:tcPr>
          <w:p w:rsidR="009731AC" w:rsidRPr="00A146B8" w:rsidRDefault="009731AC" w:rsidP="008239CE">
            <w:pPr>
              <w:spacing w:after="0" w:line="240" w:lineRule="auto"/>
              <w:rPr>
                <w:rFonts w:ascii="Times New Roman" w:hAnsi="Times New Roman" w:cs="Times New Roman"/>
                <w:b/>
                <w:sz w:val="20"/>
                <w:szCs w:val="20"/>
                <w:lang w:val="en-US"/>
              </w:rPr>
            </w:pPr>
            <w:r w:rsidRPr="00A146B8">
              <w:rPr>
                <w:rFonts w:ascii="Times New Roman" w:hAnsi="Times New Roman" w:cs="Times New Roman"/>
                <w:b/>
                <w:sz w:val="20"/>
                <w:szCs w:val="20"/>
                <w:lang w:val="en-US"/>
              </w:rPr>
              <w:t xml:space="preserve">Indicator [255] </w:t>
            </w:r>
          </w:p>
        </w:tc>
        <w:tc>
          <w:tcPr>
            <w:tcW w:w="430" w:type="pct"/>
            <w:tcBorders>
              <w:top w:val="single" w:sz="4" w:space="0" w:color="auto"/>
              <w:left w:val="single" w:sz="4" w:space="0" w:color="auto"/>
              <w:bottom w:val="single" w:sz="4" w:space="0" w:color="auto"/>
              <w:right w:val="single" w:sz="4" w:space="0" w:color="auto"/>
            </w:tcBorders>
            <w:hideMark/>
          </w:tcPr>
          <w:p w:rsidR="009731AC" w:rsidRPr="00A146B8" w:rsidRDefault="009731AC" w:rsidP="008239CE">
            <w:pPr>
              <w:spacing w:after="0" w:line="240" w:lineRule="auto"/>
              <w:rPr>
                <w:rFonts w:ascii="Times New Roman" w:hAnsi="Times New Roman" w:cs="Times New Roman"/>
                <w:b/>
                <w:sz w:val="20"/>
                <w:szCs w:val="20"/>
                <w:lang w:val="en-US"/>
              </w:rPr>
            </w:pPr>
            <w:r w:rsidRPr="00A146B8">
              <w:rPr>
                <w:rFonts w:ascii="Times New Roman" w:hAnsi="Times New Roman" w:cs="Times New Roman"/>
                <w:b/>
                <w:sz w:val="20"/>
                <w:szCs w:val="20"/>
                <w:lang w:val="en-US"/>
              </w:rPr>
              <w:t>Measurement unit</w:t>
            </w:r>
          </w:p>
        </w:tc>
        <w:tc>
          <w:tcPr>
            <w:tcW w:w="429" w:type="pct"/>
            <w:tcBorders>
              <w:top w:val="single" w:sz="4" w:space="0" w:color="auto"/>
              <w:left w:val="single" w:sz="4" w:space="0" w:color="auto"/>
              <w:bottom w:val="single" w:sz="4" w:space="0" w:color="auto"/>
              <w:right w:val="single" w:sz="4" w:space="0" w:color="auto"/>
            </w:tcBorders>
          </w:tcPr>
          <w:p w:rsidR="009731AC" w:rsidRPr="00A146B8" w:rsidRDefault="009731AC" w:rsidP="008239CE">
            <w:pPr>
              <w:spacing w:after="0" w:line="240" w:lineRule="auto"/>
              <w:rPr>
                <w:rFonts w:ascii="Times New Roman" w:hAnsi="Times New Roman" w:cs="Times New Roman"/>
                <w:b/>
                <w:sz w:val="20"/>
                <w:szCs w:val="20"/>
                <w:lang w:val="en-US"/>
              </w:rPr>
            </w:pPr>
            <w:r w:rsidRPr="00A146B8">
              <w:rPr>
                <w:rFonts w:ascii="Times New Roman" w:hAnsi="Times New Roman" w:cs="Times New Roman"/>
                <w:b/>
                <w:sz w:val="20"/>
                <w:szCs w:val="20"/>
                <w:lang w:val="en-US"/>
              </w:rPr>
              <w:t>Milestone (2024)</w:t>
            </w:r>
          </w:p>
          <w:p w:rsidR="009731AC" w:rsidRPr="00A146B8" w:rsidRDefault="009731AC" w:rsidP="008239CE">
            <w:pPr>
              <w:spacing w:after="0" w:line="240" w:lineRule="auto"/>
              <w:rPr>
                <w:rFonts w:ascii="Times New Roman" w:hAnsi="Times New Roman" w:cs="Times New Roman"/>
                <w:b/>
                <w:sz w:val="20"/>
                <w:szCs w:val="20"/>
                <w:lang w:val="en-US"/>
              </w:rPr>
            </w:pPr>
          </w:p>
        </w:tc>
        <w:tc>
          <w:tcPr>
            <w:tcW w:w="427" w:type="pct"/>
            <w:tcBorders>
              <w:top w:val="single" w:sz="4" w:space="0" w:color="auto"/>
              <w:left w:val="single" w:sz="4" w:space="0" w:color="auto"/>
              <w:bottom w:val="single" w:sz="4" w:space="0" w:color="auto"/>
              <w:right w:val="single" w:sz="4" w:space="0" w:color="auto"/>
            </w:tcBorders>
          </w:tcPr>
          <w:p w:rsidR="009731AC" w:rsidRPr="00A146B8" w:rsidRDefault="009731AC" w:rsidP="008239CE">
            <w:pPr>
              <w:spacing w:after="0" w:line="240" w:lineRule="auto"/>
              <w:rPr>
                <w:rFonts w:ascii="Times New Roman" w:hAnsi="Times New Roman" w:cs="Times New Roman"/>
                <w:b/>
                <w:sz w:val="20"/>
                <w:szCs w:val="20"/>
                <w:lang w:val="en-US"/>
              </w:rPr>
            </w:pPr>
            <w:r w:rsidRPr="00A146B8">
              <w:rPr>
                <w:rFonts w:ascii="Times New Roman" w:hAnsi="Times New Roman" w:cs="Times New Roman"/>
                <w:b/>
                <w:sz w:val="20"/>
                <w:szCs w:val="20"/>
                <w:lang w:val="en-US"/>
              </w:rPr>
              <w:t>Target (2029)</w:t>
            </w:r>
          </w:p>
          <w:p w:rsidR="009731AC" w:rsidRPr="00A146B8" w:rsidRDefault="009731AC" w:rsidP="008239CE">
            <w:pPr>
              <w:spacing w:after="0" w:line="240" w:lineRule="auto"/>
              <w:rPr>
                <w:rFonts w:ascii="Times New Roman" w:hAnsi="Times New Roman" w:cs="Times New Roman"/>
                <w:b/>
                <w:sz w:val="20"/>
                <w:szCs w:val="20"/>
                <w:lang w:val="en-US"/>
              </w:rPr>
            </w:pPr>
          </w:p>
        </w:tc>
      </w:tr>
      <w:tr w:rsidR="00040962" w:rsidRPr="00A146B8" w:rsidTr="008239CE">
        <w:trPr>
          <w:trHeight w:val="340"/>
        </w:trPr>
        <w:tc>
          <w:tcPr>
            <w:tcW w:w="355" w:type="pct"/>
            <w:vMerge w:val="restart"/>
            <w:tcBorders>
              <w:top w:val="single" w:sz="4" w:space="0" w:color="auto"/>
              <w:left w:val="single" w:sz="4" w:space="0" w:color="auto"/>
              <w:right w:val="single" w:sz="4" w:space="0" w:color="auto"/>
            </w:tcBorders>
          </w:tcPr>
          <w:p w:rsidR="00040962" w:rsidRPr="00A146B8" w:rsidRDefault="00040962" w:rsidP="0004096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6.0</w:t>
            </w:r>
          </w:p>
          <w:p w:rsidR="00040962" w:rsidRPr="00A146B8" w:rsidRDefault="00040962" w:rsidP="00040962">
            <w:pPr>
              <w:spacing w:after="0" w:line="240" w:lineRule="auto"/>
              <w:jc w:val="both"/>
              <w:rPr>
                <w:rFonts w:ascii="Times New Roman" w:hAnsi="Times New Roman" w:cs="Times New Roman"/>
                <w:sz w:val="20"/>
                <w:szCs w:val="20"/>
              </w:rPr>
            </w:pPr>
          </w:p>
          <w:p w:rsidR="00040962" w:rsidRPr="00A146B8" w:rsidRDefault="00040962" w:rsidP="00040962">
            <w:pPr>
              <w:spacing w:after="0" w:line="240" w:lineRule="auto"/>
              <w:jc w:val="both"/>
              <w:rPr>
                <w:rFonts w:ascii="Times New Roman" w:hAnsi="Times New Roman" w:cs="Times New Roman"/>
                <w:b/>
                <w:i/>
                <w:sz w:val="20"/>
                <w:szCs w:val="20"/>
                <w:lang w:val="en-US"/>
              </w:rPr>
            </w:pPr>
          </w:p>
        </w:tc>
        <w:tc>
          <w:tcPr>
            <w:tcW w:w="857" w:type="pct"/>
            <w:vMerge w:val="restart"/>
            <w:tcBorders>
              <w:top w:val="single" w:sz="4" w:space="0" w:color="auto"/>
              <w:left w:val="single" w:sz="4" w:space="0" w:color="auto"/>
              <w:right w:val="single" w:sz="4" w:space="0" w:color="auto"/>
            </w:tcBorders>
          </w:tcPr>
          <w:p w:rsidR="00040962" w:rsidRPr="00BC31E0" w:rsidRDefault="00040962" w:rsidP="00040962">
            <w:pPr>
              <w:spacing w:after="0" w:line="240" w:lineRule="auto"/>
              <w:jc w:val="center"/>
              <w:rPr>
                <w:rFonts w:ascii="Times New Roman" w:hAnsi="Times New Roman" w:cs="Times New Roman"/>
                <w:i/>
                <w:sz w:val="20"/>
                <w:szCs w:val="20"/>
                <w:lang w:val="en-US"/>
              </w:rPr>
            </w:pPr>
            <w:r>
              <w:rPr>
                <w:rFonts w:ascii="Times New Roman" w:hAnsi="Times New Roman" w:cs="Times New Roman"/>
                <w:i/>
                <w:noProof/>
                <w:sz w:val="20"/>
                <w:szCs w:val="20"/>
                <w:lang w:val="en-GB"/>
              </w:rPr>
              <w:t>e (i</w:t>
            </w:r>
            <w:r w:rsidRPr="00BC31E0">
              <w:rPr>
                <w:rFonts w:ascii="Times New Roman" w:hAnsi="Times New Roman" w:cs="Times New Roman"/>
                <w:i/>
                <w:noProof/>
                <w:sz w:val="20"/>
                <w:szCs w:val="20"/>
                <w:lang w:val="en-GB"/>
              </w:rPr>
              <w:t xml:space="preserve">) </w:t>
            </w:r>
            <w:r w:rsidRPr="00BC31E0">
              <w:rPr>
                <w:rFonts w:ascii="Times New Roman" w:eastAsia="Times New Roman" w:hAnsi="Times New Roman" w:cs="Times New Roman"/>
                <w:i/>
                <w:iCs/>
                <w:noProof/>
                <w:sz w:val="20"/>
                <w:szCs w:val="20"/>
              </w:rPr>
              <w:t>Promovarea dezvoltării integrate în domeniul social, economic și al mediului la nivel local, a patrimon</w:t>
            </w:r>
            <w:r>
              <w:rPr>
                <w:rFonts w:ascii="Times New Roman" w:eastAsia="Times New Roman" w:hAnsi="Times New Roman" w:cs="Times New Roman"/>
                <w:i/>
                <w:iCs/>
                <w:noProof/>
                <w:sz w:val="20"/>
                <w:szCs w:val="20"/>
              </w:rPr>
              <w:t>iului cultural și a securității în zonele urbane</w:t>
            </w:r>
          </w:p>
        </w:tc>
        <w:tc>
          <w:tcPr>
            <w:tcW w:w="358" w:type="pct"/>
            <w:vMerge w:val="restart"/>
            <w:tcBorders>
              <w:top w:val="single" w:sz="4" w:space="0" w:color="auto"/>
              <w:left w:val="single" w:sz="4" w:space="0" w:color="auto"/>
              <w:right w:val="single" w:sz="4" w:space="0" w:color="auto"/>
            </w:tcBorders>
          </w:tcPr>
          <w:p w:rsidR="00040962" w:rsidRPr="00A146B8" w:rsidRDefault="00040962" w:rsidP="00040962">
            <w:pPr>
              <w:spacing w:after="0" w:line="240" w:lineRule="auto"/>
              <w:jc w:val="both"/>
              <w:rPr>
                <w:rFonts w:ascii="Times New Roman" w:hAnsi="Times New Roman" w:cs="Times New Roman"/>
                <w:b/>
                <w:i/>
                <w:sz w:val="20"/>
                <w:szCs w:val="20"/>
                <w:lang w:val="en-US"/>
              </w:rPr>
            </w:pPr>
            <w:r w:rsidRPr="00A146B8">
              <w:rPr>
                <w:rFonts w:ascii="Times New Roman" w:hAnsi="Times New Roman" w:cs="Times New Roman"/>
                <w:b/>
                <w:i/>
                <w:sz w:val="20"/>
                <w:szCs w:val="20"/>
                <w:lang w:val="en-US"/>
              </w:rPr>
              <w:t>FEDR</w:t>
            </w:r>
          </w:p>
        </w:tc>
        <w:tc>
          <w:tcPr>
            <w:tcW w:w="572" w:type="pct"/>
            <w:vMerge w:val="restart"/>
            <w:tcBorders>
              <w:top w:val="single" w:sz="4" w:space="0" w:color="auto"/>
              <w:left w:val="single" w:sz="4" w:space="0" w:color="auto"/>
              <w:right w:val="single" w:sz="4" w:space="0" w:color="auto"/>
            </w:tcBorders>
          </w:tcPr>
          <w:p w:rsidR="00040962" w:rsidRPr="00A146B8" w:rsidRDefault="00040962" w:rsidP="00040962">
            <w:pPr>
              <w:spacing w:after="0" w:line="240" w:lineRule="auto"/>
              <w:jc w:val="both"/>
              <w:rPr>
                <w:rFonts w:ascii="Times New Roman" w:hAnsi="Times New Roman" w:cs="Times New Roman"/>
                <w:b/>
                <w:i/>
                <w:sz w:val="20"/>
                <w:szCs w:val="20"/>
                <w:lang w:val="en-US"/>
              </w:rPr>
            </w:pPr>
            <w:r w:rsidRPr="00A146B8">
              <w:rPr>
                <w:rFonts w:ascii="Times New Roman" w:hAnsi="Times New Roman" w:cs="Times New Roman"/>
                <w:b/>
                <w:i/>
                <w:sz w:val="20"/>
                <w:szCs w:val="20"/>
                <w:lang w:val="en-US"/>
              </w:rPr>
              <w:t xml:space="preserve">Mai putin dezvoltata </w:t>
            </w:r>
          </w:p>
        </w:tc>
        <w:tc>
          <w:tcPr>
            <w:tcW w:w="428" w:type="pct"/>
            <w:tcBorders>
              <w:top w:val="single" w:sz="4" w:space="0" w:color="auto"/>
              <w:left w:val="single" w:sz="4" w:space="0" w:color="auto"/>
              <w:bottom w:val="single" w:sz="4" w:space="0" w:color="auto"/>
              <w:right w:val="single" w:sz="4" w:space="0" w:color="auto"/>
            </w:tcBorders>
          </w:tcPr>
          <w:p w:rsidR="00040962" w:rsidRPr="009A7572" w:rsidRDefault="00040962" w:rsidP="00040962">
            <w:pPr>
              <w:pStyle w:val="Text1"/>
              <w:ind w:left="0"/>
              <w:rPr>
                <w:i/>
                <w:noProof/>
                <w:sz w:val="20"/>
                <w:szCs w:val="20"/>
                <w:lang w:val="ro-RO"/>
              </w:rPr>
            </w:pPr>
            <w:r w:rsidRPr="009A7572">
              <w:rPr>
                <w:i/>
                <w:noProof/>
                <w:sz w:val="20"/>
                <w:szCs w:val="20"/>
                <w:lang w:val="ro-RO"/>
              </w:rPr>
              <w:t xml:space="preserve">RCO </w:t>
            </w:r>
          </w:p>
          <w:p w:rsidR="00040962" w:rsidRPr="009A7572" w:rsidRDefault="00040962" w:rsidP="00040962">
            <w:pPr>
              <w:pStyle w:val="Text1"/>
              <w:ind w:left="0"/>
              <w:rPr>
                <w:i/>
                <w:noProof/>
                <w:sz w:val="20"/>
                <w:szCs w:val="20"/>
                <w:lang w:val="ro-RO"/>
              </w:rPr>
            </w:pPr>
            <w:r w:rsidRPr="009A7572">
              <w:rPr>
                <w:i/>
                <w:noProof/>
                <w:sz w:val="20"/>
                <w:szCs w:val="20"/>
                <w:lang w:val="ro-RO"/>
              </w:rPr>
              <w:t>77</w:t>
            </w:r>
          </w:p>
          <w:p w:rsidR="00040962" w:rsidRPr="009A7572" w:rsidRDefault="00040962" w:rsidP="00040962">
            <w:pPr>
              <w:spacing w:after="0" w:line="240" w:lineRule="auto"/>
              <w:jc w:val="center"/>
              <w:rPr>
                <w:rFonts w:ascii="Times New Roman" w:hAnsi="Times New Roman" w:cs="Times New Roman"/>
                <w:sz w:val="20"/>
                <w:szCs w:val="20"/>
                <w:lang w:val="en-US"/>
              </w:rPr>
            </w:pPr>
          </w:p>
        </w:tc>
        <w:tc>
          <w:tcPr>
            <w:tcW w:w="1144" w:type="pct"/>
            <w:tcBorders>
              <w:top w:val="single" w:sz="4" w:space="0" w:color="auto"/>
              <w:left w:val="single" w:sz="4" w:space="0" w:color="auto"/>
              <w:bottom w:val="single" w:sz="4" w:space="0" w:color="auto"/>
              <w:right w:val="single" w:sz="4" w:space="0" w:color="auto"/>
            </w:tcBorders>
          </w:tcPr>
          <w:p w:rsidR="00040962" w:rsidRPr="009A7572" w:rsidRDefault="00040962" w:rsidP="00040962">
            <w:pPr>
              <w:rPr>
                <w:rFonts w:ascii="Times New Roman" w:hAnsi="Times New Roman" w:cs="Times New Roman"/>
                <w:i/>
                <w:noProof/>
                <w:sz w:val="20"/>
                <w:szCs w:val="20"/>
              </w:rPr>
            </w:pPr>
            <w:r w:rsidRPr="009A7572">
              <w:rPr>
                <w:rFonts w:ascii="Times New Roman" w:hAnsi="Times New Roman" w:cs="Times New Roman"/>
                <w:i/>
                <w:noProof/>
                <w:sz w:val="20"/>
                <w:szCs w:val="20"/>
              </w:rPr>
              <w:t xml:space="preserve">Număr de obiective culturale și turistice finanțate </w:t>
            </w:r>
          </w:p>
          <w:p w:rsidR="00040962" w:rsidRPr="009A7572" w:rsidRDefault="00040962" w:rsidP="00040962">
            <w:pPr>
              <w:spacing w:after="0" w:line="240" w:lineRule="auto"/>
              <w:jc w:val="both"/>
              <w:rPr>
                <w:rFonts w:ascii="Times New Roman" w:hAnsi="Times New Roman" w:cs="Times New Roman"/>
                <w:i/>
                <w:sz w:val="20"/>
                <w:szCs w:val="20"/>
                <w:lang w:val="en-US"/>
              </w:rPr>
            </w:pPr>
          </w:p>
        </w:tc>
        <w:tc>
          <w:tcPr>
            <w:tcW w:w="430" w:type="pct"/>
            <w:tcBorders>
              <w:top w:val="single" w:sz="4" w:space="0" w:color="auto"/>
              <w:left w:val="single" w:sz="4" w:space="0" w:color="auto"/>
              <w:bottom w:val="single" w:sz="4" w:space="0" w:color="auto"/>
              <w:right w:val="single" w:sz="4" w:space="0" w:color="auto"/>
            </w:tcBorders>
          </w:tcPr>
          <w:p w:rsidR="00040962" w:rsidRPr="006929ED" w:rsidRDefault="00040962" w:rsidP="00040962">
            <w:pPr>
              <w:spacing w:after="0" w:line="240" w:lineRule="auto"/>
              <w:jc w:val="both"/>
              <w:rPr>
                <w:rFonts w:ascii="Times New Roman" w:hAnsi="Times New Roman" w:cs="Times New Roman"/>
                <w:b/>
                <w:i/>
                <w:sz w:val="20"/>
                <w:szCs w:val="20"/>
                <w:lang w:val="en-US"/>
              </w:rPr>
            </w:pPr>
            <w:r w:rsidRPr="006929ED">
              <w:rPr>
                <w:rFonts w:ascii="Times New Roman" w:hAnsi="Times New Roman" w:cs="Times New Roman"/>
                <w:b/>
                <w:i/>
                <w:noProof/>
                <w:sz w:val="20"/>
                <w:szCs w:val="20"/>
              </w:rPr>
              <w:t xml:space="preserve">Nr. </w:t>
            </w:r>
          </w:p>
        </w:tc>
        <w:tc>
          <w:tcPr>
            <w:tcW w:w="429" w:type="pct"/>
            <w:tcBorders>
              <w:top w:val="single" w:sz="4" w:space="0" w:color="auto"/>
              <w:left w:val="single" w:sz="4" w:space="0" w:color="auto"/>
              <w:bottom w:val="single" w:sz="4" w:space="0" w:color="auto"/>
              <w:right w:val="single" w:sz="4" w:space="0" w:color="auto"/>
            </w:tcBorders>
          </w:tcPr>
          <w:p w:rsidR="00040962" w:rsidRPr="002F24BA" w:rsidRDefault="00040962" w:rsidP="00040962">
            <w:pPr>
              <w:spacing w:after="0" w:line="240" w:lineRule="auto"/>
              <w:jc w:val="both"/>
              <w:rPr>
                <w:rFonts w:ascii="Times New Roman" w:hAnsi="Times New Roman" w:cs="Times New Roman"/>
                <w:b/>
                <w:i/>
                <w:sz w:val="20"/>
                <w:szCs w:val="20"/>
                <w:lang w:val="en-US"/>
              </w:rPr>
            </w:pPr>
            <w:r>
              <w:rPr>
                <w:rFonts w:ascii="Times New Roman" w:hAnsi="Times New Roman" w:cs="Times New Roman"/>
                <w:b/>
                <w:i/>
                <w:sz w:val="20"/>
                <w:szCs w:val="20"/>
                <w:lang w:val="en-US"/>
              </w:rPr>
              <w:t>3</w:t>
            </w:r>
          </w:p>
        </w:tc>
        <w:tc>
          <w:tcPr>
            <w:tcW w:w="427" w:type="pct"/>
            <w:tcBorders>
              <w:top w:val="single" w:sz="4" w:space="0" w:color="auto"/>
              <w:left w:val="single" w:sz="4" w:space="0" w:color="auto"/>
              <w:bottom w:val="single" w:sz="4" w:space="0" w:color="auto"/>
              <w:right w:val="single" w:sz="4" w:space="0" w:color="auto"/>
            </w:tcBorders>
          </w:tcPr>
          <w:p w:rsidR="00040962" w:rsidRPr="002F24BA" w:rsidRDefault="00040962" w:rsidP="00040962">
            <w:pPr>
              <w:spacing w:after="0" w:line="240" w:lineRule="auto"/>
              <w:jc w:val="both"/>
              <w:rPr>
                <w:rFonts w:ascii="Times New Roman" w:hAnsi="Times New Roman" w:cs="Times New Roman"/>
                <w:b/>
                <w:i/>
                <w:sz w:val="20"/>
                <w:szCs w:val="20"/>
                <w:lang w:val="en-US"/>
              </w:rPr>
            </w:pPr>
            <w:r>
              <w:rPr>
                <w:rFonts w:ascii="Times New Roman" w:hAnsi="Times New Roman" w:cs="Times New Roman"/>
                <w:b/>
                <w:i/>
                <w:sz w:val="20"/>
                <w:szCs w:val="20"/>
                <w:lang w:val="en-US"/>
              </w:rPr>
              <w:t>7</w:t>
            </w:r>
          </w:p>
        </w:tc>
      </w:tr>
      <w:tr w:rsidR="00040962" w:rsidRPr="00A146B8" w:rsidTr="008239CE">
        <w:trPr>
          <w:trHeight w:val="340"/>
        </w:trPr>
        <w:tc>
          <w:tcPr>
            <w:tcW w:w="355" w:type="pct"/>
            <w:vMerge/>
            <w:tcBorders>
              <w:left w:val="single" w:sz="4" w:space="0" w:color="auto"/>
              <w:right w:val="single" w:sz="4" w:space="0" w:color="auto"/>
            </w:tcBorders>
          </w:tcPr>
          <w:p w:rsidR="00040962" w:rsidRDefault="00040962" w:rsidP="00040962">
            <w:pPr>
              <w:spacing w:after="0" w:line="240" w:lineRule="auto"/>
              <w:jc w:val="both"/>
              <w:rPr>
                <w:rFonts w:ascii="Times New Roman" w:hAnsi="Times New Roman" w:cs="Times New Roman"/>
                <w:sz w:val="20"/>
                <w:szCs w:val="20"/>
              </w:rPr>
            </w:pPr>
          </w:p>
        </w:tc>
        <w:tc>
          <w:tcPr>
            <w:tcW w:w="857" w:type="pct"/>
            <w:vMerge/>
            <w:tcBorders>
              <w:left w:val="single" w:sz="4" w:space="0" w:color="auto"/>
              <w:right w:val="single" w:sz="4" w:space="0" w:color="auto"/>
            </w:tcBorders>
          </w:tcPr>
          <w:p w:rsidR="00040962" w:rsidRDefault="00040962" w:rsidP="00040962">
            <w:pPr>
              <w:spacing w:after="0" w:line="240" w:lineRule="auto"/>
              <w:jc w:val="center"/>
              <w:rPr>
                <w:rFonts w:ascii="Times New Roman" w:hAnsi="Times New Roman" w:cs="Times New Roman"/>
                <w:i/>
                <w:noProof/>
                <w:sz w:val="20"/>
                <w:szCs w:val="20"/>
                <w:lang w:val="en-GB"/>
              </w:rPr>
            </w:pPr>
          </w:p>
        </w:tc>
        <w:tc>
          <w:tcPr>
            <w:tcW w:w="358" w:type="pct"/>
            <w:vMerge/>
            <w:tcBorders>
              <w:left w:val="single" w:sz="4" w:space="0" w:color="auto"/>
              <w:right w:val="single" w:sz="4" w:space="0" w:color="auto"/>
            </w:tcBorders>
          </w:tcPr>
          <w:p w:rsidR="00040962" w:rsidRPr="00A146B8" w:rsidRDefault="00040962" w:rsidP="00040962">
            <w:pPr>
              <w:spacing w:after="0" w:line="240" w:lineRule="auto"/>
              <w:jc w:val="both"/>
              <w:rPr>
                <w:rFonts w:ascii="Times New Roman" w:hAnsi="Times New Roman" w:cs="Times New Roman"/>
                <w:b/>
                <w:i/>
                <w:sz w:val="20"/>
                <w:szCs w:val="20"/>
                <w:lang w:val="en-US"/>
              </w:rPr>
            </w:pPr>
          </w:p>
        </w:tc>
        <w:tc>
          <w:tcPr>
            <w:tcW w:w="572" w:type="pct"/>
            <w:vMerge/>
            <w:tcBorders>
              <w:left w:val="single" w:sz="4" w:space="0" w:color="auto"/>
              <w:right w:val="single" w:sz="4" w:space="0" w:color="auto"/>
            </w:tcBorders>
          </w:tcPr>
          <w:p w:rsidR="00040962" w:rsidRPr="00A146B8" w:rsidRDefault="00040962" w:rsidP="00040962">
            <w:pPr>
              <w:spacing w:after="0" w:line="240" w:lineRule="auto"/>
              <w:jc w:val="both"/>
              <w:rPr>
                <w:rFonts w:ascii="Times New Roman" w:hAnsi="Times New Roman" w:cs="Times New Roman"/>
                <w:b/>
                <w:i/>
                <w:sz w:val="20"/>
                <w:szCs w:val="20"/>
                <w:lang w:val="en-US"/>
              </w:rPr>
            </w:pPr>
          </w:p>
        </w:tc>
        <w:tc>
          <w:tcPr>
            <w:tcW w:w="428" w:type="pct"/>
            <w:tcBorders>
              <w:top w:val="single" w:sz="4" w:space="0" w:color="auto"/>
              <w:left w:val="single" w:sz="4" w:space="0" w:color="auto"/>
              <w:bottom w:val="single" w:sz="4" w:space="0" w:color="auto"/>
              <w:right w:val="single" w:sz="4" w:space="0" w:color="auto"/>
            </w:tcBorders>
          </w:tcPr>
          <w:p w:rsidR="00040962" w:rsidRPr="009A7572" w:rsidRDefault="00040962" w:rsidP="00040962">
            <w:pPr>
              <w:pStyle w:val="Text1"/>
              <w:ind w:left="0"/>
              <w:rPr>
                <w:i/>
                <w:noProof/>
                <w:sz w:val="20"/>
                <w:szCs w:val="20"/>
                <w:lang w:val="ro-RO"/>
              </w:rPr>
            </w:pPr>
            <w:r w:rsidRPr="009A7572">
              <w:rPr>
                <w:i/>
                <w:noProof/>
                <w:sz w:val="20"/>
                <w:szCs w:val="20"/>
                <w:lang w:val="ro-RO"/>
              </w:rPr>
              <w:t>RCO</w:t>
            </w:r>
          </w:p>
          <w:p w:rsidR="00040962" w:rsidRPr="009A7572" w:rsidRDefault="00040962" w:rsidP="00040962">
            <w:pPr>
              <w:pStyle w:val="Text1"/>
              <w:ind w:left="0"/>
              <w:rPr>
                <w:i/>
                <w:noProof/>
                <w:sz w:val="20"/>
                <w:szCs w:val="20"/>
                <w:lang w:val="ro-RO"/>
              </w:rPr>
            </w:pPr>
            <w:r w:rsidRPr="009A7572">
              <w:rPr>
                <w:i/>
                <w:noProof/>
                <w:sz w:val="20"/>
                <w:szCs w:val="20"/>
              </w:rPr>
              <w:t xml:space="preserve">74 </w:t>
            </w:r>
          </w:p>
        </w:tc>
        <w:tc>
          <w:tcPr>
            <w:tcW w:w="1144" w:type="pct"/>
            <w:tcBorders>
              <w:top w:val="single" w:sz="4" w:space="0" w:color="auto"/>
              <w:left w:val="single" w:sz="4" w:space="0" w:color="auto"/>
              <w:bottom w:val="single" w:sz="4" w:space="0" w:color="auto"/>
              <w:right w:val="single" w:sz="4" w:space="0" w:color="auto"/>
            </w:tcBorders>
          </w:tcPr>
          <w:p w:rsidR="00040962" w:rsidRPr="009A7572" w:rsidRDefault="00040962" w:rsidP="00040962">
            <w:pPr>
              <w:rPr>
                <w:rFonts w:ascii="Times New Roman" w:hAnsi="Times New Roman" w:cs="Times New Roman"/>
                <w:i/>
                <w:noProof/>
                <w:sz w:val="20"/>
                <w:szCs w:val="20"/>
              </w:rPr>
            </w:pPr>
            <w:r w:rsidRPr="009A7572">
              <w:rPr>
                <w:rFonts w:eastAsia="Times New Roman"/>
                <w:color w:val="000000"/>
                <w:sz w:val="20"/>
                <w:szCs w:val="20"/>
                <w:lang w:eastAsia="en-GB"/>
              </w:rPr>
              <w:t xml:space="preserve">Population covered by </w:t>
            </w:r>
            <w:r w:rsidRPr="009A7572">
              <w:rPr>
                <w:rFonts w:eastAsia="Times New Roman"/>
                <w:bCs/>
                <w:color w:val="000000"/>
                <w:sz w:val="20"/>
                <w:szCs w:val="20"/>
                <w:lang w:eastAsia="en-GB"/>
              </w:rPr>
              <w:t>projects in the framework of</w:t>
            </w:r>
            <w:r w:rsidRPr="009A7572">
              <w:rPr>
                <w:rFonts w:eastAsia="Times New Roman"/>
                <w:color w:val="000000"/>
                <w:sz w:val="20"/>
                <w:szCs w:val="20"/>
                <w:lang w:eastAsia="en-GB"/>
              </w:rPr>
              <w:t xml:space="preserve"> strategies for integrated </w:t>
            </w:r>
            <w:r w:rsidRPr="009A7572">
              <w:rPr>
                <w:rFonts w:eastAsia="Times New Roman"/>
                <w:bCs/>
                <w:color w:val="000000"/>
                <w:sz w:val="20"/>
                <w:szCs w:val="20"/>
                <w:lang w:eastAsia="en-GB"/>
              </w:rPr>
              <w:t>territorial</w:t>
            </w:r>
            <w:r w:rsidRPr="009A7572">
              <w:rPr>
                <w:rFonts w:eastAsia="Times New Roman"/>
                <w:color w:val="000000"/>
                <w:sz w:val="20"/>
                <w:szCs w:val="20"/>
                <w:lang w:eastAsia="en-GB"/>
              </w:rPr>
              <w:t xml:space="preserve"> development</w:t>
            </w:r>
          </w:p>
        </w:tc>
        <w:tc>
          <w:tcPr>
            <w:tcW w:w="430" w:type="pct"/>
            <w:tcBorders>
              <w:top w:val="single" w:sz="4" w:space="0" w:color="auto"/>
              <w:left w:val="single" w:sz="4" w:space="0" w:color="auto"/>
              <w:bottom w:val="single" w:sz="4" w:space="0" w:color="auto"/>
              <w:right w:val="single" w:sz="4" w:space="0" w:color="auto"/>
            </w:tcBorders>
          </w:tcPr>
          <w:p w:rsidR="00040962" w:rsidRPr="006929ED" w:rsidRDefault="00040962" w:rsidP="00040962">
            <w:pPr>
              <w:spacing w:after="0" w:line="240" w:lineRule="auto"/>
              <w:jc w:val="both"/>
              <w:rPr>
                <w:rFonts w:ascii="Times New Roman" w:hAnsi="Times New Roman" w:cs="Times New Roman"/>
                <w:b/>
                <w:i/>
                <w:noProof/>
                <w:sz w:val="20"/>
                <w:szCs w:val="20"/>
              </w:rPr>
            </w:pPr>
            <w:r w:rsidRPr="006929ED">
              <w:rPr>
                <w:rFonts w:ascii="Times New Roman" w:hAnsi="Times New Roman" w:cs="Times New Roman"/>
                <w:b/>
                <w:i/>
                <w:noProof/>
                <w:sz w:val="20"/>
                <w:szCs w:val="20"/>
              </w:rPr>
              <w:t>Nr.</w:t>
            </w:r>
          </w:p>
        </w:tc>
        <w:tc>
          <w:tcPr>
            <w:tcW w:w="429" w:type="pct"/>
            <w:tcBorders>
              <w:top w:val="single" w:sz="4" w:space="0" w:color="auto"/>
              <w:left w:val="single" w:sz="4" w:space="0" w:color="auto"/>
              <w:bottom w:val="single" w:sz="4" w:space="0" w:color="auto"/>
              <w:right w:val="single" w:sz="4" w:space="0" w:color="auto"/>
            </w:tcBorders>
          </w:tcPr>
          <w:p w:rsidR="00040962" w:rsidRDefault="00040962" w:rsidP="00040962">
            <w:pPr>
              <w:spacing w:after="0" w:line="240" w:lineRule="auto"/>
              <w:jc w:val="both"/>
              <w:rPr>
                <w:rFonts w:ascii="Times New Roman" w:hAnsi="Times New Roman" w:cs="Times New Roman"/>
                <w:b/>
                <w:i/>
                <w:sz w:val="20"/>
                <w:szCs w:val="20"/>
                <w:lang w:val="en-US"/>
              </w:rPr>
            </w:pPr>
            <w:r>
              <w:rPr>
                <w:rFonts w:ascii="Times New Roman" w:hAnsi="Times New Roman" w:cs="Times New Roman"/>
                <w:b/>
                <w:i/>
                <w:sz w:val="20"/>
                <w:szCs w:val="20"/>
                <w:lang w:val="en-US"/>
              </w:rPr>
              <w:t>50,000</w:t>
            </w:r>
          </w:p>
        </w:tc>
        <w:tc>
          <w:tcPr>
            <w:tcW w:w="427" w:type="pct"/>
            <w:tcBorders>
              <w:top w:val="single" w:sz="4" w:space="0" w:color="auto"/>
              <w:left w:val="single" w:sz="4" w:space="0" w:color="auto"/>
              <w:bottom w:val="single" w:sz="4" w:space="0" w:color="auto"/>
              <w:right w:val="single" w:sz="4" w:space="0" w:color="auto"/>
            </w:tcBorders>
          </w:tcPr>
          <w:p w:rsidR="00040962" w:rsidRDefault="00040962" w:rsidP="00040962">
            <w:pPr>
              <w:spacing w:after="0" w:line="240" w:lineRule="auto"/>
              <w:jc w:val="both"/>
              <w:rPr>
                <w:rFonts w:ascii="Times New Roman" w:hAnsi="Times New Roman" w:cs="Times New Roman"/>
                <w:b/>
                <w:i/>
                <w:sz w:val="20"/>
                <w:szCs w:val="20"/>
                <w:lang w:val="en-US"/>
              </w:rPr>
            </w:pPr>
            <w:r>
              <w:rPr>
                <w:rFonts w:ascii="Times New Roman" w:hAnsi="Times New Roman" w:cs="Times New Roman"/>
                <w:b/>
                <w:i/>
                <w:sz w:val="20"/>
                <w:szCs w:val="20"/>
                <w:lang w:val="en-US"/>
              </w:rPr>
              <w:t>200,000</w:t>
            </w:r>
          </w:p>
        </w:tc>
      </w:tr>
      <w:tr w:rsidR="00040962" w:rsidRPr="00A146B8" w:rsidTr="008239CE">
        <w:trPr>
          <w:trHeight w:val="340"/>
        </w:trPr>
        <w:tc>
          <w:tcPr>
            <w:tcW w:w="355" w:type="pct"/>
            <w:vMerge/>
            <w:tcBorders>
              <w:left w:val="single" w:sz="4" w:space="0" w:color="auto"/>
              <w:bottom w:val="single" w:sz="4" w:space="0" w:color="auto"/>
              <w:right w:val="single" w:sz="4" w:space="0" w:color="auto"/>
            </w:tcBorders>
          </w:tcPr>
          <w:p w:rsidR="00040962" w:rsidRDefault="00040962" w:rsidP="00040962">
            <w:pPr>
              <w:spacing w:after="0" w:line="240" w:lineRule="auto"/>
              <w:jc w:val="both"/>
              <w:rPr>
                <w:rFonts w:ascii="Times New Roman" w:hAnsi="Times New Roman" w:cs="Times New Roman"/>
                <w:sz w:val="20"/>
                <w:szCs w:val="20"/>
              </w:rPr>
            </w:pPr>
          </w:p>
        </w:tc>
        <w:tc>
          <w:tcPr>
            <w:tcW w:w="857" w:type="pct"/>
            <w:vMerge/>
            <w:tcBorders>
              <w:left w:val="single" w:sz="4" w:space="0" w:color="auto"/>
              <w:bottom w:val="single" w:sz="4" w:space="0" w:color="auto"/>
              <w:right w:val="single" w:sz="4" w:space="0" w:color="auto"/>
            </w:tcBorders>
          </w:tcPr>
          <w:p w:rsidR="00040962" w:rsidRDefault="00040962" w:rsidP="00040962">
            <w:pPr>
              <w:spacing w:after="0" w:line="240" w:lineRule="auto"/>
              <w:jc w:val="center"/>
              <w:rPr>
                <w:rFonts w:ascii="Times New Roman" w:hAnsi="Times New Roman" w:cs="Times New Roman"/>
                <w:i/>
                <w:noProof/>
                <w:sz w:val="20"/>
                <w:szCs w:val="20"/>
                <w:lang w:val="en-GB"/>
              </w:rPr>
            </w:pPr>
          </w:p>
        </w:tc>
        <w:tc>
          <w:tcPr>
            <w:tcW w:w="358" w:type="pct"/>
            <w:vMerge/>
            <w:tcBorders>
              <w:left w:val="single" w:sz="4" w:space="0" w:color="auto"/>
              <w:bottom w:val="single" w:sz="4" w:space="0" w:color="auto"/>
              <w:right w:val="single" w:sz="4" w:space="0" w:color="auto"/>
            </w:tcBorders>
          </w:tcPr>
          <w:p w:rsidR="00040962" w:rsidRPr="00A146B8" w:rsidRDefault="00040962" w:rsidP="00040962">
            <w:pPr>
              <w:spacing w:after="0" w:line="240" w:lineRule="auto"/>
              <w:jc w:val="both"/>
              <w:rPr>
                <w:rFonts w:ascii="Times New Roman" w:hAnsi="Times New Roman" w:cs="Times New Roman"/>
                <w:b/>
                <w:i/>
                <w:sz w:val="20"/>
                <w:szCs w:val="20"/>
                <w:lang w:val="en-US"/>
              </w:rPr>
            </w:pPr>
          </w:p>
        </w:tc>
        <w:tc>
          <w:tcPr>
            <w:tcW w:w="572" w:type="pct"/>
            <w:vMerge/>
            <w:tcBorders>
              <w:left w:val="single" w:sz="4" w:space="0" w:color="auto"/>
              <w:bottom w:val="single" w:sz="4" w:space="0" w:color="auto"/>
              <w:right w:val="single" w:sz="4" w:space="0" w:color="auto"/>
            </w:tcBorders>
          </w:tcPr>
          <w:p w:rsidR="00040962" w:rsidRPr="00A146B8" w:rsidRDefault="00040962" w:rsidP="00040962">
            <w:pPr>
              <w:spacing w:after="0" w:line="240" w:lineRule="auto"/>
              <w:jc w:val="both"/>
              <w:rPr>
                <w:rFonts w:ascii="Times New Roman" w:hAnsi="Times New Roman" w:cs="Times New Roman"/>
                <w:b/>
                <w:i/>
                <w:sz w:val="20"/>
                <w:szCs w:val="20"/>
                <w:lang w:val="en-US"/>
              </w:rPr>
            </w:pPr>
          </w:p>
        </w:tc>
        <w:tc>
          <w:tcPr>
            <w:tcW w:w="428" w:type="pct"/>
            <w:tcBorders>
              <w:top w:val="single" w:sz="4" w:space="0" w:color="auto"/>
              <w:left w:val="single" w:sz="4" w:space="0" w:color="auto"/>
              <w:bottom w:val="single" w:sz="4" w:space="0" w:color="auto"/>
              <w:right w:val="single" w:sz="4" w:space="0" w:color="auto"/>
            </w:tcBorders>
          </w:tcPr>
          <w:p w:rsidR="00040962" w:rsidRPr="009A7572" w:rsidRDefault="00040962" w:rsidP="00040962">
            <w:pPr>
              <w:pStyle w:val="Text1"/>
              <w:ind w:left="0"/>
              <w:rPr>
                <w:i/>
                <w:noProof/>
                <w:sz w:val="20"/>
                <w:szCs w:val="20"/>
                <w:lang w:val="ro-RO"/>
              </w:rPr>
            </w:pPr>
            <w:r w:rsidRPr="009A7572">
              <w:rPr>
                <w:i/>
                <w:noProof/>
                <w:sz w:val="20"/>
                <w:szCs w:val="20"/>
              </w:rPr>
              <w:t>RCO (new)</w:t>
            </w:r>
          </w:p>
        </w:tc>
        <w:tc>
          <w:tcPr>
            <w:tcW w:w="1144" w:type="pct"/>
            <w:tcBorders>
              <w:top w:val="single" w:sz="4" w:space="0" w:color="auto"/>
              <w:left w:val="single" w:sz="4" w:space="0" w:color="auto"/>
              <w:bottom w:val="single" w:sz="4" w:space="0" w:color="auto"/>
              <w:right w:val="single" w:sz="4" w:space="0" w:color="auto"/>
            </w:tcBorders>
          </w:tcPr>
          <w:p w:rsidR="00040962" w:rsidRPr="009A7572" w:rsidRDefault="00040962" w:rsidP="00040962">
            <w:pPr>
              <w:rPr>
                <w:rFonts w:ascii="Times New Roman" w:hAnsi="Times New Roman" w:cs="Times New Roman"/>
                <w:i/>
                <w:noProof/>
                <w:sz w:val="20"/>
                <w:szCs w:val="20"/>
              </w:rPr>
            </w:pPr>
            <w:r w:rsidRPr="009A7572">
              <w:rPr>
                <w:rFonts w:ascii="Times New Roman" w:eastAsia="Times New Roman" w:hAnsi="Times New Roman" w:cs="Times New Roman"/>
                <w:bCs/>
                <w:color w:val="000000"/>
                <w:sz w:val="20"/>
                <w:szCs w:val="20"/>
                <w:lang w:eastAsia="en-GB"/>
              </w:rPr>
              <w:t>Open space created or rehabilitated in urban areas</w:t>
            </w:r>
          </w:p>
        </w:tc>
        <w:tc>
          <w:tcPr>
            <w:tcW w:w="430" w:type="pct"/>
            <w:tcBorders>
              <w:top w:val="single" w:sz="4" w:space="0" w:color="auto"/>
              <w:left w:val="single" w:sz="4" w:space="0" w:color="auto"/>
              <w:bottom w:val="single" w:sz="4" w:space="0" w:color="auto"/>
              <w:right w:val="single" w:sz="4" w:space="0" w:color="auto"/>
            </w:tcBorders>
          </w:tcPr>
          <w:p w:rsidR="00040962" w:rsidRPr="006929ED" w:rsidRDefault="00040962" w:rsidP="00040962">
            <w:pPr>
              <w:spacing w:after="0" w:line="240" w:lineRule="auto"/>
              <w:jc w:val="both"/>
              <w:rPr>
                <w:rFonts w:ascii="Times New Roman" w:hAnsi="Times New Roman" w:cs="Times New Roman"/>
                <w:b/>
                <w:i/>
                <w:noProof/>
                <w:sz w:val="20"/>
                <w:szCs w:val="20"/>
              </w:rPr>
            </w:pPr>
            <w:r>
              <w:rPr>
                <w:rFonts w:ascii="Times New Roman" w:hAnsi="Times New Roman" w:cs="Times New Roman"/>
                <w:b/>
                <w:i/>
                <w:noProof/>
                <w:sz w:val="20"/>
                <w:szCs w:val="20"/>
              </w:rPr>
              <w:t>mp</w:t>
            </w:r>
            <w:r w:rsidRPr="006929ED">
              <w:rPr>
                <w:rFonts w:ascii="Times New Roman" w:hAnsi="Times New Roman" w:cs="Times New Roman"/>
                <w:b/>
                <w:i/>
                <w:noProof/>
                <w:sz w:val="20"/>
                <w:szCs w:val="20"/>
              </w:rPr>
              <w:t>.</w:t>
            </w:r>
          </w:p>
        </w:tc>
        <w:tc>
          <w:tcPr>
            <w:tcW w:w="429" w:type="pct"/>
            <w:tcBorders>
              <w:top w:val="single" w:sz="4" w:space="0" w:color="auto"/>
              <w:left w:val="single" w:sz="4" w:space="0" w:color="auto"/>
              <w:bottom w:val="single" w:sz="4" w:space="0" w:color="auto"/>
              <w:right w:val="single" w:sz="4" w:space="0" w:color="auto"/>
            </w:tcBorders>
          </w:tcPr>
          <w:p w:rsidR="00040962" w:rsidRDefault="00B3176C" w:rsidP="00040962">
            <w:pPr>
              <w:spacing w:after="0" w:line="240" w:lineRule="auto"/>
              <w:jc w:val="both"/>
              <w:rPr>
                <w:rFonts w:ascii="Times New Roman" w:hAnsi="Times New Roman" w:cs="Times New Roman"/>
                <w:b/>
                <w:i/>
                <w:sz w:val="20"/>
                <w:szCs w:val="20"/>
                <w:lang w:val="en-US"/>
              </w:rPr>
            </w:pPr>
            <w:r>
              <w:rPr>
                <w:rFonts w:ascii="Times New Roman" w:hAnsi="Times New Roman" w:cs="Times New Roman"/>
                <w:b/>
                <w:i/>
                <w:sz w:val="20"/>
                <w:szCs w:val="20"/>
                <w:lang w:val="en-US"/>
              </w:rPr>
              <w:t>10</w:t>
            </w:r>
            <w:r w:rsidR="00040962">
              <w:rPr>
                <w:rFonts w:ascii="Times New Roman" w:hAnsi="Times New Roman" w:cs="Times New Roman"/>
                <w:b/>
                <w:i/>
                <w:sz w:val="20"/>
                <w:szCs w:val="20"/>
                <w:lang w:val="en-US"/>
              </w:rPr>
              <w:t>,000</w:t>
            </w:r>
          </w:p>
        </w:tc>
        <w:tc>
          <w:tcPr>
            <w:tcW w:w="427" w:type="pct"/>
            <w:tcBorders>
              <w:top w:val="single" w:sz="4" w:space="0" w:color="auto"/>
              <w:left w:val="single" w:sz="4" w:space="0" w:color="auto"/>
              <w:bottom w:val="single" w:sz="4" w:space="0" w:color="auto"/>
              <w:right w:val="single" w:sz="4" w:space="0" w:color="auto"/>
            </w:tcBorders>
          </w:tcPr>
          <w:p w:rsidR="00040962" w:rsidRDefault="00B3176C" w:rsidP="00040962">
            <w:pPr>
              <w:spacing w:after="0" w:line="240" w:lineRule="auto"/>
              <w:jc w:val="both"/>
              <w:rPr>
                <w:rFonts w:ascii="Times New Roman" w:hAnsi="Times New Roman" w:cs="Times New Roman"/>
                <w:b/>
                <w:i/>
                <w:sz w:val="20"/>
                <w:szCs w:val="20"/>
                <w:lang w:val="en-US"/>
              </w:rPr>
            </w:pPr>
            <w:r>
              <w:rPr>
                <w:rFonts w:ascii="Times New Roman" w:hAnsi="Times New Roman" w:cs="Times New Roman"/>
                <w:b/>
                <w:i/>
                <w:sz w:val="20"/>
                <w:szCs w:val="20"/>
                <w:lang w:val="en-US"/>
              </w:rPr>
              <w:t>40</w:t>
            </w:r>
            <w:r w:rsidR="00040962">
              <w:rPr>
                <w:rFonts w:ascii="Times New Roman" w:hAnsi="Times New Roman" w:cs="Times New Roman"/>
                <w:b/>
                <w:i/>
                <w:sz w:val="20"/>
                <w:szCs w:val="20"/>
                <w:lang w:val="en-US"/>
              </w:rPr>
              <w:t>,000</w:t>
            </w:r>
          </w:p>
        </w:tc>
      </w:tr>
    </w:tbl>
    <w:p w:rsidR="009731AC" w:rsidRPr="006A3B94" w:rsidRDefault="009731AC" w:rsidP="009731AC">
      <w:pPr>
        <w:spacing w:after="0" w:line="240" w:lineRule="auto"/>
        <w:rPr>
          <w:rFonts w:ascii="Times New Roman" w:hAnsi="Times New Roman" w:cs="Times New Roman"/>
          <w:sz w:val="24"/>
          <w:szCs w:val="24"/>
          <w:lang w:val="en-GB"/>
        </w:rPr>
      </w:pPr>
    </w:p>
    <w:tbl>
      <w:tblPr>
        <w:tblW w:w="53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1"/>
        <w:gridCol w:w="1599"/>
        <w:gridCol w:w="724"/>
        <w:gridCol w:w="1016"/>
        <w:gridCol w:w="803"/>
        <w:gridCol w:w="1662"/>
        <w:gridCol w:w="727"/>
        <w:gridCol w:w="727"/>
        <w:gridCol w:w="435"/>
        <w:gridCol w:w="581"/>
        <w:gridCol w:w="876"/>
        <w:gridCol w:w="824"/>
        <w:gridCol w:w="15"/>
      </w:tblGrid>
      <w:tr w:rsidR="009731AC" w:rsidRPr="002F0872" w:rsidTr="008239CE">
        <w:trPr>
          <w:trHeight w:val="221"/>
        </w:trPr>
        <w:tc>
          <w:tcPr>
            <w:tcW w:w="5000" w:type="pct"/>
            <w:gridSpan w:val="13"/>
            <w:tcBorders>
              <w:top w:val="single" w:sz="4" w:space="0" w:color="auto"/>
              <w:left w:val="single" w:sz="4" w:space="0" w:color="auto"/>
              <w:bottom w:val="single" w:sz="4" w:space="0" w:color="auto"/>
              <w:right w:val="single" w:sz="4" w:space="0" w:color="auto"/>
            </w:tcBorders>
            <w:hideMark/>
          </w:tcPr>
          <w:p w:rsidR="009731AC" w:rsidRPr="002F0872" w:rsidRDefault="009731AC" w:rsidP="008239CE">
            <w:pPr>
              <w:spacing w:after="0" w:line="240" w:lineRule="auto"/>
              <w:rPr>
                <w:rFonts w:ascii="Times New Roman" w:hAnsi="Times New Roman" w:cs="Times New Roman"/>
                <w:b/>
                <w:sz w:val="20"/>
                <w:szCs w:val="20"/>
                <w:lang w:val="en-US"/>
              </w:rPr>
            </w:pPr>
            <w:r w:rsidRPr="002F0872">
              <w:rPr>
                <w:rFonts w:ascii="Times New Roman" w:hAnsi="Times New Roman" w:cs="Times New Roman"/>
                <w:b/>
                <w:iCs/>
                <w:sz w:val="20"/>
                <w:szCs w:val="20"/>
                <w:lang w:val="en-US"/>
              </w:rPr>
              <w:t>Table 3: Result indicators</w:t>
            </w:r>
          </w:p>
        </w:tc>
      </w:tr>
      <w:tr w:rsidR="009731AC" w:rsidRPr="002F0872" w:rsidTr="008239CE">
        <w:trPr>
          <w:gridAfter w:val="1"/>
          <w:wAfter w:w="7" w:type="pct"/>
          <w:trHeight w:val="1024"/>
        </w:trPr>
        <w:tc>
          <w:tcPr>
            <w:tcW w:w="271" w:type="pct"/>
            <w:tcBorders>
              <w:top w:val="single" w:sz="4" w:space="0" w:color="auto"/>
              <w:left w:val="single" w:sz="4" w:space="0" w:color="auto"/>
              <w:bottom w:val="single" w:sz="4" w:space="0" w:color="auto"/>
              <w:right w:val="single" w:sz="4" w:space="0" w:color="auto"/>
            </w:tcBorders>
            <w:hideMark/>
          </w:tcPr>
          <w:p w:rsidR="009731AC" w:rsidRPr="002F0872" w:rsidRDefault="009731AC" w:rsidP="008239CE">
            <w:pPr>
              <w:spacing w:after="0" w:line="240" w:lineRule="auto"/>
              <w:rPr>
                <w:rFonts w:ascii="Times New Roman" w:hAnsi="Times New Roman" w:cs="Times New Roman"/>
                <w:b/>
                <w:sz w:val="20"/>
                <w:szCs w:val="20"/>
                <w:lang w:val="en-US"/>
              </w:rPr>
            </w:pPr>
            <w:r w:rsidRPr="002F0872">
              <w:rPr>
                <w:rFonts w:ascii="Times New Roman" w:hAnsi="Times New Roman" w:cs="Times New Roman"/>
                <w:b/>
                <w:sz w:val="20"/>
                <w:szCs w:val="20"/>
                <w:lang w:val="en-US"/>
              </w:rPr>
              <w:t xml:space="preserve">Priority </w:t>
            </w:r>
          </w:p>
        </w:tc>
        <w:tc>
          <w:tcPr>
            <w:tcW w:w="757" w:type="pct"/>
            <w:tcBorders>
              <w:top w:val="single" w:sz="4" w:space="0" w:color="auto"/>
              <w:left w:val="single" w:sz="4" w:space="0" w:color="auto"/>
              <w:bottom w:val="single" w:sz="4" w:space="0" w:color="auto"/>
              <w:right w:val="single" w:sz="4" w:space="0" w:color="auto"/>
            </w:tcBorders>
            <w:hideMark/>
          </w:tcPr>
          <w:p w:rsidR="009731AC" w:rsidRPr="002F0872" w:rsidRDefault="009731AC" w:rsidP="008239CE">
            <w:pPr>
              <w:spacing w:after="0" w:line="240" w:lineRule="auto"/>
              <w:rPr>
                <w:rFonts w:ascii="Times New Roman" w:hAnsi="Times New Roman" w:cs="Times New Roman"/>
                <w:b/>
                <w:sz w:val="20"/>
                <w:szCs w:val="20"/>
                <w:lang w:val="en-US"/>
              </w:rPr>
            </w:pPr>
            <w:r w:rsidRPr="002F0872">
              <w:rPr>
                <w:rFonts w:ascii="Times New Roman" w:hAnsi="Times New Roman" w:cs="Times New Roman"/>
                <w:b/>
                <w:sz w:val="20"/>
                <w:szCs w:val="20"/>
                <w:lang w:val="en-US"/>
              </w:rPr>
              <w:t>Specific objective (Investment for Jobs and Growth goal or EMFF)</w:t>
            </w:r>
          </w:p>
        </w:tc>
        <w:tc>
          <w:tcPr>
            <w:tcW w:w="343" w:type="pct"/>
            <w:tcBorders>
              <w:top w:val="single" w:sz="4" w:space="0" w:color="auto"/>
              <w:left w:val="single" w:sz="4" w:space="0" w:color="auto"/>
              <w:bottom w:val="single" w:sz="4" w:space="0" w:color="auto"/>
              <w:right w:val="single" w:sz="4" w:space="0" w:color="auto"/>
            </w:tcBorders>
            <w:hideMark/>
          </w:tcPr>
          <w:p w:rsidR="009731AC" w:rsidRPr="002F0872" w:rsidRDefault="009731AC" w:rsidP="008239CE">
            <w:pPr>
              <w:spacing w:after="0" w:line="240" w:lineRule="auto"/>
              <w:rPr>
                <w:rFonts w:ascii="Times New Roman" w:hAnsi="Times New Roman" w:cs="Times New Roman"/>
                <w:b/>
                <w:sz w:val="20"/>
                <w:szCs w:val="20"/>
                <w:lang w:val="en-US"/>
              </w:rPr>
            </w:pPr>
            <w:r w:rsidRPr="002F0872">
              <w:rPr>
                <w:rFonts w:ascii="Times New Roman" w:hAnsi="Times New Roman" w:cs="Times New Roman"/>
                <w:b/>
                <w:sz w:val="20"/>
                <w:szCs w:val="20"/>
                <w:lang w:val="en-US"/>
              </w:rPr>
              <w:t>Fund</w:t>
            </w:r>
          </w:p>
        </w:tc>
        <w:tc>
          <w:tcPr>
            <w:tcW w:w="481" w:type="pct"/>
            <w:tcBorders>
              <w:top w:val="single" w:sz="4" w:space="0" w:color="auto"/>
              <w:left w:val="single" w:sz="4" w:space="0" w:color="auto"/>
              <w:bottom w:val="single" w:sz="4" w:space="0" w:color="auto"/>
              <w:right w:val="single" w:sz="4" w:space="0" w:color="auto"/>
            </w:tcBorders>
            <w:hideMark/>
          </w:tcPr>
          <w:p w:rsidR="009731AC" w:rsidRPr="002F0872" w:rsidRDefault="009731AC" w:rsidP="008239CE">
            <w:pPr>
              <w:spacing w:after="0" w:line="240" w:lineRule="auto"/>
              <w:rPr>
                <w:rFonts w:ascii="Times New Roman" w:hAnsi="Times New Roman" w:cs="Times New Roman"/>
                <w:b/>
                <w:sz w:val="20"/>
                <w:szCs w:val="20"/>
                <w:lang w:val="en-US"/>
              </w:rPr>
            </w:pPr>
            <w:r w:rsidRPr="002F0872">
              <w:rPr>
                <w:rFonts w:ascii="Times New Roman" w:hAnsi="Times New Roman" w:cs="Times New Roman"/>
                <w:b/>
                <w:sz w:val="20"/>
                <w:szCs w:val="20"/>
                <w:lang w:val="en-US"/>
              </w:rPr>
              <w:t>Category of region</w:t>
            </w:r>
            <w:r w:rsidRPr="002F0872">
              <w:rPr>
                <w:rFonts w:ascii="Times New Roman" w:hAnsi="Times New Roman" w:cs="Times New Roman"/>
                <w:sz w:val="20"/>
                <w:szCs w:val="20"/>
                <w:lang w:val="en-US"/>
              </w:rPr>
              <w:t xml:space="preserve"> </w:t>
            </w:r>
          </w:p>
        </w:tc>
        <w:tc>
          <w:tcPr>
            <w:tcW w:w="380" w:type="pct"/>
            <w:tcBorders>
              <w:top w:val="single" w:sz="4" w:space="0" w:color="auto"/>
              <w:left w:val="single" w:sz="4" w:space="0" w:color="auto"/>
              <w:bottom w:val="single" w:sz="4" w:space="0" w:color="auto"/>
              <w:right w:val="single" w:sz="4" w:space="0" w:color="auto"/>
            </w:tcBorders>
            <w:hideMark/>
          </w:tcPr>
          <w:p w:rsidR="009731AC" w:rsidRPr="002F0872" w:rsidRDefault="009731AC" w:rsidP="008239CE">
            <w:pPr>
              <w:spacing w:after="0" w:line="240" w:lineRule="auto"/>
              <w:rPr>
                <w:rFonts w:ascii="Times New Roman" w:hAnsi="Times New Roman" w:cs="Times New Roman"/>
                <w:b/>
                <w:sz w:val="20"/>
                <w:szCs w:val="20"/>
                <w:lang w:val="en-US"/>
              </w:rPr>
            </w:pPr>
            <w:r w:rsidRPr="002F0872">
              <w:rPr>
                <w:rFonts w:ascii="Times New Roman" w:hAnsi="Times New Roman" w:cs="Times New Roman"/>
                <w:b/>
                <w:sz w:val="20"/>
                <w:szCs w:val="20"/>
                <w:lang w:val="en-US"/>
              </w:rPr>
              <w:t>ID [5]</w:t>
            </w:r>
          </w:p>
        </w:tc>
        <w:tc>
          <w:tcPr>
            <w:tcW w:w="787" w:type="pct"/>
            <w:tcBorders>
              <w:top w:val="single" w:sz="4" w:space="0" w:color="auto"/>
              <w:left w:val="single" w:sz="4" w:space="0" w:color="auto"/>
              <w:bottom w:val="single" w:sz="4" w:space="0" w:color="auto"/>
              <w:right w:val="single" w:sz="4" w:space="0" w:color="auto"/>
            </w:tcBorders>
            <w:hideMark/>
          </w:tcPr>
          <w:p w:rsidR="009731AC" w:rsidRPr="002F0872" w:rsidRDefault="009731AC" w:rsidP="008239CE">
            <w:pPr>
              <w:spacing w:after="0" w:line="240" w:lineRule="auto"/>
              <w:rPr>
                <w:rFonts w:ascii="Times New Roman" w:hAnsi="Times New Roman" w:cs="Times New Roman"/>
                <w:b/>
                <w:sz w:val="20"/>
                <w:szCs w:val="20"/>
                <w:lang w:val="en-US"/>
              </w:rPr>
            </w:pPr>
            <w:r w:rsidRPr="002F0872">
              <w:rPr>
                <w:rFonts w:ascii="Times New Roman" w:hAnsi="Times New Roman" w:cs="Times New Roman"/>
                <w:b/>
                <w:sz w:val="20"/>
                <w:szCs w:val="20"/>
                <w:lang w:val="en-US"/>
              </w:rPr>
              <w:t>Indicator [255]</w:t>
            </w:r>
          </w:p>
        </w:tc>
        <w:tc>
          <w:tcPr>
            <w:tcW w:w="344" w:type="pct"/>
            <w:tcBorders>
              <w:top w:val="single" w:sz="4" w:space="0" w:color="auto"/>
              <w:left w:val="single" w:sz="4" w:space="0" w:color="auto"/>
              <w:bottom w:val="single" w:sz="4" w:space="0" w:color="auto"/>
              <w:right w:val="single" w:sz="4" w:space="0" w:color="auto"/>
            </w:tcBorders>
            <w:hideMark/>
          </w:tcPr>
          <w:p w:rsidR="009731AC" w:rsidRPr="002F0872" w:rsidRDefault="009731AC" w:rsidP="008239CE">
            <w:pPr>
              <w:spacing w:after="0" w:line="240" w:lineRule="auto"/>
              <w:rPr>
                <w:rFonts w:ascii="Times New Roman" w:hAnsi="Times New Roman" w:cs="Times New Roman"/>
                <w:b/>
                <w:sz w:val="20"/>
                <w:szCs w:val="20"/>
                <w:lang w:val="en-US"/>
              </w:rPr>
            </w:pPr>
            <w:r w:rsidRPr="002F0872">
              <w:rPr>
                <w:rFonts w:ascii="Times New Roman" w:hAnsi="Times New Roman" w:cs="Times New Roman"/>
                <w:b/>
                <w:sz w:val="20"/>
                <w:szCs w:val="20"/>
                <w:lang w:val="en-US"/>
              </w:rPr>
              <w:t>Measurement unit</w:t>
            </w:r>
          </w:p>
        </w:tc>
        <w:tc>
          <w:tcPr>
            <w:tcW w:w="344" w:type="pct"/>
            <w:tcBorders>
              <w:top w:val="single" w:sz="4" w:space="0" w:color="auto"/>
              <w:left w:val="single" w:sz="4" w:space="0" w:color="auto"/>
              <w:bottom w:val="single" w:sz="4" w:space="0" w:color="auto"/>
              <w:right w:val="single" w:sz="4" w:space="0" w:color="auto"/>
            </w:tcBorders>
            <w:hideMark/>
          </w:tcPr>
          <w:p w:rsidR="009731AC" w:rsidRPr="002F0872" w:rsidRDefault="009731AC" w:rsidP="008239CE">
            <w:pPr>
              <w:spacing w:after="0" w:line="240" w:lineRule="auto"/>
              <w:rPr>
                <w:rFonts w:ascii="Times New Roman" w:hAnsi="Times New Roman" w:cs="Times New Roman"/>
                <w:b/>
                <w:sz w:val="20"/>
                <w:szCs w:val="20"/>
                <w:lang w:val="en-US"/>
              </w:rPr>
            </w:pPr>
            <w:r w:rsidRPr="002F0872">
              <w:rPr>
                <w:rFonts w:ascii="Times New Roman" w:hAnsi="Times New Roman" w:cs="Times New Roman"/>
                <w:b/>
                <w:sz w:val="20"/>
                <w:szCs w:val="20"/>
                <w:lang w:val="en-US"/>
              </w:rPr>
              <w:t>Baseline or reference value</w:t>
            </w:r>
          </w:p>
        </w:tc>
        <w:tc>
          <w:tcPr>
            <w:tcW w:w="206" w:type="pct"/>
            <w:tcBorders>
              <w:top w:val="single" w:sz="4" w:space="0" w:color="auto"/>
              <w:left w:val="single" w:sz="4" w:space="0" w:color="auto"/>
              <w:bottom w:val="single" w:sz="4" w:space="0" w:color="auto"/>
              <w:right w:val="single" w:sz="4" w:space="0" w:color="auto"/>
            </w:tcBorders>
            <w:hideMark/>
          </w:tcPr>
          <w:p w:rsidR="009731AC" w:rsidRPr="002F0872" w:rsidRDefault="009731AC" w:rsidP="008239CE">
            <w:pPr>
              <w:spacing w:after="0" w:line="240" w:lineRule="auto"/>
              <w:rPr>
                <w:rFonts w:ascii="Times New Roman" w:hAnsi="Times New Roman" w:cs="Times New Roman"/>
                <w:b/>
                <w:sz w:val="20"/>
                <w:szCs w:val="20"/>
                <w:lang w:val="en-US"/>
              </w:rPr>
            </w:pPr>
            <w:r w:rsidRPr="002F0872">
              <w:rPr>
                <w:rFonts w:ascii="Times New Roman" w:hAnsi="Times New Roman" w:cs="Times New Roman"/>
                <w:b/>
                <w:sz w:val="20"/>
                <w:szCs w:val="20"/>
                <w:lang w:val="en-US"/>
              </w:rPr>
              <w:t>Reference year</w:t>
            </w:r>
          </w:p>
        </w:tc>
        <w:tc>
          <w:tcPr>
            <w:tcW w:w="275" w:type="pct"/>
            <w:tcBorders>
              <w:top w:val="single" w:sz="4" w:space="0" w:color="auto"/>
              <w:left w:val="single" w:sz="4" w:space="0" w:color="auto"/>
              <w:bottom w:val="single" w:sz="4" w:space="0" w:color="auto"/>
              <w:right w:val="single" w:sz="4" w:space="0" w:color="auto"/>
            </w:tcBorders>
          </w:tcPr>
          <w:p w:rsidR="009731AC" w:rsidRPr="002F0872" w:rsidRDefault="009731AC" w:rsidP="008239CE">
            <w:pPr>
              <w:spacing w:after="0" w:line="240" w:lineRule="auto"/>
              <w:rPr>
                <w:rFonts w:ascii="Times New Roman" w:hAnsi="Times New Roman" w:cs="Times New Roman"/>
                <w:b/>
                <w:sz w:val="20"/>
                <w:szCs w:val="20"/>
                <w:lang w:val="en-US"/>
              </w:rPr>
            </w:pPr>
            <w:r w:rsidRPr="002F0872">
              <w:rPr>
                <w:rFonts w:ascii="Times New Roman" w:hAnsi="Times New Roman" w:cs="Times New Roman"/>
                <w:b/>
                <w:sz w:val="20"/>
                <w:szCs w:val="20"/>
                <w:lang w:val="en-US"/>
              </w:rPr>
              <w:t>Target (2029)</w:t>
            </w:r>
          </w:p>
          <w:p w:rsidR="009731AC" w:rsidRPr="002F0872" w:rsidRDefault="009731AC" w:rsidP="008239CE">
            <w:pPr>
              <w:spacing w:after="0" w:line="240" w:lineRule="auto"/>
              <w:rPr>
                <w:rFonts w:ascii="Times New Roman" w:hAnsi="Times New Roman" w:cs="Times New Roman"/>
                <w:b/>
                <w:sz w:val="20"/>
                <w:szCs w:val="20"/>
                <w:lang w:val="en-US"/>
              </w:rPr>
            </w:pPr>
          </w:p>
        </w:tc>
        <w:tc>
          <w:tcPr>
            <w:tcW w:w="415" w:type="pct"/>
            <w:tcBorders>
              <w:top w:val="single" w:sz="4" w:space="0" w:color="auto"/>
              <w:left w:val="single" w:sz="4" w:space="0" w:color="auto"/>
              <w:bottom w:val="single" w:sz="4" w:space="0" w:color="auto"/>
              <w:right w:val="single" w:sz="4" w:space="0" w:color="auto"/>
            </w:tcBorders>
            <w:hideMark/>
          </w:tcPr>
          <w:p w:rsidR="009731AC" w:rsidRPr="002F0872" w:rsidRDefault="009731AC" w:rsidP="008239CE">
            <w:pPr>
              <w:spacing w:after="0" w:line="240" w:lineRule="auto"/>
              <w:rPr>
                <w:rFonts w:ascii="Times New Roman" w:hAnsi="Times New Roman" w:cs="Times New Roman"/>
                <w:b/>
                <w:sz w:val="20"/>
                <w:szCs w:val="20"/>
                <w:lang w:val="en-US"/>
              </w:rPr>
            </w:pPr>
            <w:r w:rsidRPr="002F0872">
              <w:rPr>
                <w:rFonts w:ascii="Times New Roman" w:hAnsi="Times New Roman" w:cs="Times New Roman"/>
                <w:b/>
                <w:sz w:val="20"/>
                <w:szCs w:val="20"/>
                <w:lang w:val="en-US"/>
              </w:rPr>
              <w:t>Source of data [200]</w:t>
            </w:r>
          </w:p>
        </w:tc>
        <w:tc>
          <w:tcPr>
            <w:tcW w:w="390" w:type="pct"/>
            <w:tcBorders>
              <w:top w:val="single" w:sz="4" w:space="0" w:color="auto"/>
              <w:left w:val="single" w:sz="4" w:space="0" w:color="auto"/>
              <w:bottom w:val="single" w:sz="4" w:space="0" w:color="auto"/>
              <w:right w:val="single" w:sz="4" w:space="0" w:color="auto"/>
            </w:tcBorders>
            <w:hideMark/>
          </w:tcPr>
          <w:p w:rsidR="009731AC" w:rsidRPr="002F0872" w:rsidRDefault="009731AC" w:rsidP="008239CE">
            <w:pPr>
              <w:spacing w:after="0" w:line="240" w:lineRule="auto"/>
              <w:rPr>
                <w:rFonts w:ascii="Times New Roman" w:hAnsi="Times New Roman" w:cs="Times New Roman"/>
                <w:b/>
                <w:sz w:val="20"/>
                <w:szCs w:val="20"/>
                <w:lang w:val="en-US"/>
              </w:rPr>
            </w:pPr>
            <w:r w:rsidRPr="002F0872">
              <w:rPr>
                <w:rFonts w:ascii="Times New Roman" w:hAnsi="Times New Roman" w:cs="Times New Roman"/>
                <w:b/>
                <w:sz w:val="20"/>
                <w:szCs w:val="20"/>
                <w:lang w:val="en-US"/>
              </w:rPr>
              <w:t>Comments [200]</w:t>
            </w:r>
          </w:p>
        </w:tc>
      </w:tr>
      <w:tr w:rsidR="00040962" w:rsidRPr="002F0872" w:rsidTr="008239CE">
        <w:trPr>
          <w:gridAfter w:val="1"/>
          <w:wAfter w:w="7" w:type="pct"/>
          <w:trHeight w:val="353"/>
        </w:trPr>
        <w:tc>
          <w:tcPr>
            <w:tcW w:w="271" w:type="pct"/>
            <w:tcBorders>
              <w:top w:val="single" w:sz="4" w:space="0" w:color="auto"/>
              <w:left w:val="single" w:sz="4" w:space="0" w:color="auto"/>
              <w:bottom w:val="single" w:sz="4" w:space="0" w:color="auto"/>
              <w:right w:val="single" w:sz="4" w:space="0" w:color="auto"/>
            </w:tcBorders>
          </w:tcPr>
          <w:p w:rsidR="00040962" w:rsidRPr="00A146B8" w:rsidRDefault="00040962" w:rsidP="0004096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6.0</w:t>
            </w:r>
            <w:r w:rsidRPr="00A146B8">
              <w:rPr>
                <w:rFonts w:ascii="Times New Roman" w:hAnsi="Times New Roman" w:cs="Times New Roman"/>
                <w:sz w:val="20"/>
                <w:szCs w:val="20"/>
              </w:rPr>
              <w:t xml:space="preserve"> </w:t>
            </w:r>
          </w:p>
          <w:p w:rsidR="00040962" w:rsidRPr="00A146B8" w:rsidRDefault="00040962" w:rsidP="00040962">
            <w:pPr>
              <w:spacing w:after="0" w:line="240" w:lineRule="auto"/>
              <w:jc w:val="both"/>
              <w:rPr>
                <w:rFonts w:ascii="Times New Roman" w:hAnsi="Times New Roman" w:cs="Times New Roman"/>
                <w:sz w:val="20"/>
                <w:szCs w:val="20"/>
              </w:rPr>
            </w:pPr>
          </w:p>
          <w:p w:rsidR="00040962" w:rsidRPr="002F0872" w:rsidRDefault="00040962" w:rsidP="00040962">
            <w:pPr>
              <w:spacing w:after="0" w:line="240" w:lineRule="auto"/>
              <w:rPr>
                <w:rFonts w:ascii="Times New Roman" w:hAnsi="Times New Roman" w:cs="Times New Roman"/>
                <w:i/>
                <w:sz w:val="20"/>
                <w:szCs w:val="20"/>
                <w:lang w:val="en-US"/>
              </w:rPr>
            </w:pPr>
          </w:p>
        </w:tc>
        <w:tc>
          <w:tcPr>
            <w:tcW w:w="757" w:type="pct"/>
            <w:tcBorders>
              <w:top w:val="single" w:sz="4" w:space="0" w:color="auto"/>
              <w:left w:val="single" w:sz="4" w:space="0" w:color="auto"/>
              <w:bottom w:val="single" w:sz="4" w:space="0" w:color="auto"/>
              <w:right w:val="single" w:sz="4" w:space="0" w:color="auto"/>
            </w:tcBorders>
          </w:tcPr>
          <w:p w:rsidR="00040962" w:rsidRPr="002F0872" w:rsidRDefault="00040962" w:rsidP="00040962">
            <w:pPr>
              <w:spacing w:after="0" w:line="240" w:lineRule="auto"/>
              <w:jc w:val="center"/>
              <w:rPr>
                <w:rFonts w:ascii="Times New Roman" w:hAnsi="Times New Roman" w:cs="Times New Roman"/>
                <w:i/>
                <w:sz w:val="20"/>
                <w:szCs w:val="20"/>
                <w:lang w:val="en-US"/>
              </w:rPr>
            </w:pPr>
            <w:r>
              <w:rPr>
                <w:rFonts w:ascii="Times New Roman" w:hAnsi="Times New Roman" w:cs="Times New Roman"/>
                <w:i/>
                <w:noProof/>
                <w:sz w:val="20"/>
                <w:szCs w:val="20"/>
                <w:lang w:val="en-GB"/>
              </w:rPr>
              <w:t>e (i</w:t>
            </w:r>
            <w:r w:rsidRPr="00BC31E0">
              <w:rPr>
                <w:rFonts w:ascii="Times New Roman" w:hAnsi="Times New Roman" w:cs="Times New Roman"/>
                <w:i/>
                <w:noProof/>
                <w:sz w:val="20"/>
                <w:szCs w:val="20"/>
                <w:lang w:val="en-GB"/>
              </w:rPr>
              <w:t xml:space="preserve">) </w:t>
            </w:r>
            <w:r w:rsidRPr="00BC31E0">
              <w:rPr>
                <w:rFonts w:ascii="Times New Roman" w:eastAsia="Times New Roman" w:hAnsi="Times New Roman" w:cs="Times New Roman"/>
                <w:i/>
                <w:iCs/>
                <w:noProof/>
                <w:sz w:val="20"/>
                <w:szCs w:val="20"/>
              </w:rPr>
              <w:t>Promovarea dezvoltării integrate în domeniul social, economic și al mediului la nivel local, a patrimoni</w:t>
            </w:r>
            <w:r>
              <w:rPr>
                <w:rFonts w:ascii="Times New Roman" w:eastAsia="Times New Roman" w:hAnsi="Times New Roman" w:cs="Times New Roman"/>
                <w:i/>
                <w:iCs/>
                <w:noProof/>
                <w:sz w:val="20"/>
                <w:szCs w:val="20"/>
              </w:rPr>
              <w:t>ului cultural și a securității in zonele urbane</w:t>
            </w:r>
          </w:p>
        </w:tc>
        <w:tc>
          <w:tcPr>
            <w:tcW w:w="343" w:type="pct"/>
            <w:tcBorders>
              <w:top w:val="single" w:sz="4" w:space="0" w:color="auto"/>
              <w:left w:val="single" w:sz="4" w:space="0" w:color="auto"/>
              <w:bottom w:val="single" w:sz="4" w:space="0" w:color="auto"/>
              <w:right w:val="single" w:sz="4" w:space="0" w:color="auto"/>
            </w:tcBorders>
          </w:tcPr>
          <w:p w:rsidR="00040962" w:rsidRPr="002F0872" w:rsidRDefault="00040962" w:rsidP="00040962">
            <w:pPr>
              <w:spacing w:after="0" w:line="240" w:lineRule="auto"/>
              <w:rPr>
                <w:rFonts w:ascii="Times New Roman" w:hAnsi="Times New Roman" w:cs="Times New Roman"/>
                <w:i/>
                <w:sz w:val="20"/>
                <w:szCs w:val="20"/>
                <w:lang w:val="en-US"/>
              </w:rPr>
            </w:pPr>
            <w:r w:rsidRPr="002F0872">
              <w:rPr>
                <w:rFonts w:ascii="Times New Roman" w:hAnsi="Times New Roman" w:cs="Times New Roman"/>
                <w:b/>
                <w:i/>
                <w:noProof/>
                <w:sz w:val="20"/>
                <w:szCs w:val="20"/>
              </w:rPr>
              <w:t>FEDR</w:t>
            </w:r>
          </w:p>
        </w:tc>
        <w:tc>
          <w:tcPr>
            <w:tcW w:w="481" w:type="pct"/>
            <w:tcBorders>
              <w:top w:val="single" w:sz="4" w:space="0" w:color="auto"/>
              <w:left w:val="single" w:sz="4" w:space="0" w:color="auto"/>
              <w:bottom w:val="single" w:sz="4" w:space="0" w:color="auto"/>
              <w:right w:val="single" w:sz="4" w:space="0" w:color="auto"/>
            </w:tcBorders>
          </w:tcPr>
          <w:p w:rsidR="00040962" w:rsidRPr="002F0872" w:rsidRDefault="00040962" w:rsidP="00040962">
            <w:pPr>
              <w:spacing w:after="0" w:line="240" w:lineRule="auto"/>
              <w:rPr>
                <w:rFonts w:ascii="Times New Roman" w:hAnsi="Times New Roman" w:cs="Times New Roman"/>
                <w:i/>
                <w:sz w:val="20"/>
                <w:szCs w:val="20"/>
                <w:lang w:val="en-US"/>
              </w:rPr>
            </w:pPr>
            <w:r w:rsidRPr="002F0872">
              <w:rPr>
                <w:rFonts w:ascii="Times New Roman" w:hAnsi="Times New Roman" w:cs="Times New Roman"/>
                <w:b/>
                <w:i/>
                <w:noProof/>
                <w:sz w:val="20"/>
                <w:szCs w:val="20"/>
              </w:rPr>
              <w:t>Mai putin dezvoltata</w:t>
            </w:r>
          </w:p>
        </w:tc>
        <w:tc>
          <w:tcPr>
            <w:tcW w:w="380" w:type="pct"/>
            <w:tcBorders>
              <w:top w:val="single" w:sz="4" w:space="0" w:color="auto"/>
              <w:left w:val="single" w:sz="4" w:space="0" w:color="auto"/>
              <w:bottom w:val="single" w:sz="4" w:space="0" w:color="auto"/>
              <w:right w:val="single" w:sz="4" w:space="0" w:color="auto"/>
            </w:tcBorders>
          </w:tcPr>
          <w:p w:rsidR="00040962" w:rsidRPr="006929ED" w:rsidRDefault="00040962" w:rsidP="00040962">
            <w:pPr>
              <w:pStyle w:val="Text1"/>
              <w:ind w:left="0"/>
              <w:rPr>
                <w:i/>
                <w:noProof/>
                <w:sz w:val="20"/>
                <w:szCs w:val="20"/>
                <w:lang w:val="ro-RO"/>
              </w:rPr>
            </w:pPr>
            <w:r w:rsidRPr="006929ED">
              <w:rPr>
                <w:i/>
                <w:noProof/>
                <w:sz w:val="20"/>
                <w:szCs w:val="20"/>
                <w:lang w:val="ro-RO"/>
              </w:rPr>
              <w:t>RCR 77</w:t>
            </w:r>
          </w:p>
          <w:p w:rsidR="00040962" w:rsidRPr="006929ED" w:rsidRDefault="00040962" w:rsidP="00040962">
            <w:pPr>
              <w:spacing w:after="0" w:line="240" w:lineRule="auto"/>
              <w:rPr>
                <w:rFonts w:ascii="Times New Roman" w:hAnsi="Times New Roman" w:cs="Times New Roman"/>
                <w:i/>
                <w:sz w:val="20"/>
                <w:szCs w:val="20"/>
                <w:lang w:val="en-US"/>
              </w:rPr>
            </w:pPr>
          </w:p>
        </w:tc>
        <w:tc>
          <w:tcPr>
            <w:tcW w:w="787" w:type="pct"/>
            <w:tcBorders>
              <w:top w:val="single" w:sz="4" w:space="0" w:color="auto"/>
              <w:left w:val="single" w:sz="4" w:space="0" w:color="auto"/>
              <w:bottom w:val="single" w:sz="4" w:space="0" w:color="auto"/>
              <w:right w:val="single" w:sz="4" w:space="0" w:color="auto"/>
            </w:tcBorders>
          </w:tcPr>
          <w:p w:rsidR="00040962" w:rsidRPr="006929ED" w:rsidRDefault="00040962" w:rsidP="00040962">
            <w:pPr>
              <w:rPr>
                <w:rFonts w:ascii="Times New Roman" w:hAnsi="Times New Roman" w:cs="Times New Roman"/>
                <w:i/>
                <w:noProof/>
                <w:sz w:val="20"/>
                <w:szCs w:val="20"/>
              </w:rPr>
            </w:pPr>
            <w:r w:rsidRPr="006929ED">
              <w:rPr>
                <w:rFonts w:ascii="Times New Roman" w:hAnsi="Times New Roman" w:cs="Times New Roman"/>
                <w:i/>
                <w:noProof/>
                <w:sz w:val="20"/>
              </w:rPr>
              <w:t>Vizitatori ai obiectivelor culturale și turistice finanțate</w:t>
            </w:r>
          </w:p>
          <w:p w:rsidR="00040962" w:rsidRPr="006929ED" w:rsidRDefault="00040962" w:rsidP="00040962">
            <w:pPr>
              <w:pStyle w:val="Default"/>
              <w:jc w:val="both"/>
              <w:rPr>
                <w:rFonts w:ascii="Times New Roman" w:hAnsi="Times New Roman" w:cs="Times New Roman"/>
                <w:i/>
                <w:sz w:val="20"/>
                <w:szCs w:val="20"/>
                <w:lang w:val="en-US"/>
              </w:rPr>
            </w:pPr>
          </w:p>
        </w:tc>
        <w:tc>
          <w:tcPr>
            <w:tcW w:w="344" w:type="pct"/>
            <w:tcBorders>
              <w:top w:val="single" w:sz="4" w:space="0" w:color="auto"/>
              <w:left w:val="single" w:sz="4" w:space="0" w:color="auto"/>
              <w:bottom w:val="single" w:sz="4" w:space="0" w:color="auto"/>
              <w:right w:val="single" w:sz="4" w:space="0" w:color="auto"/>
            </w:tcBorders>
          </w:tcPr>
          <w:p w:rsidR="00040962" w:rsidRPr="002F0872" w:rsidRDefault="00040962" w:rsidP="00040962">
            <w:pPr>
              <w:pStyle w:val="Text1"/>
              <w:spacing w:before="0" w:after="0" w:line="240" w:lineRule="auto"/>
              <w:ind w:left="0"/>
              <w:rPr>
                <w:i/>
                <w:sz w:val="20"/>
                <w:szCs w:val="20"/>
                <w:lang w:val="en-US"/>
              </w:rPr>
            </w:pPr>
          </w:p>
          <w:p w:rsidR="00040962" w:rsidRPr="002F0872" w:rsidRDefault="00040962" w:rsidP="00040962">
            <w:pPr>
              <w:spacing w:after="0" w:line="240" w:lineRule="auto"/>
              <w:rPr>
                <w:rFonts w:ascii="Times New Roman" w:hAnsi="Times New Roman" w:cs="Times New Roman"/>
                <w:i/>
                <w:sz w:val="20"/>
                <w:szCs w:val="20"/>
                <w:lang w:val="en-US"/>
              </w:rPr>
            </w:pPr>
            <w:r>
              <w:rPr>
                <w:rFonts w:ascii="Times New Roman" w:hAnsi="Times New Roman" w:cs="Times New Roman"/>
                <w:i/>
                <w:sz w:val="20"/>
                <w:szCs w:val="20"/>
                <w:lang w:val="en-US"/>
              </w:rPr>
              <w:t>Nr.</w:t>
            </w:r>
          </w:p>
        </w:tc>
        <w:tc>
          <w:tcPr>
            <w:tcW w:w="344" w:type="pct"/>
            <w:tcBorders>
              <w:top w:val="single" w:sz="4" w:space="0" w:color="auto"/>
              <w:left w:val="single" w:sz="4" w:space="0" w:color="auto"/>
              <w:bottom w:val="single" w:sz="4" w:space="0" w:color="auto"/>
              <w:right w:val="single" w:sz="4" w:space="0" w:color="auto"/>
            </w:tcBorders>
          </w:tcPr>
          <w:p w:rsidR="00040962" w:rsidRPr="002F24BA" w:rsidRDefault="00B3176C" w:rsidP="00040962">
            <w:pPr>
              <w:spacing w:after="0" w:line="240" w:lineRule="auto"/>
              <w:rPr>
                <w:rFonts w:ascii="Times New Roman" w:hAnsi="Times New Roman" w:cs="Times New Roman"/>
                <w:i/>
                <w:sz w:val="20"/>
                <w:szCs w:val="20"/>
                <w:lang w:val="en-US"/>
              </w:rPr>
            </w:pPr>
            <w:r>
              <w:rPr>
                <w:rFonts w:ascii="Times New Roman" w:hAnsi="Times New Roman" w:cs="Times New Roman"/>
                <w:i/>
                <w:sz w:val="20"/>
                <w:szCs w:val="20"/>
                <w:lang w:val="en-US"/>
              </w:rPr>
              <w:t>4</w:t>
            </w:r>
            <w:r w:rsidR="00040962">
              <w:rPr>
                <w:rFonts w:ascii="Times New Roman" w:hAnsi="Times New Roman" w:cs="Times New Roman"/>
                <w:i/>
                <w:sz w:val="20"/>
                <w:szCs w:val="20"/>
                <w:lang w:val="en-US"/>
              </w:rPr>
              <w:t>0,000</w:t>
            </w:r>
          </w:p>
        </w:tc>
        <w:tc>
          <w:tcPr>
            <w:tcW w:w="206" w:type="pct"/>
            <w:tcBorders>
              <w:top w:val="single" w:sz="4" w:space="0" w:color="auto"/>
              <w:left w:val="single" w:sz="4" w:space="0" w:color="auto"/>
              <w:bottom w:val="single" w:sz="4" w:space="0" w:color="auto"/>
              <w:right w:val="single" w:sz="4" w:space="0" w:color="auto"/>
            </w:tcBorders>
          </w:tcPr>
          <w:p w:rsidR="00040962" w:rsidRPr="002F24BA" w:rsidRDefault="00040962" w:rsidP="00040962">
            <w:pPr>
              <w:spacing w:after="0" w:line="240" w:lineRule="auto"/>
              <w:rPr>
                <w:rFonts w:ascii="Times New Roman" w:hAnsi="Times New Roman" w:cs="Times New Roman"/>
                <w:b/>
                <w:sz w:val="20"/>
                <w:szCs w:val="20"/>
                <w:lang w:val="en-US"/>
              </w:rPr>
            </w:pPr>
          </w:p>
        </w:tc>
        <w:tc>
          <w:tcPr>
            <w:tcW w:w="275" w:type="pct"/>
            <w:tcBorders>
              <w:top w:val="single" w:sz="4" w:space="0" w:color="auto"/>
              <w:left w:val="single" w:sz="4" w:space="0" w:color="auto"/>
              <w:bottom w:val="single" w:sz="4" w:space="0" w:color="auto"/>
              <w:right w:val="single" w:sz="4" w:space="0" w:color="auto"/>
            </w:tcBorders>
          </w:tcPr>
          <w:p w:rsidR="00040962" w:rsidRPr="002F24BA" w:rsidRDefault="00B3176C" w:rsidP="00040962">
            <w:pPr>
              <w:spacing w:after="0" w:line="240" w:lineRule="auto"/>
              <w:rPr>
                <w:rFonts w:ascii="Times New Roman" w:hAnsi="Times New Roman" w:cs="Times New Roman"/>
                <w:b/>
                <w:sz w:val="20"/>
                <w:szCs w:val="20"/>
                <w:lang w:val="en-US"/>
              </w:rPr>
            </w:pPr>
            <w:r>
              <w:rPr>
                <w:rFonts w:ascii="Times New Roman" w:hAnsi="Times New Roman" w:cs="Times New Roman"/>
                <w:b/>
                <w:sz w:val="20"/>
                <w:szCs w:val="20"/>
                <w:lang w:val="en-US"/>
              </w:rPr>
              <w:t>50.000</w:t>
            </w:r>
          </w:p>
        </w:tc>
        <w:tc>
          <w:tcPr>
            <w:tcW w:w="415" w:type="pct"/>
            <w:tcBorders>
              <w:top w:val="single" w:sz="4" w:space="0" w:color="auto"/>
              <w:left w:val="single" w:sz="4" w:space="0" w:color="auto"/>
              <w:bottom w:val="single" w:sz="4" w:space="0" w:color="auto"/>
              <w:right w:val="single" w:sz="4" w:space="0" w:color="auto"/>
            </w:tcBorders>
          </w:tcPr>
          <w:p w:rsidR="00040962" w:rsidRPr="002F0872" w:rsidRDefault="00040962" w:rsidP="00040962">
            <w:pPr>
              <w:spacing w:after="0" w:line="240" w:lineRule="auto"/>
              <w:rPr>
                <w:rFonts w:ascii="Times New Roman" w:hAnsi="Times New Roman" w:cs="Times New Roman"/>
                <w:i/>
                <w:sz w:val="20"/>
                <w:szCs w:val="20"/>
                <w:lang w:val="en-US"/>
              </w:rPr>
            </w:pPr>
            <w:r>
              <w:rPr>
                <w:rFonts w:ascii="Times New Roman" w:hAnsi="Times New Roman" w:cs="Times New Roman"/>
                <w:i/>
                <w:sz w:val="20"/>
                <w:szCs w:val="20"/>
                <w:lang w:val="en-US"/>
              </w:rPr>
              <w:t>Baza de date a beneficiarilor</w:t>
            </w:r>
          </w:p>
        </w:tc>
        <w:tc>
          <w:tcPr>
            <w:tcW w:w="390" w:type="pct"/>
            <w:tcBorders>
              <w:top w:val="single" w:sz="4" w:space="0" w:color="auto"/>
              <w:left w:val="single" w:sz="4" w:space="0" w:color="auto"/>
              <w:bottom w:val="single" w:sz="4" w:space="0" w:color="auto"/>
              <w:right w:val="single" w:sz="4" w:space="0" w:color="auto"/>
            </w:tcBorders>
          </w:tcPr>
          <w:p w:rsidR="00040962" w:rsidRPr="002F0872" w:rsidRDefault="00040962" w:rsidP="00040962">
            <w:pPr>
              <w:spacing w:after="0" w:line="240" w:lineRule="auto"/>
              <w:rPr>
                <w:rFonts w:ascii="Times New Roman" w:hAnsi="Times New Roman" w:cs="Times New Roman"/>
                <w:i/>
                <w:sz w:val="20"/>
                <w:szCs w:val="20"/>
                <w:lang w:val="en-US"/>
              </w:rPr>
            </w:pPr>
            <w:r w:rsidRPr="00D8731C">
              <w:rPr>
                <w:rFonts w:ascii="Times New Roman" w:hAnsi="Times New Roman" w:cs="Times New Roman"/>
                <w:bCs/>
                <w:i/>
                <w:sz w:val="18"/>
                <w:szCs w:val="18"/>
                <w:lang w:val="en-US"/>
              </w:rPr>
              <w:t>La un an de la finalizarea sprijinului</w:t>
            </w:r>
          </w:p>
        </w:tc>
      </w:tr>
    </w:tbl>
    <w:p w:rsidR="009731AC" w:rsidRDefault="009731AC" w:rsidP="009731AC">
      <w:pPr>
        <w:spacing w:after="0" w:line="240" w:lineRule="auto"/>
        <w:rPr>
          <w:b/>
          <w:iCs/>
          <w:lang w:val="en-GB"/>
        </w:rPr>
      </w:pPr>
      <w:r w:rsidRPr="006A3B94">
        <w:rPr>
          <w:rFonts w:ascii="Times New Roman" w:hAnsi="Times New Roman" w:cs="Times New Roman"/>
          <w:i/>
          <w:sz w:val="24"/>
          <w:szCs w:val="24"/>
          <w:lang w:val="en-GB"/>
        </w:rPr>
        <w:t xml:space="preserve"> [Point 2.1.1.3 in the Commission proposal has been moved up following changes in Article 17(3)(c) CPR and it is now point 2.1.1.bis]</w:t>
      </w:r>
    </w:p>
    <w:p w:rsidR="003D7489" w:rsidRDefault="003D7489" w:rsidP="003D7489">
      <w:pPr>
        <w:spacing w:before="240" w:after="240" w:line="360" w:lineRule="auto"/>
        <w:rPr>
          <w:rFonts w:ascii="Times New Roman" w:eastAsia="Times New Roman" w:hAnsi="Times New Roman" w:cs="Times New Roman"/>
          <w:b/>
          <w:iCs/>
          <w:noProof/>
          <w:sz w:val="24"/>
          <w:szCs w:val="24"/>
          <w:lang w:val="en-GB"/>
        </w:rPr>
      </w:pPr>
      <w:r w:rsidRPr="006A3B94">
        <w:rPr>
          <w:rFonts w:ascii="Times New Roman" w:eastAsia="Times New Roman" w:hAnsi="Times New Roman" w:cs="Times New Roman"/>
          <w:b/>
          <w:iCs/>
          <w:noProof/>
          <w:sz w:val="24"/>
          <w:szCs w:val="24"/>
          <w:lang w:val="en-GB"/>
        </w:rPr>
        <w:t>2.A.3 Specific objective</w:t>
      </w:r>
      <w:r w:rsidRPr="006A3B94">
        <w:rPr>
          <w:rFonts w:ascii="Times New Roman" w:eastAsia="Times New Roman" w:hAnsi="Times New Roman" w:cs="Times New Roman"/>
          <w:b/>
          <w:bCs/>
          <w:iCs/>
          <w:noProof/>
          <w:sz w:val="24"/>
          <w:szCs w:val="24"/>
          <w:vertAlign w:val="superscript"/>
          <w:lang w:val="en-GB"/>
        </w:rPr>
        <w:footnoteReference w:id="62"/>
      </w:r>
      <w:r w:rsidRPr="006A3B94">
        <w:rPr>
          <w:rFonts w:ascii="Times New Roman" w:eastAsia="Times New Roman" w:hAnsi="Times New Roman" w:cs="Times New Roman"/>
          <w:b/>
          <w:iCs/>
          <w:noProof/>
          <w:sz w:val="24"/>
          <w:szCs w:val="24"/>
          <w:lang w:val="en-GB"/>
        </w:rPr>
        <w:t xml:space="preserve">  (Investment for Jobs and Growth goal) repeated for each selected specific objective for priorities other than technical assistance</w:t>
      </w:r>
    </w:p>
    <w:p w:rsidR="003D7489" w:rsidRPr="00F54F7B" w:rsidRDefault="003D7489" w:rsidP="003D7489">
      <w:pPr>
        <w:spacing w:before="240" w:after="240" w:line="360" w:lineRule="auto"/>
        <w:rPr>
          <w:rFonts w:ascii="Times New Roman" w:eastAsia="Times New Roman" w:hAnsi="Times New Roman" w:cs="Times New Roman"/>
          <w:b/>
          <w:iCs/>
          <w:noProof/>
          <w:sz w:val="24"/>
          <w:szCs w:val="24"/>
          <w:lang w:val="en-GB"/>
        </w:rPr>
      </w:pPr>
      <w:r w:rsidRPr="00F54F7B">
        <w:rPr>
          <w:rFonts w:ascii="Times New Roman" w:eastAsia="Times New Roman" w:hAnsi="Times New Roman" w:cs="Times New Roman"/>
          <w:b/>
          <w:i/>
          <w:iCs/>
          <w:noProof/>
          <w:sz w:val="24"/>
          <w:szCs w:val="24"/>
        </w:rPr>
        <w:lastRenderedPageBreak/>
        <w:t xml:space="preserve">SO </w:t>
      </w:r>
      <w:r w:rsidRPr="009731AC">
        <w:rPr>
          <w:rFonts w:ascii="Times New Roman" w:eastAsia="Times New Roman" w:hAnsi="Times New Roman" w:cs="Times New Roman"/>
          <w:b/>
          <w:i/>
          <w:iCs/>
          <w:noProof/>
          <w:sz w:val="24"/>
          <w:szCs w:val="24"/>
        </w:rPr>
        <w:t>e (ii) Favorizarea dezvoltării integrate sociale, economice și de mediu la nivel local și a patrimoniului cultural, turismului și securității în afara zonelor urbane</w:t>
      </w:r>
    </w:p>
    <w:p w:rsidR="003D7489" w:rsidRPr="006A3B94" w:rsidRDefault="003D7489" w:rsidP="003D7489">
      <w:pPr>
        <w:spacing w:after="0" w:line="240" w:lineRule="auto"/>
        <w:rPr>
          <w:rFonts w:ascii="Times New Roman" w:eastAsia="Times New Roman" w:hAnsi="Times New Roman" w:cs="Times New Roman"/>
          <w:b/>
          <w:iCs/>
          <w:noProof/>
          <w:sz w:val="24"/>
          <w:szCs w:val="24"/>
          <w:lang w:val="en-GB"/>
        </w:rPr>
      </w:pPr>
      <w:r w:rsidRPr="006A3B94">
        <w:rPr>
          <w:rFonts w:ascii="Times New Roman" w:eastAsia="Times New Roman" w:hAnsi="Times New Roman" w:cs="Times New Roman"/>
          <w:b/>
          <w:iCs/>
          <w:noProof/>
          <w:sz w:val="24"/>
          <w:szCs w:val="24"/>
          <w:lang w:val="en-GB"/>
        </w:rPr>
        <w:t>2.A.3.1 Interventions of the Funds</w:t>
      </w:r>
    </w:p>
    <w:p w:rsidR="003D7489" w:rsidRPr="006A3B94" w:rsidRDefault="003D7489" w:rsidP="003D7489">
      <w:pPr>
        <w:spacing w:after="0" w:line="240" w:lineRule="auto"/>
        <w:rPr>
          <w:rFonts w:ascii="Times New Roman" w:eastAsia="Times New Roman" w:hAnsi="Times New Roman" w:cs="Times New Roman"/>
          <w:i/>
          <w:noProof/>
          <w:sz w:val="24"/>
          <w:szCs w:val="24"/>
          <w:lang w:val="en-GB"/>
        </w:rPr>
      </w:pPr>
      <w:r w:rsidRPr="006A3B94">
        <w:rPr>
          <w:rFonts w:ascii="Times New Roman" w:eastAsia="Times New Roman" w:hAnsi="Times New Roman" w:cs="Times New Roman"/>
          <w:i/>
          <w:noProof/>
          <w:sz w:val="24"/>
          <w:szCs w:val="24"/>
          <w:lang w:val="en-GB"/>
        </w:rPr>
        <w:t>Reference: Article 17(3)(d)(i),(iii),(iv),(v),(vi);</w:t>
      </w:r>
    </w:p>
    <w:p w:rsidR="003D7489" w:rsidRDefault="003D7489" w:rsidP="003D7489">
      <w:pPr>
        <w:bidi/>
        <w:spacing w:after="0" w:line="240" w:lineRule="auto"/>
        <w:jc w:val="right"/>
        <w:rPr>
          <w:rFonts w:ascii="Times New Roman" w:eastAsia="Times New Roman" w:hAnsi="Times New Roman" w:cs="Times New Roman"/>
          <w:i/>
          <w:noProof/>
          <w:sz w:val="24"/>
          <w:szCs w:val="24"/>
          <w:lang w:val="en-GB"/>
        </w:rPr>
      </w:pPr>
      <w:r w:rsidRPr="006A3B94">
        <w:rPr>
          <w:rFonts w:ascii="Times New Roman" w:eastAsia="Times New Roman" w:hAnsi="Times New Roman" w:cs="Times New Roman"/>
          <w:i/>
          <w:noProof/>
          <w:sz w:val="24"/>
          <w:szCs w:val="24"/>
          <w:lang w:val="en-GB"/>
        </w:rPr>
        <w:t>The related types of actions – Article 17(3)(d)(i) CPR; Article 6(2) ES</w:t>
      </w:r>
      <w:r>
        <w:rPr>
          <w:rFonts w:ascii="Times New Roman" w:eastAsia="Times New Roman" w:hAnsi="Times New Roman" w:cs="Times New Roman"/>
          <w:i/>
          <w:noProof/>
          <w:sz w:val="24"/>
          <w:szCs w:val="24"/>
          <w:lang w:val="en-GB"/>
        </w:rPr>
        <w:t>F+</w:t>
      </w:r>
    </w:p>
    <w:p w:rsidR="003D7489" w:rsidRPr="002C7CB1" w:rsidRDefault="003D7489" w:rsidP="003D7489">
      <w:pPr>
        <w:bidi/>
        <w:spacing w:after="0" w:line="240" w:lineRule="auto"/>
        <w:jc w:val="center"/>
        <w:rPr>
          <w:rt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3D7489" w:rsidRPr="002C7CB1" w:rsidTr="008239CE">
        <w:tc>
          <w:tcPr>
            <w:tcW w:w="13462" w:type="dxa"/>
            <w:tcBorders>
              <w:top w:val="single" w:sz="4" w:space="0" w:color="auto"/>
              <w:left w:val="single" w:sz="4" w:space="0" w:color="auto"/>
              <w:bottom w:val="single" w:sz="4" w:space="0" w:color="auto"/>
              <w:right w:val="single" w:sz="4" w:space="0" w:color="auto"/>
            </w:tcBorders>
            <w:hideMark/>
          </w:tcPr>
          <w:p w:rsidR="003D7489" w:rsidRDefault="003D7489" w:rsidP="008239CE">
            <w:pPr>
              <w:spacing w:before="120" w:after="120" w:line="360" w:lineRule="auto"/>
              <w:jc w:val="both"/>
              <w:rPr>
                <w:rFonts w:ascii="Times New Roman" w:eastAsia="Times New Roman" w:hAnsi="Times New Roman" w:cs="Times New Roman"/>
                <w:i/>
                <w:iCs/>
                <w:noProof/>
                <w:szCs w:val="24"/>
                <w:lang w:val="en-US"/>
              </w:rPr>
            </w:pPr>
            <w:r w:rsidRPr="002E744B">
              <w:rPr>
                <w:rFonts w:ascii="Times New Roman" w:eastAsia="Times New Roman" w:hAnsi="Times New Roman" w:cs="Times New Roman"/>
                <w:i/>
                <w:iCs/>
                <w:noProof/>
                <w:szCs w:val="24"/>
                <w:lang w:val="en-US"/>
              </w:rPr>
              <w:t>Text field [8 000]</w:t>
            </w:r>
          </w:p>
          <w:p w:rsidR="003D7489" w:rsidRPr="00640277" w:rsidRDefault="003D7489" w:rsidP="008239CE">
            <w:pPr>
              <w:spacing w:after="0"/>
              <w:jc w:val="both"/>
              <w:rPr>
                <w:rFonts w:ascii="Times New Roman" w:hAnsi="Times New Roman" w:cs="Times New Roman"/>
                <w:noProof/>
                <w:sz w:val="20"/>
                <w:szCs w:val="20"/>
                <w:lang w:val="en-GB"/>
              </w:rPr>
            </w:pPr>
            <w:r w:rsidRPr="00640277">
              <w:rPr>
                <w:rFonts w:ascii="Times New Roman" w:hAnsi="Times New Roman" w:cs="Times New Roman"/>
                <w:noProof/>
                <w:sz w:val="20"/>
                <w:szCs w:val="20"/>
                <w:lang w:val="en-GB"/>
              </w:rPr>
              <w:t>La nivelul Regiunii Centru în anul 2018, comparativ cu anul de referință 2013, numărul turiștilor cazați a crescut cu aproape două treimi (64,2%, similar și a nivel național, 62,5%). În anul 2018 din numărul total de turiști cazați la nivelul Regiunii Centru aproape jumătate au fost din județul Brașov (45,2%, 1380277 turiști), urmat cu aproape o cincime de județele Mureș (18,7%, 571454 turiști) și Sibiu (18,6%, 566705 turiști), la polul opus fiind Covasna cu doar 3,9% (119372 turiști). În condițiile în care există un potențial turistic ridicat în toate cele șase județe ale regiunii, dezvoltarea inegală a turismului în interiorul regiunii este edificatoare pentru a arăta importanța aplicării unor strategii de stimulare a turismului care includ toate aspectele ce concură la dezvoltarea acestui domeniu.</w:t>
            </w:r>
          </w:p>
          <w:p w:rsidR="003D7489" w:rsidRPr="00640277" w:rsidRDefault="003D7489" w:rsidP="008239CE">
            <w:pPr>
              <w:pStyle w:val="Bullet"/>
              <w:numPr>
                <w:ilvl w:val="0"/>
                <w:numId w:val="0"/>
              </w:numPr>
              <w:spacing w:after="0" w:line="276" w:lineRule="auto"/>
              <w:ind w:left="22" w:hanging="11"/>
              <w:jc w:val="both"/>
              <w:rPr>
                <w:sz w:val="20"/>
                <w:szCs w:val="20"/>
                <w:lang w:val="ro-RO"/>
              </w:rPr>
            </w:pPr>
            <w:r w:rsidRPr="00640277">
              <w:rPr>
                <w:sz w:val="20"/>
                <w:szCs w:val="20"/>
                <w:lang w:val="ro-RO"/>
              </w:rPr>
              <w:t xml:space="preserve">Ca și principiu de ierarhizare a investițiilor în domeniul turismului, vor avea prioritate investițiile în obiectivele turistice care </w:t>
            </w:r>
            <w:r w:rsidRPr="00640277">
              <w:rPr>
                <w:noProof/>
                <w:sz w:val="20"/>
                <w:szCs w:val="20"/>
              </w:rPr>
              <w:t xml:space="preserve">fac parte dintr-o strategie teritorială și care </w:t>
            </w:r>
            <w:r w:rsidRPr="00640277">
              <w:rPr>
                <w:sz w:val="20"/>
                <w:szCs w:val="20"/>
                <w:lang w:val="ro-RO"/>
              </w:rPr>
              <w:t xml:space="preserve">pot genera creștere economică, printr-o creștere importantă a numărului de turiști. </w:t>
            </w:r>
          </w:p>
          <w:p w:rsidR="003D7489" w:rsidRPr="00640277" w:rsidRDefault="003D7489" w:rsidP="008239CE">
            <w:pPr>
              <w:spacing w:after="0"/>
              <w:jc w:val="both"/>
              <w:rPr>
                <w:rFonts w:ascii="Times New Roman" w:hAnsi="Times New Roman" w:cs="Times New Roman"/>
                <w:sz w:val="20"/>
                <w:szCs w:val="20"/>
              </w:rPr>
            </w:pPr>
            <w:r w:rsidRPr="00640277">
              <w:rPr>
                <w:rFonts w:ascii="Times New Roman" w:hAnsi="Times New Roman" w:cs="Times New Roman"/>
                <w:sz w:val="20"/>
                <w:szCs w:val="20"/>
              </w:rPr>
              <w:t>Resursele balneare plasează Regiunea Centru pe locul doi la nivel național ca număr de stațiuni balneare și balneoclimatice (6 din 33 declarate la nivel național). Într-un inventar al potențialului balnear existent, realizat pentru RIS3 Centru, au fost evidențiate peste 40 de localități, pe tot teritoriul Regiunii, cu potențial balnear. Majoritatea acestora nu sunt însă exploatate din lipsa bazelor de tratament şi a infrastructurii turistice.</w:t>
            </w:r>
          </w:p>
          <w:p w:rsidR="003D7489" w:rsidRPr="00640277" w:rsidRDefault="003D7489" w:rsidP="008239CE">
            <w:pPr>
              <w:pStyle w:val="Bullet"/>
              <w:numPr>
                <w:ilvl w:val="0"/>
                <w:numId w:val="0"/>
              </w:numPr>
              <w:spacing w:after="0" w:line="276" w:lineRule="auto"/>
              <w:ind w:left="22" w:hanging="11"/>
              <w:jc w:val="both"/>
              <w:rPr>
                <w:sz w:val="20"/>
                <w:szCs w:val="20"/>
                <w:lang w:val="ro-RO"/>
              </w:rPr>
            </w:pPr>
            <w:r w:rsidRPr="00640277">
              <w:rPr>
                <w:sz w:val="20"/>
                <w:szCs w:val="20"/>
                <w:lang w:val="ro-RO"/>
              </w:rPr>
              <w:t>În ultimii ani s-au finanțat prin intermediul POR mai multe proiecte vizând reabilitarea și modernizarea stațiunilor din Regiunea Centru, impactul pozitiv al acestor proiecte fiind deja vizibil.</w:t>
            </w:r>
          </w:p>
          <w:p w:rsidR="003D7489" w:rsidRPr="00640277" w:rsidRDefault="003D7489" w:rsidP="008239CE">
            <w:pPr>
              <w:pStyle w:val="Listparagraf"/>
              <w:spacing w:after="0" w:line="276" w:lineRule="auto"/>
              <w:ind w:left="0"/>
              <w:jc w:val="both"/>
              <w:rPr>
                <w:sz w:val="20"/>
                <w:szCs w:val="20"/>
                <w:lang w:val="ro-RO"/>
              </w:rPr>
            </w:pPr>
            <w:r w:rsidRPr="00640277">
              <w:rPr>
                <w:sz w:val="20"/>
                <w:szCs w:val="20"/>
                <w:lang w:val="ro-RO"/>
              </w:rPr>
              <w:t xml:space="preserve">În materie de investiții în turism, această prioritate de investiții va sprijini dezvoltarea turismului balnear și balneo-climateric în stațiuni, dar și în alte localități cu resurse balneare importante, dacă sunt respectate condițiile menționate mai sus: </w:t>
            </w:r>
            <w:r w:rsidRPr="00640277">
              <w:rPr>
                <w:noProof/>
                <w:sz w:val="20"/>
                <w:szCs w:val="20"/>
              </w:rPr>
              <w:t xml:space="preserve">încadrarea într-o strategie teritorială și </w:t>
            </w:r>
            <w:r w:rsidRPr="00640277">
              <w:rPr>
                <w:sz w:val="20"/>
                <w:szCs w:val="20"/>
                <w:lang w:val="ro-RO"/>
              </w:rPr>
              <w:t>generarea creșterii economice, printr-o creștere importantă a numărului de turiști.</w:t>
            </w:r>
          </w:p>
          <w:p w:rsidR="003D7489" w:rsidRPr="00640277" w:rsidRDefault="00F668DA" w:rsidP="00F668DA">
            <w:pPr>
              <w:autoSpaceDE w:val="0"/>
              <w:autoSpaceDN w:val="0"/>
              <w:adjustRightInd w:val="0"/>
              <w:spacing w:after="0" w:line="240" w:lineRule="auto"/>
              <w:jc w:val="both"/>
              <w:rPr>
                <w:rFonts w:ascii="Times New Roman" w:hAnsi="Times New Roman" w:cs="Times New Roman"/>
                <w:noProof/>
                <w:sz w:val="20"/>
                <w:szCs w:val="20"/>
              </w:rPr>
            </w:pPr>
            <w:r w:rsidRPr="00640277">
              <w:rPr>
                <w:rFonts w:ascii="Times New Roman" w:hAnsi="Times New Roman" w:cs="Times New Roman"/>
                <w:noProof/>
                <w:sz w:val="20"/>
                <w:szCs w:val="20"/>
              </w:rPr>
              <w:t xml:space="preserve">Regiunea Centru dispune de condiţii naturale excepţionale, aproape jumătate din suprafața regiunii fiind ocupată de arealele montane. Diversitatea peisagistică, ariile naturale protejate, cu numeroase specii endemice de floră și faună, traseele rutiere spectaculoase, stațiunile montane, situează Regiunea Centru pe primul loc la nivel național din punctul de vedere al potenţialului turistic montan. În acest sens, menționăm faptul că Regiunea include părți însemnate din suprafața a 6 din cele 28 de parcuri naționale sau naturale ale României și cuprinde numeroase alte arii protejate și rezervații naturale. </w:t>
            </w:r>
            <w:r w:rsidR="003D7489" w:rsidRPr="00640277">
              <w:rPr>
                <w:rFonts w:ascii="Times New Roman" w:hAnsi="Times New Roman" w:cs="Times New Roman"/>
                <w:noProof/>
                <w:sz w:val="20"/>
                <w:szCs w:val="20"/>
              </w:rPr>
              <w:t xml:space="preserve">Portofoliul de proiecte al Regiunii Centru relevă existența unor nevoi reale de dezvoltare a turismului montan, fiind necesare investiții ca înființare/ modernizare/ extindere centre de vizitare pentru situri Natural 2000 sau creare/ modernizare/ extindere/ dotare de baze și adăposturi Salvamont, dar și dezvoltarea de trasee montane. </w:t>
            </w:r>
          </w:p>
          <w:p w:rsidR="003D7489" w:rsidRPr="00640277" w:rsidRDefault="003D7489" w:rsidP="008239CE">
            <w:pPr>
              <w:pStyle w:val="Listparagraf"/>
              <w:spacing w:after="0" w:line="276" w:lineRule="auto"/>
              <w:ind w:left="22"/>
              <w:contextualSpacing w:val="0"/>
              <w:jc w:val="both"/>
              <w:rPr>
                <w:sz w:val="20"/>
                <w:szCs w:val="20"/>
                <w:lang w:val="ro-RO"/>
              </w:rPr>
            </w:pPr>
            <w:r w:rsidRPr="00640277">
              <w:rPr>
                <w:sz w:val="20"/>
                <w:szCs w:val="20"/>
                <w:lang w:val="ro-RO"/>
              </w:rPr>
              <w:t xml:space="preserve">Posibile proiecte fanion la nivelul Regiunii sunt proiectele care vizează dezvoltarea unei rețele de piste de biciclete. Intervențiile pot viza reabilitarea și extinderea pistelor existente, precum și crearea unor noi piste de biciclete. Infrastructura creată astfel oferă condiții optime de practicare a cicloturismului și facilitează introducerea în circuitul turistic a mai multor obiective turistice culturale și naturale aflate pe traseul vizat de piste. Este vorba despre proiecte complexe, care vor putea fi elaborate în complementaritate cu axele adresate IMM-uri și digitalizării, prin dezvoltarea de aplicații de tipul ghid turistic virtual pe traseul pistelor sau dezvoltarea infrastructurii de cazare adaptată acestei forme de turism. </w:t>
            </w:r>
          </w:p>
          <w:p w:rsidR="003D7489" w:rsidRPr="00640277" w:rsidRDefault="003D7489" w:rsidP="008239CE">
            <w:pPr>
              <w:spacing w:before="120" w:after="360"/>
              <w:contextualSpacing/>
              <w:jc w:val="both"/>
              <w:rPr>
                <w:rFonts w:ascii="Times New Roman" w:hAnsi="Times New Roman" w:cs="Times New Roman"/>
                <w:sz w:val="20"/>
                <w:szCs w:val="20"/>
              </w:rPr>
            </w:pPr>
            <w:r w:rsidRPr="00640277">
              <w:rPr>
                <w:rFonts w:ascii="Times New Roman" w:hAnsi="Times New Roman" w:cs="Times New Roman"/>
                <w:sz w:val="20"/>
                <w:szCs w:val="20"/>
              </w:rPr>
              <w:t xml:space="preserve">Una din lecțiile învățate este importanța abordării promovării turistice bazată pe managementul destinațiilor turistice. Conform Legii nr. 275/2018, activitatea de promovare a destinațiilor turistice se realizează prin implementarea strategiilor de marketing al destinației, elaborate de organizația de management al destinației.  Astfel, aceste organizații ar trebui să fie beneficiari POR, astfel încât să se creeze sinergii cu alte acțiuni de promovare a turismului la nivel național implementate în strânsă colaborare cu alți actori instituționali (Ministerul turismului). </w:t>
            </w:r>
          </w:p>
          <w:p w:rsidR="003D7489" w:rsidRPr="00640277" w:rsidRDefault="003D7489" w:rsidP="008239CE">
            <w:pPr>
              <w:spacing w:after="0"/>
              <w:jc w:val="both"/>
              <w:rPr>
                <w:rFonts w:ascii="Times New Roman" w:hAnsi="Times New Roman" w:cs="Times New Roman"/>
                <w:sz w:val="20"/>
                <w:szCs w:val="20"/>
              </w:rPr>
            </w:pPr>
            <w:r w:rsidRPr="00640277">
              <w:rPr>
                <w:rFonts w:ascii="Times New Roman" w:hAnsi="Times New Roman" w:cs="Times New Roman"/>
                <w:sz w:val="20"/>
                <w:szCs w:val="20"/>
              </w:rPr>
              <w:t xml:space="preserve">O mulțime de obiective de patrimoniu valoroase împânzesc teritoriul regiunii: ansamblul bisericilor fortificate, castelul Bran, cetatea Sighișoara, Sibiu, Brașov, Alba Iulia etc. Distanța relativ mică dintre obiectivele turistice culturale </w:t>
            </w:r>
            <w:r w:rsidRPr="00640277">
              <w:rPr>
                <w:rFonts w:ascii="Times New Roman" w:hAnsi="Times New Roman" w:cs="Times New Roman"/>
                <w:sz w:val="20"/>
                <w:szCs w:val="20"/>
              </w:rPr>
              <w:lastRenderedPageBreak/>
              <w:t xml:space="preserve">favorizează integrarea acestora în diferite circuite tematice. </w:t>
            </w:r>
          </w:p>
          <w:p w:rsidR="003D7489" w:rsidRPr="00640277" w:rsidRDefault="003D7489" w:rsidP="008239CE">
            <w:pPr>
              <w:spacing w:after="0"/>
              <w:jc w:val="both"/>
              <w:rPr>
                <w:rFonts w:ascii="Times New Roman" w:hAnsi="Times New Roman" w:cs="Times New Roman"/>
                <w:sz w:val="20"/>
                <w:szCs w:val="20"/>
              </w:rPr>
            </w:pPr>
            <w:r w:rsidRPr="00640277">
              <w:rPr>
                <w:rFonts w:ascii="Times New Roman" w:hAnsi="Times New Roman" w:cs="Times New Roman"/>
                <w:sz w:val="20"/>
                <w:szCs w:val="20"/>
              </w:rPr>
              <w:t xml:space="preserve">Pentru a fi menținut interesul turiștilor români și străini pentru patrimoniul cultural istoric al regiunii este nevoie de continuarea sprijinului financiar pentru reabilitarea/ conservarea obiectivelor importante de patrimoniu care nu au beneficiat până acum de astfel de investiții. </w:t>
            </w:r>
          </w:p>
          <w:p w:rsidR="003D7489" w:rsidRPr="00640277" w:rsidRDefault="003D7489" w:rsidP="008239CE">
            <w:pPr>
              <w:spacing w:after="0"/>
              <w:jc w:val="both"/>
              <w:rPr>
                <w:rFonts w:ascii="Times New Roman" w:hAnsi="Times New Roman" w:cs="Times New Roman"/>
                <w:noProof/>
                <w:sz w:val="20"/>
                <w:szCs w:val="20"/>
              </w:rPr>
            </w:pPr>
            <w:r w:rsidRPr="00640277">
              <w:rPr>
                <w:rFonts w:ascii="Times New Roman" w:hAnsi="Times New Roman" w:cs="Times New Roman"/>
                <w:noProof/>
                <w:sz w:val="20"/>
                <w:szCs w:val="20"/>
              </w:rPr>
              <w:t xml:space="preserve">În vederea finanţării proiectelor regionale vizând protejarea, conservarea, restaurarea și promovarea obiectivelor de patrimoniu de la nivelul Regiunii Centruvor fi considerate prioritare acele obiective de patrimoniu care fac parte dintr-o strategie teritorială, care pot atrage un număr important de turiști și care pot fi parte a unor trasee tematice. </w:t>
            </w:r>
          </w:p>
          <w:p w:rsidR="003D7489" w:rsidRPr="00640277" w:rsidRDefault="003D7489" w:rsidP="008239CE">
            <w:pPr>
              <w:pStyle w:val="Bullet"/>
              <w:numPr>
                <w:ilvl w:val="0"/>
                <w:numId w:val="0"/>
              </w:numPr>
              <w:spacing w:after="0" w:line="276" w:lineRule="auto"/>
              <w:ind w:left="22"/>
              <w:jc w:val="both"/>
              <w:rPr>
                <w:sz w:val="20"/>
                <w:szCs w:val="20"/>
                <w:lang w:val="ro-RO"/>
              </w:rPr>
            </w:pPr>
            <w:r w:rsidRPr="00640277">
              <w:rPr>
                <w:sz w:val="20"/>
                <w:szCs w:val="20"/>
                <w:lang w:val="ro-RO"/>
              </w:rPr>
              <w:t xml:space="preserve">Beneficiarii de sprijin în cadrul acestei axe vor realiza în mod obligatoriu planuri de conservare/ mentenanță a obiectivelor de patrimoniu. De asemenea, vor beneficia de sprijin activitățile care au ca finalitate dezvoltarea planurilor de interpretare pentru public. În acest scop, se va finanța digitalizarea obiectivelor de patrimoniu </w:t>
            </w:r>
            <w:r w:rsidR="00CB1D2B">
              <w:rPr>
                <w:sz w:val="20"/>
                <w:szCs w:val="20"/>
                <w:lang w:val="ro-RO"/>
              </w:rPr>
              <w:t xml:space="preserve">asupra cărora se intervine </w:t>
            </w:r>
            <w:r w:rsidRPr="00640277">
              <w:rPr>
                <w:sz w:val="20"/>
                <w:szCs w:val="20"/>
                <w:lang w:val="ro-RO"/>
              </w:rPr>
              <w:t xml:space="preserve">și utilizarea mijloacelor tehnologice de ultimă oră pentru promovarea patrimoniului, care pot asigura atât atragerea unui număr mai mare de turiști, cât și conservarea laturii imateriale a patrimoniului național. </w:t>
            </w:r>
          </w:p>
          <w:p w:rsidR="003D7489" w:rsidRPr="00640277" w:rsidRDefault="003D7489" w:rsidP="003D7489">
            <w:pPr>
              <w:spacing w:after="120"/>
              <w:jc w:val="both"/>
              <w:rPr>
                <w:rFonts w:ascii="Times New Roman" w:hAnsi="Times New Roman" w:cs="Times New Roman"/>
                <w:sz w:val="20"/>
                <w:szCs w:val="20"/>
              </w:rPr>
            </w:pPr>
            <w:r w:rsidRPr="00640277">
              <w:rPr>
                <w:rFonts w:ascii="Times New Roman" w:hAnsi="Times New Roman" w:cs="Times New Roman"/>
                <w:sz w:val="20"/>
                <w:szCs w:val="20"/>
              </w:rPr>
              <w:t xml:space="preserve">Investițiile prevăzute în cadrul acestui obiectiv specific continuă intervențiile finanțate în perioadele anterioare de programare și vizează următoarele tipuri de acțiuni: </w:t>
            </w:r>
          </w:p>
          <w:p w:rsidR="003D7489" w:rsidRPr="00640277" w:rsidRDefault="003D7489" w:rsidP="003D7489">
            <w:pPr>
              <w:pStyle w:val="Listparagraf"/>
              <w:numPr>
                <w:ilvl w:val="0"/>
                <w:numId w:val="76"/>
              </w:numPr>
              <w:spacing w:before="0" w:after="0" w:line="240" w:lineRule="auto"/>
              <w:jc w:val="both"/>
              <w:rPr>
                <w:rFonts w:eastAsia="Calibri"/>
                <w:noProof/>
                <w:sz w:val="20"/>
                <w:szCs w:val="20"/>
                <w:lang w:val="ro-RO" w:eastAsia="en-GB"/>
              </w:rPr>
            </w:pPr>
            <w:r w:rsidRPr="00640277">
              <w:rPr>
                <w:rFonts w:eastAsia="Calibri"/>
                <w:noProof/>
                <w:sz w:val="20"/>
                <w:szCs w:val="20"/>
                <w:lang w:val="ro-RO" w:eastAsia="en-GB"/>
              </w:rPr>
              <w:t xml:space="preserve">Conservarea, protecția și valorificarea durabilă a patrimoniului cultural și natural; </w:t>
            </w:r>
          </w:p>
          <w:p w:rsidR="003D7489" w:rsidRPr="00640277" w:rsidRDefault="003D7489" w:rsidP="003D7489">
            <w:pPr>
              <w:pStyle w:val="Listparagraf"/>
              <w:numPr>
                <w:ilvl w:val="0"/>
                <w:numId w:val="76"/>
              </w:numPr>
              <w:spacing w:before="0" w:after="0" w:line="240" w:lineRule="auto"/>
              <w:jc w:val="both"/>
              <w:rPr>
                <w:rFonts w:eastAsia="Calibri"/>
                <w:noProof/>
                <w:sz w:val="20"/>
                <w:szCs w:val="20"/>
                <w:lang w:val="ro-RO" w:eastAsia="en-GB"/>
              </w:rPr>
            </w:pPr>
            <w:r w:rsidRPr="00640277">
              <w:rPr>
                <w:rFonts w:eastAsia="Calibri"/>
                <w:noProof/>
                <w:sz w:val="20"/>
                <w:szCs w:val="20"/>
                <w:lang w:val="ro-RO" w:eastAsia="en-GB"/>
              </w:rPr>
              <w:t>Îmbunătățirea infrastructurii de turism, în special în zone care dispun de un potențial turistic valoros;</w:t>
            </w:r>
          </w:p>
          <w:p w:rsidR="003D7489" w:rsidRPr="00640277" w:rsidRDefault="003D7489" w:rsidP="003D7489">
            <w:pPr>
              <w:pStyle w:val="Listparagraf"/>
              <w:numPr>
                <w:ilvl w:val="0"/>
                <w:numId w:val="76"/>
              </w:numPr>
              <w:spacing w:before="0" w:after="0" w:line="240" w:lineRule="auto"/>
              <w:jc w:val="both"/>
              <w:rPr>
                <w:rFonts w:eastAsia="Calibri"/>
                <w:noProof/>
                <w:sz w:val="20"/>
                <w:szCs w:val="20"/>
                <w:lang w:val="ro-RO" w:eastAsia="en-GB"/>
              </w:rPr>
            </w:pPr>
            <w:r w:rsidRPr="00640277">
              <w:rPr>
                <w:rFonts w:eastAsia="Calibri"/>
                <w:noProof/>
                <w:sz w:val="20"/>
                <w:szCs w:val="20"/>
                <w:lang w:val="ro-RO" w:eastAsia="en-GB"/>
              </w:rPr>
              <w:t>Dezvoltarea turismului balnear și de agrement;</w:t>
            </w:r>
          </w:p>
          <w:p w:rsidR="003D7489" w:rsidRPr="00640277" w:rsidRDefault="003D7489" w:rsidP="003D7489">
            <w:pPr>
              <w:pStyle w:val="Listparagraf"/>
              <w:numPr>
                <w:ilvl w:val="0"/>
                <w:numId w:val="76"/>
              </w:numPr>
              <w:spacing w:before="0" w:after="0" w:line="240" w:lineRule="auto"/>
              <w:jc w:val="both"/>
              <w:rPr>
                <w:sz w:val="20"/>
                <w:szCs w:val="20"/>
              </w:rPr>
            </w:pPr>
            <w:r w:rsidRPr="00640277">
              <w:rPr>
                <w:sz w:val="20"/>
                <w:szCs w:val="20"/>
              </w:rPr>
              <w:t>Promovarea unor nise turistice inovative;</w:t>
            </w:r>
          </w:p>
          <w:p w:rsidR="003D7489" w:rsidRPr="00640277" w:rsidRDefault="003D7489" w:rsidP="003D7489">
            <w:pPr>
              <w:pStyle w:val="Listparagraf"/>
              <w:numPr>
                <w:ilvl w:val="0"/>
                <w:numId w:val="76"/>
              </w:numPr>
              <w:spacing w:before="0" w:after="0" w:line="240" w:lineRule="auto"/>
              <w:jc w:val="both"/>
              <w:rPr>
                <w:sz w:val="20"/>
                <w:szCs w:val="20"/>
              </w:rPr>
            </w:pPr>
            <w:r w:rsidRPr="00640277">
              <w:rPr>
                <w:sz w:val="20"/>
                <w:szCs w:val="20"/>
              </w:rPr>
              <w:t>Promovarea și dezvoltarea de piste de biciclete pentru cicloturism</w:t>
            </w:r>
          </w:p>
          <w:p w:rsidR="003D7489" w:rsidRPr="00640277" w:rsidRDefault="003D7489" w:rsidP="003D7489">
            <w:pPr>
              <w:pStyle w:val="Listparagraf"/>
              <w:numPr>
                <w:ilvl w:val="0"/>
                <w:numId w:val="76"/>
              </w:numPr>
              <w:spacing w:before="0" w:after="0" w:line="240" w:lineRule="auto"/>
              <w:jc w:val="both"/>
              <w:rPr>
                <w:sz w:val="20"/>
                <w:szCs w:val="20"/>
              </w:rPr>
            </w:pPr>
            <w:r w:rsidRPr="00640277">
              <w:rPr>
                <w:sz w:val="20"/>
                <w:szCs w:val="20"/>
              </w:rPr>
              <w:t>Imbunatatirea accesului către resursele și obiectivele turistice (ca activitate complementară celorlalte);</w:t>
            </w:r>
          </w:p>
          <w:p w:rsidR="003D7489" w:rsidRPr="00640277" w:rsidRDefault="003D7489" w:rsidP="003D7489">
            <w:pPr>
              <w:pStyle w:val="Listparagraf"/>
              <w:numPr>
                <w:ilvl w:val="0"/>
                <w:numId w:val="76"/>
              </w:numPr>
              <w:spacing w:before="0" w:after="0" w:line="240" w:lineRule="auto"/>
              <w:jc w:val="both"/>
              <w:rPr>
                <w:rFonts w:eastAsia="Calibri"/>
                <w:noProof/>
                <w:sz w:val="20"/>
                <w:szCs w:val="20"/>
                <w:lang w:val="ro-RO" w:eastAsia="en-GB"/>
              </w:rPr>
            </w:pPr>
            <w:r w:rsidRPr="00640277">
              <w:rPr>
                <w:rFonts w:eastAsia="Calibri"/>
                <w:noProof/>
                <w:sz w:val="20"/>
                <w:szCs w:val="20"/>
                <w:lang w:val="ro-RO" w:eastAsia="en-GB"/>
              </w:rPr>
              <w:t>Dezvoltarea infrastructurilor integrate cu rol în administrare, protejare, informare și exploatare turistică sustenabilă.</w:t>
            </w:r>
          </w:p>
          <w:p w:rsidR="003D7489" w:rsidRPr="00F13023" w:rsidRDefault="003D7489" w:rsidP="008239CE">
            <w:pPr>
              <w:spacing w:after="0"/>
              <w:jc w:val="both"/>
              <w:rPr>
                <w:rFonts w:ascii="Times New Roman" w:hAnsi="Times New Roman" w:cs="Times New Roman"/>
                <w:noProof/>
                <w:sz w:val="24"/>
              </w:rPr>
            </w:pPr>
          </w:p>
        </w:tc>
      </w:tr>
    </w:tbl>
    <w:p w:rsidR="003D7489" w:rsidRDefault="003D7489" w:rsidP="003D7489">
      <w:pPr>
        <w:spacing w:after="0" w:line="240" w:lineRule="auto"/>
        <w:rPr>
          <w:rFonts w:ascii="Times New Roman" w:eastAsia="Times New Roman" w:hAnsi="Times New Roman" w:cs="Times New Roman"/>
          <w:i/>
          <w:noProof/>
          <w:sz w:val="24"/>
          <w:szCs w:val="24"/>
          <w:lang w:val="en-GB"/>
        </w:rPr>
      </w:pPr>
    </w:p>
    <w:p w:rsidR="003D7489" w:rsidRPr="006A3B94" w:rsidRDefault="003D7489" w:rsidP="003D7489">
      <w:pPr>
        <w:spacing w:after="0" w:line="240" w:lineRule="auto"/>
        <w:rPr>
          <w:rFonts w:ascii="Times New Roman" w:eastAsia="Times New Roman" w:hAnsi="Times New Roman" w:cs="Times New Roman"/>
          <w:b/>
          <w:i/>
          <w:iCs/>
          <w:noProof/>
          <w:sz w:val="24"/>
          <w:szCs w:val="24"/>
          <w:lang w:val="en-GB"/>
        </w:rPr>
      </w:pPr>
      <w:r w:rsidRPr="006A3B94">
        <w:rPr>
          <w:rFonts w:ascii="Times New Roman" w:eastAsia="Times New Roman" w:hAnsi="Times New Roman" w:cs="Times New Roman"/>
          <w:i/>
          <w:noProof/>
          <w:sz w:val="24"/>
          <w:szCs w:val="24"/>
          <w:lang w:val="en-GB"/>
        </w:rPr>
        <w:t>The main target groups - Article 17(3)(d)(iii):</w:t>
      </w:r>
    </w:p>
    <w:p w:rsidR="003D7489" w:rsidRDefault="003D7489" w:rsidP="003D7489">
      <w:pPr>
        <w:pBdr>
          <w:top w:val="single" w:sz="4" w:space="1" w:color="auto"/>
          <w:left w:val="single" w:sz="4" w:space="4" w:color="auto"/>
          <w:bottom w:val="single" w:sz="4" w:space="1" w:color="auto"/>
          <w:right w:val="single" w:sz="4" w:space="4" w:color="auto"/>
        </w:pBdr>
        <w:spacing w:before="120" w:after="120" w:line="360" w:lineRule="auto"/>
        <w:jc w:val="both"/>
        <w:rPr>
          <w:rFonts w:ascii="Times New Roman" w:eastAsia="Times New Roman" w:hAnsi="Times New Roman" w:cs="Times New Roman"/>
          <w:i/>
          <w:iCs/>
          <w:noProof/>
          <w:sz w:val="24"/>
          <w:szCs w:val="24"/>
          <w:lang w:val="en-GB"/>
        </w:rPr>
      </w:pPr>
      <w:r w:rsidRPr="006A3B94">
        <w:rPr>
          <w:rFonts w:ascii="Times New Roman" w:eastAsia="Times New Roman" w:hAnsi="Times New Roman" w:cs="Times New Roman"/>
          <w:i/>
          <w:iCs/>
          <w:noProof/>
          <w:sz w:val="24"/>
          <w:szCs w:val="24"/>
          <w:lang w:val="en-GB"/>
        </w:rPr>
        <w:t>Text field [1 000]</w:t>
      </w:r>
    </w:p>
    <w:p w:rsidR="003D7489" w:rsidRPr="00D165D2" w:rsidRDefault="003D7489" w:rsidP="003D748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0"/>
          <w:szCs w:val="20"/>
        </w:rPr>
      </w:pPr>
      <w:r w:rsidRPr="00383005">
        <w:rPr>
          <w:rFonts w:ascii="Times New Roman" w:hAnsi="Times New Roman" w:cs="Times New Roman"/>
          <w:sz w:val="20"/>
          <w:szCs w:val="20"/>
        </w:rPr>
        <w:t>T</w:t>
      </w:r>
      <w:r>
        <w:rPr>
          <w:rFonts w:ascii="Times New Roman" w:hAnsi="Times New Roman" w:cs="Times New Roman"/>
          <w:sz w:val="20"/>
          <w:szCs w:val="20"/>
        </w:rPr>
        <w:t>uriști, locuitori ai zonelor vizate de intervenţii</w:t>
      </w:r>
    </w:p>
    <w:p w:rsidR="003D7489" w:rsidRPr="006A3B94" w:rsidRDefault="003D7489" w:rsidP="003D7489">
      <w:pPr>
        <w:spacing w:before="120" w:after="120" w:line="360" w:lineRule="auto"/>
        <w:rPr>
          <w:rFonts w:ascii="Times New Roman" w:eastAsia="Times New Roman" w:hAnsi="Times New Roman" w:cs="Times New Roman"/>
          <w:i/>
          <w:noProof/>
          <w:sz w:val="24"/>
          <w:szCs w:val="24"/>
          <w:lang w:val="en-GB"/>
        </w:rPr>
      </w:pPr>
      <w:r w:rsidRPr="006A3B94">
        <w:rPr>
          <w:rFonts w:ascii="Times New Roman" w:eastAsia="Times New Roman" w:hAnsi="Times New Roman" w:cs="Times New Roman"/>
          <w:i/>
          <w:noProof/>
          <w:sz w:val="24"/>
          <w:szCs w:val="24"/>
          <w:lang w:val="en-GB"/>
        </w:rPr>
        <w:t>Specific territories tageted, including the planned use of territorial tools – Article 17(3)(d)(iv)</w:t>
      </w:r>
    </w:p>
    <w:p w:rsidR="003D7489" w:rsidRDefault="003D7489" w:rsidP="003D7489">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iCs/>
          <w:noProof/>
          <w:sz w:val="24"/>
          <w:szCs w:val="24"/>
          <w:lang w:val="en-GB"/>
        </w:rPr>
      </w:pPr>
      <w:r w:rsidRPr="006A3B94">
        <w:rPr>
          <w:rFonts w:ascii="Times New Roman" w:eastAsia="Times New Roman" w:hAnsi="Times New Roman" w:cs="Times New Roman"/>
          <w:i/>
          <w:iCs/>
          <w:noProof/>
          <w:sz w:val="24"/>
          <w:szCs w:val="24"/>
          <w:lang w:val="en-GB"/>
        </w:rPr>
        <w:t>Text field [2 000]</w:t>
      </w:r>
    </w:p>
    <w:p w:rsidR="003D7489" w:rsidRPr="00876361" w:rsidRDefault="003D7489" w:rsidP="003D7489">
      <w:pPr>
        <w:pBdr>
          <w:top w:val="single" w:sz="4" w:space="1" w:color="auto"/>
          <w:left w:val="single" w:sz="4" w:space="4" w:color="auto"/>
          <w:bottom w:val="single" w:sz="4" w:space="1" w:color="auto"/>
          <w:right w:val="single" w:sz="4" w:space="4" w:color="auto"/>
        </w:pBdr>
        <w:rPr>
          <w:rFonts w:ascii="Times New Roman" w:hAnsi="Times New Roman" w:cs="Times New Roman"/>
          <w:sz w:val="20"/>
          <w:szCs w:val="20"/>
        </w:rPr>
      </w:pPr>
      <w:r w:rsidRPr="00383005">
        <w:rPr>
          <w:rFonts w:ascii="Times New Roman" w:hAnsi="Times New Roman" w:cs="Times New Roman"/>
          <w:sz w:val="20"/>
          <w:szCs w:val="20"/>
        </w:rPr>
        <w:t>Regiunea Centru în funcție de zonele prioritare identificate prin intermediul strategiilor teritoriale</w:t>
      </w:r>
      <w:r w:rsidR="00CB1D2B">
        <w:rPr>
          <w:rFonts w:ascii="Times New Roman" w:hAnsi="Times New Roman" w:cs="Times New Roman"/>
          <w:sz w:val="20"/>
          <w:szCs w:val="20"/>
        </w:rPr>
        <w:t>, locale sau de la nivelul județelor sau altor teritorii identificate</w:t>
      </w:r>
    </w:p>
    <w:p w:rsidR="003D7489" w:rsidRPr="006A3B94" w:rsidRDefault="003D7489" w:rsidP="003D7489">
      <w:pPr>
        <w:spacing w:before="120" w:after="120" w:line="360" w:lineRule="auto"/>
        <w:rPr>
          <w:rFonts w:ascii="Times New Roman" w:eastAsia="Times New Roman" w:hAnsi="Times New Roman" w:cs="Times New Roman"/>
          <w:b/>
          <w:i/>
          <w:iCs/>
          <w:noProof/>
          <w:sz w:val="24"/>
          <w:szCs w:val="24"/>
          <w:lang w:val="en-GB"/>
        </w:rPr>
      </w:pPr>
      <w:r w:rsidRPr="006A3B94">
        <w:rPr>
          <w:rFonts w:ascii="Times New Roman" w:eastAsia="Times New Roman" w:hAnsi="Times New Roman" w:cs="Times New Roman"/>
          <w:i/>
          <w:noProof/>
          <w:sz w:val="24"/>
          <w:szCs w:val="24"/>
          <w:lang w:val="en-GB"/>
        </w:rPr>
        <w:t>The interregional and transnational actions  –Article – 17(3)(d)(v)</w:t>
      </w:r>
    </w:p>
    <w:p w:rsidR="003D7489" w:rsidRDefault="003D7489" w:rsidP="003D7489">
      <w:pPr>
        <w:pBdr>
          <w:top w:val="single" w:sz="4" w:space="0"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iCs/>
          <w:noProof/>
          <w:sz w:val="24"/>
          <w:szCs w:val="24"/>
          <w:lang w:val="en-GB"/>
        </w:rPr>
      </w:pPr>
      <w:r w:rsidRPr="006A3B94">
        <w:rPr>
          <w:rFonts w:ascii="Times New Roman" w:eastAsia="Times New Roman" w:hAnsi="Times New Roman" w:cs="Times New Roman"/>
          <w:i/>
          <w:iCs/>
          <w:noProof/>
          <w:sz w:val="24"/>
          <w:szCs w:val="24"/>
          <w:lang w:val="en-GB"/>
        </w:rPr>
        <w:t>Text field [2 000]</w:t>
      </w:r>
    </w:p>
    <w:p w:rsidR="003D7489" w:rsidRPr="006A3B94" w:rsidRDefault="003D7489" w:rsidP="003D7489">
      <w:pPr>
        <w:spacing w:before="120" w:after="120" w:line="360" w:lineRule="auto"/>
        <w:rPr>
          <w:rFonts w:ascii="Times New Roman" w:eastAsia="Times New Roman" w:hAnsi="Times New Roman" w:cs="Times New Roman"/>
          <w:b/>
          <w:i/>
          <w:iCs/>
          <w:noProof/>
          <w:sz w:val="24"/>
          <w:szCs w:val="24"/>
          <w:lang w:val="en-GB"/>
        </w:rPr>
      </w:pPr>
      <w:r w:rsidRPr="006A3B94">
        <w:rPr>
          <w:rFonts w:ascii="Times New Roman" w:eastAsia="Times New Roman" w:hAnsi="Times New Roman" w:cs="Times New Roman"/>
          <w:i/>
          <w:noProof/>
          <w:sz w:val="24"/>
          <w:szCs w:val="24"/>
          <w:lang w:val="en-GB"/>
        </w:rPr>
        <w:t>The planned use of financial instruments – Article – 17(3)(d)(vi)</w:t>
      </w:r>
    </w:p>
    <w:p w:rsidR="003D7489" w:rsidRPr="00524607" w:rsidRDefault="003D7489" w:rsidP="003D7489">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iCs/>
          <w:noProof/>
          <w:sz w:val="24"/>
          <w:szCs w:val="24"/>
          <w:lang w:val="en-GB"/>
        </w:rPr>
      </w:pPr>
      <w:r w:rsidRPr="00524607">
        <w:rPr>
          <w:rFonts w:ascii="Times New Roman" w:eastAsia="Times New Roman" w:hAnsi="Times New Roman" w:cs="Times New Roman"/>
          <w:i/>
          <w:iCs/>
          <w:noProof/>
          <w:sz w:val="24"/>
          <w:szCs w:val="24"/>
          <w:lang w:val="en-GB"/>
        </w:rPr>
        <w:t>Text field [1 000]</w:t>
      </w:r>
    </w:p>
    <w:p w:rsidR="003D7489" w:rsidRPr="006A3B94" w:rsidRDefault="003D7489" w:rsidP="003D7489">
      <w:pPr>
        <w:spacing w:after="0" w:line="240" w:lineRule="auto"/>
        <w:rPr>
          <w:rFonts w:ascii="Times New Roman" w:hAnsi="Times New Roman" w:cs="Times New Roman"/>
          <w:b/>
          <w:iCs/>
          <w:sz w:val="24"/>
          <w:szCs w:val="24"/>
          <w:lang w:val="en-GB"/>
        </w:rPr>
      </w:pPr>
      <w:r w:rsidRPr="006A3B94">
        <w:rPr>
          <w:rFonts w:ascii="Times New Roman" w:hAnsi="Times New Roman" w:cs="Times New Roman"/>
          <w:b/>
          <w:iCs/>
          <w:sz w:val="24"/>
          <w:szCs w:val="24"/>
          <w:lang w:val="en-GB"/>
        </w:rPr>
        <w:t>2.A.3.2 Indicators</w:t>
      </w:r>
    </w:p>
    <w:p w:rsidR="003D7489" w:rsidRPr="006A3B94" w:rsidRDefault="003D7489" w:rsidP="003D7489">
      <w:pPr>
        <w:spacing w:after="0" w:line="240" w:lineRule="auto"/>
        <w:rPr>
          <w:rFonts w:ascii="Times New Roman" w:hAnsi="Times New Roman" w:cs="Times New Roman"/>
          <w:b/>
          <w:bCs/>
          <w:i/>
          <w:sz w:val="24"/>
          <w:szCs w:val="24"/>
          <w:u w:val="single"/>
          <w:lang w:val="en-GB"/>
        </w:rPr>
      </w:pPr>
      <w:r w:rsidRPr="006A3B94">
        <w:rPr>
          <w:rFonts w:ascii="Times New Roman" w:hAnsi="Times New Roman" w:cs="Times New Roman"/>
          <w:i/>
          <w:sz w:val="24"/>
          <w:szCs w:val="24"/>
          <w:lang w:val="en-GB"/>
        </w:rPr>
        <w:t xml:space="preserve">Reference: Article 17(3)(d)(ii) CPR </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1"/>
        <w:gridCol w:w="1740"/>
        <w:gridCol w:w="727"/>
        <w:gridCol w:w="1161"/>
        <w:gridCol w:w="869"/>
        <w:gridCol w:w="2323"/>
        <w:gridCol w:w="873"/>
        <w:gridCol w:w="871"/>
        <w:gridCol w:w="867"/>
      </w:tblGrid>
      <w:tr w:rsidR="003D7489" w:rsidRPr="00A146B8" w:rsidTr="008239CE">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rsidR="003D7489" w:rsidRPr="00A146B8" w:rsidRDefault="003D7489" w:rsidP="008239CE">
            <w:pPr>
              <w:spacing w:after="0" w:line="240" w:lineRule="auto"/>
              <w:rPr>
                <w:rFonts w:ascii="Times New Roman" w:hAnsi="Times New Roman" w:cs="Times New Roman"/>
                <w:b/>
                <w:sz w:val="20"/>
                <w:szCs w:val="20"/>
                <w:lang w:val="en-US"/>
              </w:rPr>
            </w:pPr>
            <w:r w:rsidRPr="00A146B8">
              <w:rPr>
                <w:rFonts w:ascii="Times New Roman" w:hAnsi="Times New Roman" w:cs="Times New Roman"/>
                <w:b/>
                <w:iCs/>
                <w:sz w:val="20"/>
                <w:szCs w:val="20"/>
                <w:lang w:val="en-US"/>
              </w:rPr>
              <w:t>Table 2: Output indicators</w:t>
            </w:r>
          </w:p>
        </w:tc>
      </w:tr>
      <w:tr w:rsidR="003D7489" w:rsidRPr="00A146B8" w:rsidTr="008239CE">
        <w:trPr>
          <w:trHeight w:val="1647"/>
        </w:trPr>
        <w:tc>
          <w:tcPr>
            <w:tcW w:w="355" w:type="pct"/>
            <w:tcBorders>
              <w:top w:val="single" w:sz="4" w:space="0" w:color="auto"/>
              <w:left w:val="single" w:sz="4" w:space="0" w:color="auto"/>
              <w:bottom w:val="single" w:sz="4" w:space="0" w:color="auto"/>
              <w:right w:val="single" w:sz="4" w:space="0" w:color="auto"/>
            </w:tcBorders>
            <w:hideMark/>
          </w:tcPr>
          <w:p w:rsidR="003D7489" w:rsidRPr="00A146B8" w:rsidRDefault="003D7489" w:rsidP="008239CE">
            <w:pPr>
              <w:spacing w:after="0" w:line="240" w:lineRule="auto"/>
              <w:rPr>
                <w:rFonts w:ascii="Times New Roman" w:hAnsi="Times New Roman" w:cs="Times New Roman"/>
                <w:b/>
                <w:sz w:val="20"/>
                <w:szCs w:val="20"/>
                <w:lang w:val="en-US"/>
              </w:rPr>
            </w:pPr>
            <w:r w:rsidRPr="00A146B8">
              <w:rPr>
                <w:rFonts w:ascii="Times New Roman" w:hAnsi="Times New Roman" w:cs="Times New Roman"/>
                <w:b/>
                <w:sz w:val="20"/>
                <w:szCs w:val="20"/>
                <w:lang w:val="en-US"/>
              </w:rPr>
              <w:t xml:space="preserve">Priority </w:t>
            </w:r>
          </w:p>
        </w:tc>
        <w:tc>
          <w:tcPr>
            <w:tcW w:w="857" w:type="pct"/>
            <w:tcBorders>
              <w:top w:val="single" w:sz="4" w:space="0" w:color="auto"/>
              <w:left w:val="single" w:sz="4" w:space="0" w:color="auto"/>
              <w:bottom w:val="single" w:sz="4" w:space="0" w:color="auto"/>
              <w:right w:val="single" w:sz="4" w:space="0" w:color="auto"/>
            </w:tcBorders>
            <w:hideMark/>
          </w:tcPr>
          <w:p w:rsidR="003D7489" w:rsidRPr="00A146B8" w:rsidRDefault="003D7489" w:rsidP="008239CE">
            <w:pPr>
              <w:spacing w:after="0" w:line="240" w:lineRule="auto"/>
              <w:rPr>
                <w:rFonts w:ascii="Times New Roman" w:hAnsi="Times New Roman" w:cs="Times New Roman"/>
                <w:b/>
                <w:sz w:val="20"/>
                <w:szCs w:val="20"/>
                <w:lang w:val="en-US"/>
              </w:rPr>
            </w:pPr>
            <w:r w:rsidRPr="00A146B8">
              <w:rPr>
                <w:rFonts w:ascii="Times New Roman" w:hAnsi="Times New Roman" w:cs="Times New Roman"/>
                <w:b/>
                <w:sz w:val="20"/>
                <w:szCs w:val="20"/>
                <w:lang w:val="en-US"/>
              </w:rPr>
              <w:t>Specific objective (Investment for Jobs and Growth goal or EMFF)</w:t>
            </w:r>
          </w:p>
        </w:tc>
        <w:tc>
          <w:tcPr>
            <w:tcW w:w="358" w:type="pct"/>
            <w:tcBorders>
              <w:top w:val="single" w:sz="4" w:space="0" w:color="auto"/>
              <w:left w:val="single" w:sz="4" w:space="0" w:color="auto"/>
              <w:bottom w:val="single" w:sz="4" w:space="0" w:color="auto"/>
              <w:right w:val="single" w:sz="4" w:space="0" w:color="auto"/>
            </w:tcBorders>
            <w:hideMark/>
          </w:tcPr>
          <w:p w:rsidR="003D7489" w:rsidRPr="00A146B8" w:rsidRDefault="003D7489" w:rsidP="008239CE">
            <w:pPr>
              <w:spacing w:after="0" w:line="240" w:lineRule="auto"/>
              <w:rPr>
                <w:rFonts w:ascii="Times New Roman" w:hAnsi="Times New Roman" w:cs="Times New Roman"/>
                <w:b/>
                <w:sz w:val="20"/>
                <w:szCs w:val="20"/>
                <w:lang w:val="en-US"/>
              </w:rPr>
            </w:pPr>
            <w:r w:rsidRPr="00A146B8">
              <w:rPr>
                <w:rFonts w:ascii="Times New Roman" w:hAnsi="Times New Roman" w:cs="Times New Roman"/>
                <w:b/>
                <w:sz w:val="20"/>
                <w:szCs w:val="20"/>
                <w:lang w:val="en-US"/>
              </w:rPr>
              <w:t>Fund</w:t>
            </w:r>
          </w:p>
        </w:tc>
        <w:tc>
          <w:tcPr>
            <w:tcW w:w="572" w:type="pct"/>
            <w:tcBorders>
              <w:top w:val="single" w:sz="4" w:space="0" w:color="auto"/>
              <w:left w:val="single" w:sz="4" w:space="0" w:color="auto"/>
              <w:bottom w:val="single" w:sz="4" w:space="0" w:color="auto"/>
              <w:right w:val="single" w:sz="4" w:space="0" w:color="auto"/>
            </w:tcBorders>
            <w:hideMark/>
          </w:tcPr>
          <w:p w:rsidR="003D7489" w:rsidRPr="00A146B8" w:rsidRDefault="003D7489" w:rsidP="008239CE">
            <w:pPr>
              <w:spacing w:after="0" w:line="240" w:lineRule="auto"/>
              <w:rPr>
                <w:rFonts w:ascii="Times New Roman" w:hAnsi="Times New Roman" w:cs="Times New Roman"/>
                <w:b/>
                <w:sz w:val="20"/>
                <w:szCs w:val="20"/>
                <w:lang w:val="en-US"/>
              </w:rPr>
            </w:pPr>
            <w:r w:rsidRPr="00A146B8">
              <w:rPr>
                <w:rFonts w:ascii="Times New Roman" w:hAnsi="Times New Roman" w:cs="Times New Roman"/>
                <w:b/>
                <w:sz w:val="20"/>
                <w:szCs w:val="20"/>
                <w:lang w:val="en-US"/>
              </w:rPr>
              <w:t>Category of region</w:t>
            </w:r>
          </w:p>
        </w:tc>
        <w:tc>
          <w:tcPr>
            <w:tcW w:w="428" w:type="pct"/>
            <w:tcBorders>
              <w:top w:val="single" w:sz="4" w:space="0" w:color="auto"/>
              <w:left w:val="single" w:sz="4" w:space="0" w:color="auto"/>
              <w:bottom w:val="single" w:sz="4" w:space="0" w:color="auto"/>
              <w:right w:val="single" w:sz="4" w:space="0" w:color="auto"/>
            </w:tcBorders>
            <w:hideMark/>
          </w:tcPr>
          <w:p w:rsidR="003D7489" w:rsidRPr="00A146B8" w:rsidRDefault="003D7489" w:rsidP="008239CE">
            <w:pPr>
              <w:spacing w:after="0" w:line="240" w:lineRule="auto"/>
              <w:jc w:val="center"/>
              <w:rPr>
                <w:rFonts w:ascii="Times New Roman" w:hAnsi="Times New Roman" w:cs="Times New Roman"/>
                <w:b/>
                <w:sz w:val="20"/>
                <w:szCs w:val="20"/>
                <w:lang w:val="en-US"/>
              </w:rPr>
            </w:pPr>
            <w:r w:rsidRPr="00A146B8">
              <w:rPr>
                <w:rFonts w:ascii="Times New Roman" w:hAnsi="Times New Roman" w:cs="Times New Roman"/>
                <w:b/>
                <w:sz w:val="20"/>
                <w:szCs w:val="20"/>
                <w:lang w:val="en-US"/>
              </w:rPr>
              <w:t>ID [5]</w:t>
            </w:r>
          </w:p>
        </w:tc>
        <w:tc>
          <w:tcPr>
            <w:tcW w:w="1144" w:type="pct"/>
            <w:tcBorders>
              <w:top w:val="single" w:sz="4" w:space="0" w:color="auto"/>
              <w:left w:val="single" w:sz="4" w:space="0" w:color="auto"/>
              <w:bottom w:val="single" w:sz="4" w:space="0" w:color="auto"/>
              <w:right w:val="single" w:sz="4" w:space="0" w:color="auto"/>
            </w:tcBorders>
            <w:hideMark/>
          </w:tcPr>
          <w:p w:rsidR="003D7489" w:rsidRPr="00A146B8" w:rsidRDefault="003D7489" w:rsidP="008239CE">
            <w:pPr>
              <w:spacing w:after="0" w:line="240" w:lineRule="auto"/>
              <w:rPr>
                <w:rFonts w:ascii="Times New Roman" w:hAnsi="Times New Roman" w:cs="Times New Roman"/>
                <w:b/>
                <w:sz w:val="20"/>
                <w:szCs w:val="20"/>
                <w:lang w:val="en-US"/>
              </w:rPr>
            </w:pPr>
            <w:r w:rsidRPr="00A146B8">
              <w:rPr>
                <w:rFonts w:ascii="Times New Roman" w:hAnsi="Times New Roman" w:cs="Times New Roman"/>
                <w:b/>
                <w:sz w:val="20"/>
                <w:szCs w:val="20"/>
                <w:lang w:val="en-US"/>
              </w:rPr>
              <w:t xml:space="preserve">Indicator [255] </w:t>
            </w:r>
          </w:p>
        </w:tc>
        <w:tc>
          <w:tcPr>
            <w:tcW w:w="430" w:type="pct"/>
            <w:tcBorders>
              <w:top w:val="single" w:sz="4" w:space="0" w:color="auto"/>
              <w:left w:val="single" w:sz="4" w:space="0" w:color="auto"/>
              <w:bottom w:val="single" w:sz="4" w:space="0" w:color="auto"/>
              <w:right w:val="single" w:sz="4" w:space="0" w:color="auto"/>
            </w:tcBorders>
            <w:hideMark/>
          </w:tcPr>
          <w:p w:rsidR="003D7489" w:rsidRPr="00A146B8" w:rsidRDefault="003D7489" w:rsidP="008239CE">
            <w:pPr>
              <w:spacing w:after="0" w:line="240" w:lineRule="auto"/>
              <w:rPr>
                <w:rFonts w:ascii="Times New Roman" w:hAnsi="Times New Roman" w:cs="Times New Roman"/>
                <w:b/>
                <w:sz w:val="20"/>
                <w:szCs w:val="20"/>
                <w:lang w:val="en-US"/>
              </w:rPr>
            </w:pPr>
            <w:r w:rsidRPr="00A146B8">
              <w:rPr>
                <w:rFonts w:ascii="Times New Roman" w:hAnsi="Times New Roman" w:cs="Times New Roman"/>
                <w:b/>
                <w:sz w:val="20"/>
                <w:szCs w:val="20"/>
                <w:lang w:val="en-US"/>
              </w:rPr>
              <w:t>Measurement unit</w:t>
            </w:r>
          </w:p>
        </w:tc>
        <w:tc>
          <w:tcPr>
            <w:tcW w:w="429" w:type="pct"/>
            <w:tcBorders>
              <w:top w:val="single" w:sz="4" w:space="0" w:color="auto"/>
              <w:left w:val="single" w:sz="4" w:space="0" w:color="auto"/>
              <w:bottom w:val="single" w:sz="4" w:space="0" w:color="auto"/>
              <w:right w:val="single" w:sz="4" w:space="0" w:color="auto"/>
            </w:tcBorders>
          </w:tcPr>
          <w:p w:rsidR="003D7489" w:rsidRPr="00A146B8" w:rsidRDefault="003D7489" w:rsidP="008239CE">
            <w:pPr>
              <w:spacing w:after="0" w:line="240" w:lineRule="auto"/>
              <w:rPr>
                <w:rFonts w:ascii="Times New Roman" w:hAnsi="Times New Roman" w:cs="Times New Roman"/>
                <w:b/>
                <w:sz w:val="20"/>
                <w:szCs w:val="20"/>
                <w:lang w:val="en-US"/>
              </w:rPr>
            </w:pPr>
            <w:r w:rsidRPr="00A146B8">
              <w:rPr>
                <w:rFonts w:ascii="Times New Roman" w:hAnsi="Times New Roman" w:cs="Times New Roman"/>
                <w:b/>
                <w:sz w:val="20"/>
                <w:szCs w:val="20"/>
                <w:lang w:val="en-US"/>
              </w:rPr>
              <w:t>Milestone (2024)</w:t>
            </w:r>
          </w:p>
          <w:p w:rsidR="003D7489" w:rsidRPr="00A146B8" w:rsidRDefault="003D7489" w:rsidP="008239CE">
            <w:pPr>
              <w:spacing w:after="0" w:line="240" w:lineRule="auto"/>
              <w:rPr>
                <w:rFonts w:ascii="Times New Roman" w:hAnsi="Times New Roman" w:cs="Times New Roman"/>
                <w:b/>
                <w:sz w:val="20"/>
                <w:szCs w:val="20"/>
                <w:lang w:val="en-US"/>
              </w:rPr>
            </w:pPr>
          </w:p>
        </w:tc>
        <w:tc>
          <w:tcPr>
            <w:tcW w:w="427" w:type="pct"/>
            <w:tcBorders>
              <w:top w:val="single" w:sz="4" w:space="0" w:color="auto"/>
              <w:left w:val="single" w:sz="4" w:space="0" w:color="auto"/>
              <w:bottom w:val="single" w:sz="4" w:space="0" w:color="auto"/>
              <w:right w:val="single" w:sz="4" w:space="0" w:color="auto"/>
            </w:tcBorders>
          </w:tcPr>
          <w:p w:rsidR="003D7489" w:rsidRPr="00A146B8" w:rsidRDefault="003D7489" w:rsidP="008239CE">
            <w:pPr>
              <w:spacing w:after="0" w:line="240" w:lineRule="auto"/>
              <w:rPr>
                <w:rFonts w:ascii="Times New Roman" w:hAnsi="Times New Roman" w:cs="Times New Roman"/>
                <w:b/>
                <w:sz w:val="20"/>
                <w:szCs w:val="20"/>
                <w:lang w:val="en-US"/>
              </w:rPr>
            </w:pPr>
            <w:r w:rsidRPr="00A146B8">
              <w:rPr>
                <w:rFonts w:ascii="Times New Roman" w:hAnsi="Times New Roman" w:cs="Times New Roman"/>
                <w:b/>
                <w:sz w:val="20"/>
                <w:szCs w:val="20"/>
                <w:lang w:val="en-US"/>
              </w:rPr>
              <w:t>Target (2029)</w:t>
            </w:r>
          </w:p>
          <w:p w:rsidR="003D7489" w:rsidRPr="00A146B8" w:rsidRDefault="003D7489" w:rsidP="008239CE">
            <w:pPr>
              <w:spacing w:after="0" w:line="240" w:lineRule="auto"/>
              <w:rPr>
                <w:rFonts w:ascii="Times New Roman" w:hAnsi="Times New Roman" w:cs="Times New Roman"/>
                <w:b/>
                <w:sz w:val="20"/>
                <w:szCs w:val="20"/>
                <w:lang w:val="en-US"/>
              </w:rPr>
            </w:pPr>
          </w:p>
        </w:tc>
      </w:tr>
      <w:tr w:rsidR="00F457FA" w:rsidRPr="00A146B8" w:rsidTr="008239CE">
        <w:trPr>
          <w:trHeight w:val="340"/>
        </w:trPr>
        <w:tc>
          <w:tcPr>
            <w:tcW w:w="355" w:type="pct"/>
            <w:tcBorders>
              <w:top w:val="single" w:sz="4" w:space="0" w:color="auto"/>
              <w:left w:val="single" w:sz="4" w:space="0" w:color="auto"/>
              <w:bottom w:val="single" w:sz="4" w:space="0" w:color="auto"/>
              <w:right w:val="single" w:sz="4" w:space="0" w:color="auto"/>
            </w:tcBorders>
          </w:tcPr>
          <w:p w:rsidR="00F457FA" w:rsidRPr="00A146B8" w:rsidRDefault="00F457FA" w:rsidP="00F457FA">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6.0</w:t>
            </w:r>
            <w:r w:rsidRPr="00A146B8">
              <w:rPr>
                <w:rFonts w:ascii="Times New Roman" w:hAnsi="Times New Roman" w:cs="Times New Roman"/>
                <w:sz w:val="20"/>
                <w:szCs w:val="20"/>
              </w:rPr>
              <w:t xml:space="preserve">. </w:t>
            </w:r>
          </w:p>
          <w:p w:rsidR="00F457FA" w:rsidRPr="00A146B8" w:rsidRDefault="00F457FA" w:rsidP="00F457FA">
            <w:pPr>
              <w:spacing w:after="0" w:line="240" w:lineRule="auto"/>
              <w:jc w:val="both"/>
              <w:rPr>
                <w:rFonts w:ascii="Times New Roman" w:hAnsi="Times New Roman" w:cs="Times New Roman"/>
                <w:sz w:val="20"/>
                <w:szCs w:val="20"/>
              </w:rPr>
            </w:pPr>
          </w:p>
          <w:p w:rsidR="00F457FA" w:rsidRPr="00A146B8" w:rsidRDefault="00F457FA" w:rsidP="00F457FA">
            <w:pPr>
              <w:spacing w:after="0" w:line="240" w:lineRule="auto"/>
              <w:jc w:val="both"/>
              <w:rPr>
                <w:rFonts w:ascii="Times New Roman" w:hAnsi="Times New Roman" w:cs="Times New Roman"/>
                <w:b/>
                <w:i/>
                <w:sz w:val="20"/>
                <w:szCs w:val="20"/>
                <w:lang w:val="en-US"/>
              </w:rPr>
            </w:pPr>
          </w:p>
        </w:tc>
        <w:tc>
          <w:tcPr>
            <w:tcW w:w="857" w:type="pct"/>
            <w:tcBorders>
              <w:top w:val="single" w:sz="4" w:space="0" w:color="auto"/>
              <w:left w:val="single" w:sz="4" w:space="0" w:color="auto"/>
              <w:bottom w:val="single" w:sz="4" w:space="0" w:color="auto"/>
              <w:right w:val="single" w:sz="4" w:space="0" w:color="auto"/>
            </w:tcBorders>
          </w:tcPr>
          <w:p w:rsidR="00F457FA" w:rsidRPr="00BC31E0" w:rsidRDefault="00F457FA" w:rsidP="00F457FA">
            <w:pPr>
              <w:spacing w:after="0" w:line="240" w:lineRule="auto"/>
              <w:jc w:val="center"/>
              <w:rPr>
                <w:rFonts w:ascii="Times New Roman" w:hAnsi="Times New Roman" w:cs="Times New Roman"/>
                <w:i/>
                <w:sz w:val="20"/>
                <w:szCs w:val="20"/>
                <w:lang w:val="en-US"/>
              </w:rPr>
            </w:pPr>
            <w:r w:rsidRPr="00BC31E0">
              <w:rPr>
                <w:rFonts w:ascii="Times New Roman" w:hAnsi="Times New Roman" w:cs="Times New Roman"/>
                <w:i/>
                <w:noProof/>
                <w:sz w:val="20"/>
                <w:szCs w:val="20"/>
                <w:lang w:val="en-GB"/>
              </w:rPr>
              <w:t xml:space="preserve">e (ii) </w:t>
            </w:r>
            <w:r w:rsidRPr="00BC31E0">
              <w:rPr>
                <w:rFonts w:ascii="Times New Roman" w:eastAsia="Times New Roman" w:hAnsi="Times New Roman" w:cs="Times New Roman"/>
                <w:i/>
                <w:iCs/>
                <w:noProof/>
                <w:sz w:val="20"/>
                <w:szCs w:val="20"/>
              </w:rPr>
              <w:t>Promovarea dezvoltării integrate în domeniul social, economic și al mediului la nivel local, a patrimon</w:t>
            </w:r>
            <w:r>
              <w:rPr>
                <w:rFonts w:ascii="Times New Roman" w:eastAsia="Times New Roman" w:hAnsi="Times New Roman" w:cs="Times New Roman"/>
                <w:i/>
                <w:iCs/>
                <w:noProof/>
                <w:sz w:val="20"/>
                <w:szCs w:val="20"/>
              </w:rPr>
              <w:t>iului cultural și a securitățiiăn afara zonelor urbane</w:t>
            </w:r>
          </w:p>
        </w:tc>
        <w:tc>
          <w:tcPr>
            <w:tcW w:w="358" w:type="pct"/>
            <w:tcBorders>
              <w:top w:val="single" w:sz="4" w:space="0" w:color="auto"/>
              <w:left w:val="single" w:sz="4" w:space="0" w:color="auto"/>
              <w:bottom w:val="single" w:sz="4" w:space="0" w:color="auto"/>
              <w:right w:val="single" w:sz="4" w:space="0" w:color="auto"/>
            </w:tcBorders>
          </w:tcPr>
          <w:p w:rsidR="00F457FA" w:rsidRPr="00A146B8" w:rsidRDefault="00F457FA" w:rsidP="00F457FA">
            <w:pPr>
              <w:spacing w:after="0" w:line="240" w:lineRule="auto"/>
              <w:jc w:val="both"/>
              <w:rPr>
                <w:rFonts w:ascii="Times New Roman" w:hAnsi="Times New Roman" w:cs="Times New Roman"/>
                <w:b/>
                <w:i/>
                <w:sz w:val="20"/>
                <w:szCs w:val="20"/>
                <w:lang w:val="en-US"/>
              </w:rPr>
            </w:pPr>
            <w:r w:rsidRPr="00A146B8">
              <w:rPr>
                <w:rFonts w:ascii="Times New Roman" w:hAnsi="Times New Roman" w:cs="Times New Roman"/>
                <w:b/>
                <w:i/>
                <w:sz w:val="20"/>
                <w:szCs w:val="20"/>
                <w:lang w:val="en-US"/>
              </w:rPr>
              <w:t>FEDR</w:t>
            </w:r>
          </w:p>
        </w:tc>
        <w:tc>
          <w:tcPr>
            <w:tcW w:w="572" w:type="pct"/>
            <w:tcBorders>
              <w:top w:val="single" w:sz="4" w:space="0" w:color="auto"/>
              <w:left w:val="single" w:sz="4" w:space="0" w:color="auto"/>
              <w:bottom w:val="single" w:sz="4" w:space="0" w:color="auto"/>
              <w:right w:val="single" w:sz="4" w:space="0" w:color="auto"/>
            </w:tcBorders>
          </w:tcPr>
          <w:p w:rsidR="00F457FA" w:rsidRPr="00A146B8" w:rsidRDefault="00F457FA" w:rsidP="00F457FA">
            <w:pPr>
              <w:spacing w:after="0" w:line="240" w:lineRule="auto"/>
              <w:jc w:val="both"/>
              <w:rPr>
                <w:rFonts w:ascii="Times New Roman" w:hAnsi="Times New Roman" w:cs="Times New Roman"/>
                <w:b/>
                <w:i/>
                <w:sz w:val="20"/>
                <w:szCs w:val="20"/>
                <w:lang w:val="en-US"/>
              </w:rPr>
            </w:pPr>
            <w:r w:rsidRPr="00A146B8">
              <w:rPr>
                <w:rFonts w:ascii="Times New Roman" w:hAnsi="Times New Roman" w:cs="Times New Roman"/>
                <w:b/>
                <w:i/>
                <w:sz w:val="20"/>
                <w:szCs w:val="20"/>
                <w:lang w:val="en-US"/>
              </w:rPr>
              <w:t xml:space="preserve">Mai putin dezvoltata </w:t>
            </w:r>
          </w:p>
        </w:tc>
        <w:tc>
          <w:tcPr>
            <w:tcW w:w="428" w:type="pct"/>
            <w:tcBorders>
              <w:top w:val="single" w:sz="4" w:space="0" w:color="auto"/>
              <w:left w:val="single" w:sz="4" w:space="0" w:color="auto"/>
              <w:bottom w:val="single" w:sz="4" w:space="0" w:color="auto"/>
              <w:right w:val="single" w:sz="4" w:space="0" w:color="auto"/>
            </w:tcBorders>
          </w:tcPr>
          <w:p w:rsidR="00F457FA" w:rsidRPr="009A7572" w:rsidRDefault="00F457FA" w:rsidP="00F457FA">
            <w:pPr>
              <w:pStyle w:val="Text1"/>
              <w:ind w:left="0"/>
              <w:rPr>
                <w:i/>
                <w:noProof/>
                <w:sz w:val="20"/>
                <w:szCs w:val="20"/>
                <w:lang w:val="ro-RO"/>
              </w:rPr>
            </w:pPr>
            <w:r w:rsidRPr="009A7572">
              <w:rPr>
                <w:i/>
                <w:noProof/>
                <w:sz w:val="20"/>
                <w:szCs w:val="20"/>
                <w:lang w:val="ro-RO"/>
              </w:rPr>
              <w:t xml:space="preserve">RCO </w:t>
            </w:r>
          </w:p>
          <w:p w:rsidR="00F457FA" w:rsidRPr="009A7572" w:rsidRDefault="00F457FA" w:rsidP="00F457FA">
            <w:pPr>
              <w:pStyle w:val="Text1"/>
              <w:ind w:left="0"/>
              <w:rPr>
                <w:i/>
                <w:noProof/>
                <w:sz w:val="20"/>
                <w:szCs w:val="20"/>
                <w:lang w:val="ro-RO"/>
              </w:rPr>
            </w:pPr>
            <w:r w:rsidRPr="009A7572">
              <w:rPr>
                <w:i/>
                <w:noProof/>
                <w:sz w:val="20"/>
                <w:szCs w:val="20"/>
                <w:lang w:val="ro-RO"/>
              </w:rPr>
              <w:t>77</w:t>
            </w:r>
          </w:p>
          <w:p w:rsidR="00F457FA" w:rsidRPr="009A7572" w:rsidRDefault="00F457FA" w:rsidP="00F457FA">
            <w:pPr>
              <w:spacing w:after="0" w:line="240" w:lineRule="auto"/>
              <w:jc w:val="center"/>
              <w:rPr>
                <w:rFonts w:ascii="Times New Roman" w:hAnsi="Times New Roman" w:cs="Times New Roman"/>
                <w:sz w:val="20"/>
                <w:szCs w:val="20"/>
                <w:lang w:val="en-US"/>
              </w:rPr>
            </w:pPr>
          </w:p>
        </w:tc>
        <w:tc>
          <w:tcPr>
            <w:tcW w:w="1144" w:type="pct"/>
            <w:tcBorders>
              <w:top w:val="single" w:sz="4" w:space="0" w:color="auto"/>
              <w:left w:val="single" w:sz="4" w:space="0" w:color="auto"/>
              <w:bottom w:val="single" w:sz="4" w:space="0" w:color="auto"/>
              <w:right w:val="single" w:sz="4" w:space="0" w:color="auto"/>
            </w:tcBorders>
          </w:tcPr>
          <w:p w:rsidR="00F457FA" w:rsidRPr="009A7572" w:rsidRDefault="00F457FA" w:rsidP="00F457FA">
            <w:pPr>
              <w:rPr>
                <w:rFonts w:ascii="Times New Roman" w:hAnsi="Times New Roman" w:cs="Times New Roman"/>
                <w:i/>
                <w:noProof/>
                <w:sz w:val="20"/>
                <w:szCs w:val="20"/>
              </w:rPr>
            </w:pPr>
            <w:r w:rsidRPr="009A7572">
              <w:rPr>
                <w:rFonts w:ascii="Times New Roman" w:hAnsi="Times New Roman" w:cs="Times New Roman"/>
                <w:i/>
                <w:noProof/>
                <w:sz w:val="20"/>
                <w:szCs w:val="20"/>
              </w:rPr>
              <w:t xml:space="preserve">Număr de obiective culturale și turistice finanțate </w:t>
            </w:r>
          </w:p>
          <w:p w:rsidR="00F457FA" w:rsidRPr="009A7572" w:rsidRDefault="00F457FA" w:rsidP="00F457FA">
            <w:pPr>
              <w:spacing w:after="0" w:line="240" w:lineRule="auto"/>
              <w:jc w:val="both"/>
              <w:rPr>
                <w:rFonts w:ascii="Times New Roman" w:hAnsi="Times New Roman" w:cs="Times New Roman"/>
                <w:i/>
                <w:sz w:val="20"/>
                <w:szCs w:val="20"/>
                <w:lang w:val="en-US"/>
              </w:rPr>
            </w:pPr>
          </w:p>
        </w:tc>
        <w:tc>
          <w:tcPr>
            <w:tcW w:w="430" w:type="pct"/>
            <w:tcBorders>
              <w:top w:val="single" w:sz="4" w:space="0" w:color="auto"/>
              <w:left w:val="single" w:sz="4" w:space="0" w:color="auto"/>
              <w:bottom w:val="single" w:sz="4" w:space="0" w:color="auto"/>
              <w:right w:val="single" w:sz="4" w:space="0" w:color="auto"/>
            </w:tcBorders>
          </w:tcPr>
          <w:p w:rsidR="00F457FA" w:rsidRPr="006929ED" w:rsidRDefault="00F457FA" w:rsidP="00F457FA">
            <w:pPr>
              <w:spacing w:after="0" w:line="240" w:lineRule="auto"/>
              <w:jc w:val="both"/>
              <w:rPr>
                <w:rFonts w:ascii="Times New Roman" w:hAnsi="Times New Roman" w:cs="Times New Roman"/>
                <w:b/>
                <w:i/>
                <w:sz w:val="20"/>
                <w:szCs w:val="20"/>
                <w:lang w:val="en-US"/>
              </w:rPr>
            </w:pPr>
            <w:r w:rsidRPr="006929ED">
              <w:rPr>
                <w:rFonts w:ascii="Times New Roman" w:hAnsi="Times New Roman" w:cs="Times New Roman"/>
                <w:b/>
                <w:i/>
                <w:noProof/>
                <w:sz w:val="20"/>
                <w:szCs w:val="20"/>
              </w:rPr>
              <w:t xml:space="preserve">Nr. </w:t>
            </w:r>
          </w:p>
        </w:tc>
        <w:tc>
          <w:tcPr>
            <w:tcW w:w="429" w:type="pct"/>
            <w:tcBorders>
              <w:top w:val="single" w:sz="4" w:space="0" w:color="auto"/>
              <w:left w:val="single" w:sz="4" w:space="0" w:color="auto"/>
              <w:bottom w:val="single" w:sz="4" w:space="0" w:color="auto"/>
              <w:right w:val="single" w:sz="4" w:space="0" w:color="auto"/>
            </w:tcBorders>
          </w:tcPr>
          <w:p w:rsidR="00F457FA" w:rsidRPr="002F24BA" w:rsidRDefault="00F457FA" w:rsidP="00F457FA">
            <w:pPr>
              <w:spacing w:after="0" w:line="240" w:lineRule="auto"/>
              <w:jc w:val="both"/>
              <w:rPr>
                <w:rFonts w:ascii="Times New Roman" w:hAnsi="Times New Roman" w:cs="Times New Roman"/>
                <w:b/>
                <w:i/>
                <w:sz w:val="20"/>
                <w:szCs w:val="20"/>
                <w:lang w:val="en-US"/>
              </w:rPr>
            </w:pPr>
            <w:r>
              <w:rPr>
                <w:rFonts w:ascii="Times New Roman" w:hAnsi="Times New Roman" w:cs="Times New Roman"/>
                <w:b/>
                <w:i/>
                <w:sz w:val="20"/>
                <w:szCs w:val="20"/>
                <w:lang w:val="en-US"/>
              </w:rPr>
              <w:t>1</w:t>
            </w:r>
          </w:p>
        </w:tc>
        <w:tc>
          <w:tcPr>
            <w:tcW w:w="427" w:type="pct"/>
            <w:tcBorders>
              <w:top w:val="single" w:sz="4" w:space="0" w:color="auto"/>
              <w:left w:val="single" w:sz="4" w:space="0" w:color="auto"/>
              <w:bottom w:val="single" w:sz="4" w:space="0" w:color="auto"/>
              <w:right w:val="single" w:sz="4" w:space="0" w:color="auto"/>
            </w:tcBorders>
          </w:tcPr>
          <w:p w:rsidR="00F457FA" w:rsidRPr="002F24BA" w:rsidRDefault="00F457FA" w:rsidP="00F457FA">
            <w:pPr>
              <w:spacing w:after="0" w:line="240" w:lineRule="auto"/>
              <w:jc w:val="both"/>
              <w:rPr>
                <w:rFonts w:ascii="Times New Roman" w:hAnsi="Times New Roman" w:cs="Times New Roman"/>
                <w:b/>
                <w:i/>
                <w:sz w:val="20"/>
                <w:szCs w:val="20"/>
                <w:lang w:val="en-US"/>
              </w:rPr>
            </w:pPr>
            <w:r>
              <w:rPr>
                <w:rFonts w:ascii="Times New Roman" w:hAnsi="Times New Roman" w:cs="Times New Roman"/>
                <w:b/>
                <w:i/>
                <w:sz w:val="20"/>
                <w:szCs w:val="20"/>
                <w:lang w:val="en-US"/>
              </w:rPr>
              <w:t>3</w:t>
            </w:r>
          </w:p>
        </w:tc>
      </w:tr>
    </w:tbl>
    <w:p w:rsidR="003D7489" w:rsidRPr="006A3B94" w:rsidRDefault="003D7489" w:rsidP="003D7489">
      <w:pPr>
        <w:spacing w:after="0" w:line="240" w:lineRule="auto"/>
        <w:rPr>
          <w:rFonts w:ascii="Times New Roman" w:hAnsi="Times New Roman" w:cs="Times New Roman"/>
          <w:sz w:val="24"/>
          <w:szCs w:val="24"/>
          <w:lang w:val="en-GB"/>
        </w:rPr>
      </w:pPr>
    </w:p>
    <w:tbl>
      <w:tblPr>
        <w:tblW w:w="53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1"/>
        <w:gridCol w:w="1599"/>
        <w:gridCol w:w="724"/>
        <w:gridCol w:w="1016"/>
        <w:gridCol w:w="803"/>
        <w:gridCol w:w="1662"/>
        <w:gridCol w:w="727"/>
        <w:gridCol w:w="727"/>
        <w:gridCol w:w="435"/>
        <w:gridCol w:w="581"/>
        <w:gridCol w:w="876"/>
        <w:gridCol w:w="824"/>
        <w:gridCol w:w="15"/>
      </w:tblGrid>
      <w:tr w:rsidR="003D7489" w:rsidRPr="002F0872" w:rsidTr="008239CE">
        <w:trPr>
          <w:trHeight w:val="221"/>
        </w:trPr>
        <w:tc>
          <w:tcPr>
            <w:tcW w:w="5000" w:type="pct"/>
            <w:gridSpan w:val="13"/>
            <w:tcBorders>
              <w:top w:val="single" w:sz="4" w:space="0" w:color="auto"/>
              <w:left w:val="single" w:sz="4" w:space="0" w:color="auto"/>
              <w:bottom w:val="single" w:sz="4" w:space="0" w:color="auto"/>
              <w:right w:val="single" w:sz="4" w:space="0" w:color="auto"/>
            </w:tcBorders>
            <w:hideMark/>
          </w:tcPr>
          <w:p w:rsidR="003D7489" w:rsidRPr="002F0872" w:rsidRDefault="003D7489" w:rsidP="008239CE">
            <w:pPr>
              <w:spacing w:after="0" w:line="240" w:lineRule="auto"/>
              <w:rPr>
                <w:rFonts w:ascii="Times New Roman" w:hAnsi="Times New Roman" w:cs="Times New Roman"/>
                <w:b/>
                <w:sz w:val="20"/>
                <w:szCs w:val="20"/>
                <w:lang w:val="en-US"/>
              </w:rPr>
            </w:pPr>
            <w:r w:rsidRPr="002F0872">
              <w:rPr>
                <w:rFonts w:ascii="Times New Roman" w:hAnsi="Times New Roman" w:cs="Times New Roman"/>
                <w:b/>
                <w:iCs/>
                <w:sz w:val="20"/>
                <w:szCs w:val="20"/>
                <w:lang w:val="en-US"/>
              </w:rPr>
              <w:t>Table 3: Result indicators</w:t>
            </w:r>
          </w:p>
        </w:tc>
      </w:tr>
      <w:tr w:rsidR="003D7489" w:rsidRPr="002F0872" w:rsidTr="008239CE">
        <w:trPr>
          <w:gridAfter w:val="1"/>
          <w:wAfter w:w="7" w:type="pct"/>
          <w:trHeight w:val="1024"/>
        </w:trPr>
        <w:tc>
          <w:tcPr>
            <w:tcW w:w="271" w:type="pct"/>
            <w:tcBorders>
              <w:top w:val="single" w:sz="4" w:space="0" w:color="auto"/>
              <w:left w:val="single" w:sz="4" w:space="0" w:color="auto"/>
              <w:bottom w:val="single" w:sz="4" w:space="0" w:color="auto"/>
              <w:right w:val="single" w:sz="4" w:space="0" w:color="auto"/>
            </w:tcBorders>
            <w:hideMark/>
          </w:tcPr>
          <w:p w:rsidR="003D7489" w:rsidRPr="002F0872" w:rsidRDefault="003D7489" w:rsidP="008239CE">
            <w:pPr>
              <w:spacing w:after="0" w:line="240" w:lineRule="auto"/>
              <w:rPr>
                <w:rFonts w:ascii="Times New Roman" w:hAnsi="Times New Roman" w:cs="Times New Roman"/>
                <w:b/>
                <w:sz w:val="20"/>
                <w:szCs w:val="20"/>
                <w:lang w:val="en-US"/>
              </w:rPr>
            </w:pPr>
            <w:r w:rsidRPr="002F0872">
              <w:rPr>
                <w:rFonts w:ascii="Times New Roman" w:hAnsi="Times New Roman" w:cs="Times New Roman"/>
                <w:b/>
                <w:sz w:val="20"/>
                <w:szCs w:val="20"/>
                <w:lang w:val="en-US"/>
              </w:rPr>
              <w:t xml:space="preserve">Priority </w:t>
            </w:r>
          </w:p>
        </w:tc>
        <w:tc>
          <w:tcPr>
            <w:tcW w:w="757" w:type="pct"/>
            <w:tcBorders>
              <w:top w:val="single" w:sz="4" w:space="0" w:color="auto"/>
              <w:left w:val="single" w:sz="4" w:space="0" w:color="auto"/>
              <w:bottom w:val="single" w:sz="4" w:space="0" w:color="auto"/>
              <w:right w:val="single" w:sz="4" w:space="0" w:color="auto"/>
            </w:tcBorders>
            <w:hideMark/>
          </w:tcPr>
          <w:p w:rsidR="003D7489" w:rsidRPr="002F0872" w:rsidRDefault="003D7489" w:rsidP="008239CE">
            <w:pPr>
              <w:spacing w:after="0" w:line="240" w:lineRule="auto"/>
              <w:rPr>
                <w:rFonts w:ascii="Times New Roman" w:hAnsi="Times New Roman" w:cs="Times New Roman"/>
                <w:b/>
                <w:sz w:val="20"/>
                <w:szCs w:val="20"/>
                <w:lang w:val="en-US"/>
              </w:rPr>
            </w:pPr>
            <w:r w:rsidRPr="002F0872">
              <w:rPr>
                <w:rFonts w:ascii="Times New Roman" w:hAnsi="Times New Roman" w:cs="Times New Roman"/>
                <w:b/>
                <w:sz w:val="20"/>
                <w:szCs w:val="20"/>
                <w:lang w:val="en-US"/>
              </w:rPr>
              <w:t>Specific objective (Investment for Jobs and Growth goal or EMFF)</w:t>
            </w:r>
          </w:p>
        </w:tc>
        <w:tc>
          <w:tcPr>
            <w:tcW w:w="343" w:type="pct"/>
            <w:tcBorders>
              <w:top w:val="single" w:sz="4" w:space="0" w:color="auto"/>
              <w:left w:val="single" w:sz="4" w:space="0" w:color="auto"/>
              <w:bottom w:val="single" w:sz="4" w:space="0" w:color="auto"/>
              <w:right w:val="single" w:sz="4" w:space="0" w:color="auto"/>
            </w:tcBorders>
            <w:hideMark/>
          </w:tcPr>
          <w:p w:rsidR="003D7489" w:rsidRPr="002F0872" w:rsidRDefault="003D7489" w:rsidP="008239CE">
            <w:pPr>
              <w:spacing w:after="0" w:line="240" w:lineRule="auto"/>
              <w:rPr>
                <w:rFonts w:ascii="Times New Roman" w:hAnsi="Times New Roman" w:cs="Times New Roman"/>
                <w:b/>
                <w:sz w:val="20"/>
                <w:szCs w:val="20"/>
                <w:lang w:val="en-US"/>
              </w:rPr>
            </w:pPr>
            <w:r w:rsidRPr="002F0872">
              <w:rPr>
                <w:rFonts w:ascii="Times New Roman" w:hAnsi="Times New Roman" w:cs="Times New Roman"/>
                <w:b/>
                <w:sz w:val="20"/>
                <w:szCs w:val="20"/>
                <w:lang w:val="en-US"/>
              </w:rPr>
              <w:t>Fund</w:t>
            </w:r>
          </w:p>
        </w:tc>
        <w:tc>
          <w:tcPr>
            <w:tcW w:w="481" w:type="pct"/>
            <w:tcBorders>
              <w:top w:val="single" w:sz="4" w:space="0" w:color="auto"/>
              <w:left w:val="single" w:sz="4" w:space="0" w:color="auto"/>
              <w:bottom w:val="single" w:sz="4" w:space="0" w:color="auto"/>
              <w:right w:val="single" w:sz="4" w:space="0" w:color="auto"/>
            </w:tcBorders>
            <w:hideMark/>
          </w:tcPr>
          <w:p w:rsidR="003D7489" w:rsidRPr="002F0872" w:rsidRDefault="003D7489" w:rsidP="008239CE">
            <w:pPr>
              <w:spacing w:after="0" w:line="240" w:lineRule="auto"/>
              <w:rPr>
                <w:rFonts w:ascii="Times New Roman" w:hAnsi="Times New Roman" w:cs="Times New Roman"/>
                <w:b/>
                <w:sz w:val="20"/>
                <w:szCs w:val="20"/>
                <w:lang w:val="en-US"/>
              </w:rPr>
            </w:pPr>
            <w:r w:rsidRPr="002F0872">
              <w:rPr>
                <w:rFonts w:ascii="Times New Roman" w:hAnsi="Times New Roman" w:cs="Times New Roman"/>
                <w:b/>
                <w:sz w:val="20"/>
                <w:szCs w:val="20"/>
                <w:lang w:val="en-US"/>
              </w:rPr>
              <w:t>Category of region</w:t>
            </w:r>
            <w:r w:rsidRPr="002F0872">
              <w:rPr>
                <w:rFonts w:ascii="Times New Roman" w:hAnsi="Times New Roman" w:cs="Times New Roman"/>
                <w:sz w:val="20"/>
                <w:szCs w:val="20"/>
                <w:lang w:val="en-US"/>
              </w:rPr>
              <w:t xml:space="preserve"> </w:t>
            </w:r>
          </w:p>
        </w:tc>
        <w:tc>
          <w:tcPr>
            <w:tcW w:w="380" w:type="pct"/>
            <w:tcBorders>
              <w:top w:val="single" w:sz="4" w:space="0" w:color="auto"/>
              <w:left w:val="single" w:sz="4" w:space="0" w:color="auto"/>
              <w:bottom w:val="single" w:sz="4" w:space="0" w:color="auto"/>
              <w:right w:val="single" w:sz="4" w:space="0" w:color="auto"/>
            </w:tcBorders>
            <w:hideMark/>
          </w:tcPr>
          <w:p w:rsidR="003D7489" w:rsidRPr="002F0872" w:rsidRDefault="003D7489" w:rsidP="008239CE">
            <w:pPr>
              <w:spacing w:after="0" w:line="240" w:lineRule="auto"/>
              <w:rPr>
                <w:rFonts w:ascii="Times New Roman" w:hAnsi="Times New Roman" w:cs="Times New Roman"/>
                <w:b/>
                <w:sz w:val="20"/>
                <w:szCs w:val="20"/>
                <w:lang w:val="en-US"/>
              </w:rPr>
            </w:pPr>
            <w:r w:rsidRPr="002F0872">
              <w:rPr>
                <w:rFonts w:ascii="Times New Roman" w:hAnsi="Times New Roman" w:cs="Times New Roman"/>
                <w:b/>
                <w:sz w:val="20"/>
                <w:szCs w:val="20"/>
                <w:lang w:val="en-US"/>
              </w:rPr>
              <w:t>ID [5]</w:t>
            </w:r>
          </w:p>
        </w:tc>
        <w:tc>
          <w:tcPr>
            <w:tcW w:w="787" w:type="pct"/>
            <w:tcBorders>
              <w:top w:val="single" w:sz="4" w:space="0" w:color="auto"/>
              <w:left w:val="single" w:sz="4" w:space="0" w:color="auto"/>
              <w:bottom w:val="single" w:sz="4" w:space="0" w:color="auto"/>
              <w:right w:val="single" w:sz="4" w:space="0" w:color="auto"/>
            </w:tcBorders>
            <w:hideMark/>
          </w:tcPr>
          <w:p w:rsidR="003D7489" w:rsidRPr="002F0872" w:rsidRDefault="003D7489" w:rsidP="008239CE">
            <w:pPr>
              <w:spacing w:after="0" w:line="240" w:lineRule="auto"/>
              <w:rPr>
                <w:rFonts w:ascii="Times New Roman" w:hAnsi="Times New Roman" w:cs="Times New Roman"/>
                <w:b/>
                <w:sz w:val="20"/>
                <w:szCs w:val="20"/>
                <w:lang w:val="en-US"/>
              </w:rPr>
            </w:pPr>
            <w:r w:rsidRPr="002F0872">
              <w:rPr>
                <w:rFonts w:ascii="Times New Roman" w:hAnsi="Times New Roman" w:cs="Times New Roman"/>
                <w:b/>
                <w:sz w:val="20"/>
                <w:szCs w:val="20"/>
                <w:lang w:val="en-US"/>
              </w:rPr>
              <w:t>Indicator [255]</w:t>
            </w:r>
          </w:p>
        </w:tc>
        <w:tc>
          <w:tcPr>
            <w:tcW w:w="344" w:type="pct"/>
            <w:tcBorders>
              <w:top w:val="single" w:sz="4" w:space="0" w:color="auto"/>
              <w:left w:val="single" w:sz="4" w:space="0" w:color="auto"/>
              <w:bottom w:val="single" w:sz="4" w:space="0" w:color="auto"/>
              <w:right w:val="single" w:sz="4" w:space="0" w:color="auto"/>
            </w:tcBorders>
            <w:hideMark/>
          </w:tcPr>
          <w:p w:rsidR="003D7489" w:rsidRPr="002F0872" w:rsidRDefault="003D7489" w:rsidP="008239CE">
            <w:pPr>
              <w:spacing w:after="0" w:line="240" w:lineRule="auto"/>
              <w:rPr>
                <w:rFonts w:ascii="Times New Roman" w:hAnsi="Times New Roman" w:cs="Times New Roman"/>
                <w:b/>
                <w:sz w:val="20"/>
                <w:szCs w:val="20"/>
                <w:lang w:val="en-US"/>
              </w:rPr>
            </w:pPr>
            <w:r w:rsidRPr="002F0872">
              <w:rPr>
                <w:rFonts w:ascii="Times New Roman" w:hAnsi="Times New Roman" w:cs="Times New Roman"/>
                <w:b/>
                <w:sz w:val="20"/>
                <w:szCs w:val="20"/>
                <w:lang w:val="en-US"/>
              </w:rPr>
              <w:t>Measurement unit</w:t>
            </w:r>
          </w:p>
        </w:tc>
        <w:tc>
          <w:tcPr>
            <w:tcW w:w="344" w:type="pct"/>
            <w:tcBorders>
              <w:top w:val="single" w:sz="4" w:space="0" w:color="auto"/>
              <w:left w:val="single" w:sz="4" w:space="0" w:color="auto"/>
              <w:bottom w:val="single" w:sz="4" w:space="0" w:color="auto"/>
              <w:right w:val="single" w:sz="4" w:space="0" w:color="auto"/>
            </w:tcBorders>
            <w:hideMark/>
          </w:tcPr>
          <w:p w:rsidR="003D7489" w:rsidRPr="002F0872" w:rsidRDefault="003D7489" w:rsidP="008239CE">
            <w:pPr>
              <w:spacing w:after="0" w:line="240" w:lineRule="auto"/>
              <w:rPr>
                <w:rFonts w:ascii="Times New Roman" w:hAnsi="Times New Roman" w:cs="Times New Roman"/>
                <w:b/>
                <w:sz w:val="20"/>
                <w:szCs w:val="20"/>
                <w:lang w:val="en-US"/>
              </w:rPr>
            </w:pPr>
            <w:r w:rsidRPr="002F0872">
              <w:rPr>
                <w:rFonts w:ascii="Times New Roman" w:hAnsi="Times New Roman" w:cs="Times New Roman"/>
                <w:b/>
                <w:sz w:val="20"/>
                <w:szCs w:val="20"/>
                <w:lang w:val="en-US"/>
              </w:rPr>
              <w:t>Baseline or reference value</w:t>
            </w:r>
          </w:p>
        </w:tc>
        <w:tc>
          <w:tcPr>
            <w:tcW w:w="206" w:type="pct"/>
            <w:tcBorders>
              <w:top w:val="single" w:sz="4" w:space="0" w:color="auto"/>
              <w:left w:val="single" w:sz="4" w:space="0" w:color="auto"/>
              <w:bottom w:val="single" w:sz="4" w:space="0" w:color="auto"/>
              <w:right w:val="single" w:sz="4" w:space="0" w:color="auto"/>
            </w:tcBorders>
            <w:hideMark/>
          </w:tcPr>
          <w:p w:rsidR="003D7489" w:rsidRPr="002F0872" w:rsidRDefault="003D7489" w:rsidP="008239CE">
            <w:pPr>
              <w:spacing w:after="0" w:line="240" w:lineRule="auto"/>
              <w:rPr>
                <w:rFonts w:ascii="Times New Roman" w:hAnsi="Times New Roman" w:cs="Times New Roman"/>
                <w:b/>
                <w:sz w:val="20"/>
                <w:szCs w:val="20"/>
                <w:lang w:val="en-US"/>
              </w:rPr>
            </w:pPr>
            <w:r w:rsidRPr="002F0872">
              <w:rPr>
                <w:rFonts w:ascii="Times New Roman" w:hAnsi="Times New Roman" w:cs="Times New Roman"/>
                <w:b/>
                <w:sz w:val="20"/>
                <w:szCs w:val="20"/>
                <w:lang w:val="en-US"/>
              </w:rPr>
              <w:t>Reference year</w:t>
            </w:r>
          </w:p>
        </w:tc>
        <w:tc>
          <w:tcPr>
            <w:tcW w:w="275" w:type="pct"/>
            <w:tcBorders>
              <w:top w:val="single" w:sz="4" w:space="0" w:color="auto"/>
              <w:left w:val="single" w:sz="4" w:space="0" w:color="auto"/>
              <w:bottom w:val="single" w:sz="4" w:space="0" w:color="auto"/>
              <w:right w:val="single" w:sz="4" w:space="0" w:color="auto"/>
            </w:tcBorders>
          </w:tcPr>
          <w:p w:rsidR="003D7489" w:rsidRPr="002F0872" w:rsidRDefault="003D7489" w:rsidP="008239CE">
            <w:pPr>
              <w:spacing w:after="0" w:line="240" w:lineRule="auto"/>
              <w:rPr>
                <w:rFonts w:ascii="Times New Roman" w:hAnsi="Times New Roman" w:cs="Times New Roman"/>
                <w:b/>
                <w:sz w:val="20"/>
                <w:szCs w:val="20"/>
                <w:lang w:val="en-US"/>
              </w:rPr>
            </w:pPr>
            <w:r w:rsidRPr="002F0872">
              <w:rPr>
                <w:rFonts w:ascii="Times New Roman" w:hAnsi="Times New Roman" w:cs="Times New Roman"/>
                <w:b/>
                <w:sz w:val="20"/>
                <w:szCs w:val="20"/>
                <w:lang w:val="en-US"/>
              </w:rPr>
              <w:t>Target (2029)</w:t>
            </w:r>
          </w:p>
          <w:p w:rsidR="003D7489" w:rsidRPr="002F0872" w:rsidRDefault="003D7489" w:rsidP="008239CE">
            <w:pPr>
              <w:spacing w:after="0" w:line="240" w:lineRule="auto"/>
              <w:rPr>
                <w:rFonts w:ascii="Times New Roman" w:hAnsi="Times New Roman" w:cs="Times New Roman"/>
                <w:b/>
                <w:sz w:val="20"/>
                <w:szCs w:val="20"/>
                <w:lang w:val="en-US"/>
              </w:rPr>
            </w:pPr>
          </w:p>
        </w:tc>
        <w:tc>
          <w:tcPr>
            <w:tcW w:w="415" w:type="pct"/>
            <w:tcBorders>
              <w:top w:val="single" w:sz="4" w:space="0" w:color="auto"/>
              <w:left w:val="single" w:sz="4" w:space="0" w:color="auto"/>
              <w:bottom w:val="single" w:sz="4" w:space="0" w:color="auto"/>
              <w:right w:val="single" w:sz="4" w:space="0" w:color="auto"/>
            </w:tcBorders>
            <w:hideMark/>
          </w:tcPr>
          <w:p w:rsidR="003D7489" w:rsidRPr="002F0872" w:rsidRDefault="003D7489" w:rsidP="008239CE">
            <w:pPr>
              <w:spacing w:after="0" w:line="240" w:lineRule="auto"/>
              <w:rPr>
                <w:rFonts w:ascii="Times New Roman" w:hAnsi="Times New Roman" w:cs="Times New Roman"/>
                <w:b/>
                <w:sz w:val="20"/>
                <w:szCs w:val="20"/>
                <w:lang w:val="en-US"/>
              </w:rPr>
            </w:pPr>
            <w:r w:rsidRPr="002F0872">
              <w:rPr>
                <w:rFonts w:ascii="Times New Roman" w:hAnsi="Times New Roman" w:cs="Times New Roman"/>
                <w:b/>
                <w:sz w:val="20"/>
                <w:szCs w:val="20"/>
                <w:lang w:val="en-US"/>
              </w:rPr>
              <w:t>Source of data [200]</w:t>
            </w:r>
          </w:p>
        </w:tc>
        <w:tc>
          <w:tcPr>
            <w:tcW w:w="390" w:type="pct"/>
            <w:tcBorders>
              <w:top w:val="single" w:sz="4" w:space="0" w:color="auto"/>
              <w:left w:val="single" w:sz="4" w:space="0" w:color="auto"/>
              <w:bottom w:val="single" w:sz="4" w:space="0" w:color="auto"/>
              <w:right w:val="single" w:sz="4" w:space="0" w:color="auto"/>
            </w:tcBorders>
            <w:hideMark/>
          </w:tcPr>
          <w:p w:rsidR="003D7489" w:rsidRPr="002F0872" w:rsidRDefault="003D7489" w:rsidP="008239CE">
            <w:pPr>
              <w:spacing w:after="0" w:line="240" w:lineRule="auto"/>
              <w:rPr>
                <w:rFonts w:ascii="Times New Roman" w:hAnsi="Times New Roman" w:cs="Times New Roman"/>
                <w:b/>
                <w:sz w:val="20"/>
                <w:szCs w:val="20"/>
                <w:lang w:val="en-US"/>
              </w:rPr>
            </w:pPr>
            <w:r w:rsidRPr="002F0872">
              <w:rPr>
                <w:rFonts w:ascii="Times New Roman" w:hAnsi="Times New Roman" w:cs="Times New Roman"/>
                <w:b/>
                <w:sz w:val="20"/>
                <w:szCs w:val="20"/>
                <w:lang w:val="en-US"/>
              </w:rPr>
              <w:t>Comments [200]</w:t>
            </w:r>
          </w:p>
        </w:tc>
      </w:tr>
      <w:tr w:rsidR="00F457FA" w:rsidRPr="002F0872" w:rsidTr="008239CE">
        <w:trPr>
          <w:gridAfter w:val="1"/>
          <w:wAfter w:w="7" w:type="pct"/>
          <w:trHeight w:val="353"/>
        </w:trPr>
        <w:tc>
          <w:tcPr>
            <w:tcW w:w="271" w:type="pct"/>
            <w:tcBorders>
              <w:top w:val="single" w:sz="4" w:space="0" w:color="auto"/>
              <w:left w:val="single" w:sz="4" w:space="0" w:color="auto"/>
              <w:bottom w:val="single" w:sz="4" w:space="0" w:color="auto"/>
              <w:right w:val="single" w:sz="4" w:space="0" w:color="auto"/>
            </w:tcBorders>
          </w:tcPr>
          <w:p w:rsidR="00F457FA" w:rsidRPr="00A146B8" w:rsidRDefault="00F457FA" w:rsidP="00F457FA">
            <w:pPr>
              <w:spacing w:after="0" w:line="240" w:lineRule="auto"/>
              <w:jc w:val="both"/>
              <w:rPr>
                <w:rFonts w:ascii="Times New Roman" w:hAnsi="Times New Roman" w:cs="Times New Roman"/>
                <w:sz w:val="20"/>
                <w:szCs w:val="20"/>
              </w:rPr>
            </w:pPr>
            <w:r>
              <w:rPr>
                <w:rFonts w:ascii="Times New Roman" w:hAnsi="Times New Roman" w:cs="Times New Roman"/>
                <w:sz w:val="20"/>
                <w:szCs w:val="20"/>
              </w:rPr>
              <w:t>6.0</w:t>
            </w:r>
            <w:r w:rsidRPr="00A146B8">
              <w:rPr>
                <w:rFonts w:ascii="Times New Roman" w:hAnsi="Times New Roman" w:cs="Times New Roman"/>
                <w:sz w:val="20"/>
                <w:szCs w:val="20"/>
              </w:rPr>
              <w:t xml:space="preserve">. </w:t>
            </w:r>
          </w:p>
          <w:p w:rsidR="00F457FA" w:rsidRPr="00A146B8" w:rsidRDefault="00F457FA" w:rsidP="00F457FA">
            <w:pPr>
              <w:spacing w:after="0" w:line="240" w:lineRule="auto"/>
              <w:jc w:val="both"/>
              <w:rPr>
                <w:rFonts w:ascii="Times New Roman" w:hAnsi="Times New Roman" w:cs="Times New Roman"/>
                <w:sz w:val="20"/>
                <w:szCs w:val="20"/>
              </w:rPr>
            </w:pPr>
          </w:p>
          <w:p w:rsidR="00F457FA" w:rsidRPr="002F0872" w:rsidRDefault="00F457FA" w:rsidP="00F457FA">
            <w:pPr>
              <w:spacing w:after="0" w:line="240" w:lineRule="auto"/>
              <w:rPr>
                <w:rFonts w:ascii="Times New Roman" w:hAnsi="Times New Roman" w:cs="Times New Roman"/>
                <w:i/>
                <w:sz w:val="20"/>
                <w:szCs w:val="20"/>
                <w:lang w:val="en-US"/>
              </w:rPr>
            </w:pPr>
          </w:p>
        </w:tc>
        <w:tc>
          <w:tcPr>
            <w:tcW w:w="757" w:type="pct"/>
            <w:tcBorders>
              <w:top w:val="single" w:sz="4" w:space="0" w:color="auto"/>
              <w:left w:val="single" w:sz="4" w:space="0" w:color="auto"/>
              <w:bottom w:val="single" w:sz="4" w:space="0" w:color="auto"/>
              <w:right w:val="single" w:sz="4" w:space="0" w:color="auto"/>
            </w:tcBorders>
          </w:tcPr>
          <w:p w:rsidR="00F457FA" w:rsidRPr="002F0872" w:rsidRDefault="00F457FA" w:rsidP="00F457FA">
            <w:pPr>
              <w:spacing w:after="0" w:line="240" w:lineRule="auto"/>
              <w:jc w:val="center"/>
              <w:rPr>
                <w:rFonts w:ascii="Times New Roman" w:hAnsi="Times New Roman" w:cs="Times New Roman"/>
                <w:i/>
                <w:sz w:val="20"/>
                <w:szCs w:val="20"/>
                <w:lang w:val="en-US"/>
              </w:rPr>
            </w:pPr>
            <w:r w:rsidRPr="00BC31E0">
              <w:rPr>
                <w:rFonts w:ascii="Times New Roman" w:hAnsi="Times New Roman" w:cs="Times New Roman"/>
                <w:i/>
                <w:noProof/>
                <w:sz w:val="20"/>
                <w:szCs w:val="20"/>
                <w:lang w:val="en-GB"/>
              </w:rPr>
              <w:t xml:space="preserve">e (ii) e (ii) </w:t>
            </w:r>
            <w:r w:rsidRPr="00BC31E0">
              <w:rPr>
                <w:rFonts w:ascii="Times New Roman" w:eastAsia="Times New Roman" w:hAnsi="Times New Roman" w:cs="Times New Roman"/>
                <w:i/>
                <w:iCs/>
                <w:noProof/>
                <w:sz w:val="20"/>
                <w:szCs w:val="20"/>
              </w:rPr>
              <w:t>Promovarea dezvoltării integrate în domeniul social, economic și al mediului la nivel local, a patrimon</w:t>
            </w:r>
            <w:r>
              <w:rPr>
                <w:rFonts w:ascii="Times New Roman" w:eastAsia="Times New Roman" w:hAnsi="Times New Roman" w:cs="Times New Roman"/>
                <w:i/>
                <w:iCs/>
                <w:noProof/>
                <w:sz w:val="20"/>
                <w:szCs w:val="20"/>
              </w:rPr>
              <w:t>iului cultural și a securitățiiăn afara zonelor urbane</w:t>
            </w:r>
          </w:p>
        </w:tc>
        <w:tc>
          <w:tcPr>
            <w:tcW w:w="343" w:type="pct"/>
            <w:tcBorders>
              <w:top w:val="single" w:sz="4" w:space="0" w:color="auto"/>
              <w:left w:val="single" w:sz="4" w:space="0" w:color="auto"/>
              <w:bottom w:val="single" w:sz="4" w:space="0" w:color="auto"/>
              <w:right w:val="single" w:sz="4" w:space="0" w:color="auto"/>
            </w:tcBorders>
          </w:tcPr>
          <w:p w:rsidR="00F457FA" w:rsidRPr="002F0872" w:rsidRDefault="00F457FA" w:rsidP="00F457FA">
            <w:pPr>
              <w:spacing w:after="0" w:line="240" w:lineRule="auto"/>
              <w:rPr>
                <w:rFonts w:ascii="Times New Roman" w:hAnsi="Times New Roman" w:cs="Times New Roman"/>
                <w:i/>
                <w:sz w:val="20"/>
                <w:szCs w:val="20"/>
                <w:lang w:val="en-US"/>
              </w:rPr>
            </w:pPr>
            <w:r w:rsidRPr="002F0872">
              <w:rPr>
                <w:rFonts w:ascii="Times New Roman" w:hAnsi="Times New Roman" w:cs="Times New Roman"/>
                <w:b/>
                <w:i/>
                <w:noProof/>
                <w:sz w:val="20"/>
                <w:szCs w:val="20"/>
              </w:rPr>
              <w:t>FEDR</w:t>
            </w:r>
          </w:p>
        </w:tc>
        <w:tc>
          <w:tcPr>
            <w:tcW w:w="481" w:type="pct"/>
            <w:tcBorders>
              <w:top w:val="single" w:sz="4" w:space="0" w:color="auto"/>
              <w:left w:val="single" w:sz="4" w:space="0" w:color="auto"/>
              <w:bottom w:val="single" w:sz="4" w:space="0" w:color="auto"/>
              <w:right w:val="single" w:sz="4" w:space="0" w:color="auto"/>
            </w:tcBorders>
          </w:tcPr>
          <w:p w:rsidR="00F457FA" w:rsidRPr="002F0872" w:rsidRDefault="00F457FA" w:rsidP="00F457FA">
            <w:pPr>
              <w:spacing w:after="0" w:line="240" w:lineRule="auto"/>
              <w:rPr>
                <w:rFonts w:ascii="Times New Roman" w:hAnsi="Times New Roman" w:cs="Times New Roman"/>
                <w:i/>
                <w:sz w:val="20"/>
                <w:szCs w:val="20"/>
                <w:lang w:val="en-US"/>
              </w:rPr>
            </w:pPr>
            <w:r w:rsidRPr="002F0872">
              <w:rPr>
                <w:rFonts w:ascii="Times New Roman" w:hAnsi="Times New Roman" w:cs="Times New Roman"/>
                <w:b/>
                <w:i/>
                <w:noProof/>
                <w:sz w:val="20"/>
                <w:szCs w:val="20"/>
              </w:rPr>
              <w:t>Mai putin dezvoltata</w:t>
            </w:r>
          </w:p>
        </w:tc>
        <w:tc>
          <w:tcPr>
            <w:tcW w:w="380" w:type="pct"/>
            <w:tcBorders>
              <w:top w:val="single" w:sz="4" w:space="0" w:color="auto"/>
              <w:left w:val="single" w:sz="4" w:space="0" w:color="auto"/>
              <w:bottom w:val="single" w:sz="4" w:space="0" w:color="auto"/>
              <w:right w:val="single" w:sz="4" w:space="0" w:color="auto"/>
            </w:tcBorders>
          </w:tcPr>
          <w:p w:rsidR="00F457FA" w:rsidRPr="006929ED" w:rsidRDefault="00F457FA" w:rsidP="00F457FA">
            <w:pPr>
              <w:pStyle w:val="Text1"/>
              <w:ind w:left="0"/>
              <w:rPr>
                <w:i/>
                <w:noProof/>
                <w:sz w:val="20"/>
                <w:szCs w:val="20"/>
                <w:lang w:val="ro-RO"/>
              </w:rPr>
            </w:pPr>
            <w:r w:rsidRPr="006929ED">
              <w:rPr>
                <w:i/>
                <w:noProof/>
                <w:sz w:val="20"/>
                <w:szCs w:val="20"/>
                <w:lang w:val="ro-RO"/>
              </w:rPr>
              <w:t>RCR 77</w:t>
            </w:r>
          </w:p>
          <w:p w:rsidR="00F457FA" w:rsidRPr="006929ED" w:rsidRDefault="00F457FA" w:rsidP="00F457FA">
            <w:pPr>
              <w:spacing w:after="0" w:line="240" w:lineRule="auto"/>
              <w:rPr>
                <w:rFonts w:ascii="Times New Roman" w:hAnsi="Times New Roman" w:cs="Times New Roman"/>
                <w:i/>
                <w:sz w:val="20"/>
                <w:szCs w:val="20"/>
                <w:lang w:val="en-US"/>
              </w:rPr>
            </w:pPr>
          </w:p>
        </w:tc>
        <w:tc>
          <w:tcPr>
            <w:tcW w:w="787" w:type="pct"/>
            <w:tcBorders>
              <w:top w:val="single" w:sz="4" w:space="0" w:color="auto"/>
              <w:left w:val="single" w:sz="4" w:space="0" w:color="auto"/>
              <w:bottom w:val="single" w:sz="4" w:space="0" w:color="auto"/>
              <w:right w:val="single" w:sz="4" w:space="0" w:color="auto"/>
            </w:tcBorders>
          </w:tcPr>
          <w:p w:rsidR="00F457FA" w:rsidRPr="006929ED" w:rsidRDefault="00F457FA" w:rsidP="00F457FA">
            <w:pPr>
              <w:rPr>
                <w:rFonts w:ascii="Times New Roman" w:hAnsi="Times New Roman" w:cs="Times New Roman"/>
                <w:i/>
                <w:noProof/>
                <w:sz w:val="20"/>
                <w:szCs w:val="20"/>
              </w:rPr>
            </w:pPr>
            <w:r w:rsidRPr="006929ED">
              <w:rPr>
                <w:rFonts w:ascii="Times New Roman" w:hAnsi="Times New Roman" w:cs="Times New Roman"/>
                <w:i/>
                <w:noProof/>
                <w:sz w:val="20"/>
              </w:rPr>
              <w:t>Vizitatori ai obiectivelor culturale și turistice finanțate</w:t>
            </w:r>
          </w:p>
          <w:p w:rsidR="00F457FA" w:rsidRPr="006929ED" w:rsidRDefault="00F457FA" w:rsidP="00F457FA">
            <w:pPr>
              <w:pStyle w:val="Default"/>
              <w:jc w:val="both"/>
              <w:rPr>
                <w:rFonts w:ascii="Times New Roman" w:hAnsi="Times New Roman" w:cs="Times New Roman"/>
                <w:i/>
                <w:sz w:val="20"/>
                <w:szCs w:val="20"/>
                <w:lang w:val="en-US"/>
              </w:rPr>
            </w:pPr>
          </w:p>
        </w:tc>
        <w:tc>
          <w:tcPr>
            <w:tcW w:w="344" w:type="pct"/>
            <w:tcBorders>
              <w:top w:val="single" w:sz="4" w:space="0" w:color="auto"/>
              <w:left w:val="single" w:sz="4" w:space="0" w:color="auto"/>
              <w:bottom w:val="single" w:sz="4" w:space="0" w:color="auto"/>
              <w:right w:val="single" w:sz="4" w:space="0" w:color="auto"/>
            </w:tcBorders>
          </w:tcPr>
          <w:p w:rsidR="00F457FA" w:rsidRPr="002F0872" w:rsidRDefault="00F457FA" w:rsidP="00F457FA">
            <w:pPr>
              <w:pStyle w:val="Text1"/>
              <w:spacing w:before="0" w:after="0" w:line="240" w:lineRule="auto"/>
              <w:ind w:left="0"/>
              <w:rPr>
                <w:i/>
                <w:sz w:val="20"/>
                <w:szCs w:val="20"/>
                <w:lang w:val="en-US"/>
              </w:rPr>
            </w:pPr>
          </w:p>
          <w:p w:rsidR="00F457FA" w:rsidRPr="002F0872" w:rsidRDefault="00F457FA" w:rsidP="00F457FA">
            <w:pPr>
              <w:spacing w:after="0" w:line="240" w:lineRule="auto"/>
              <w:rPr>
                <w:rFonts w:ascii="Times New Roman" w:hAnsi="Times New Roman" w:cs="Times New Roman"/>
                <w:i/>
                <w:sz w:val="20"/>
                <w:szCs w:val="20"/>
                <w:lang w:val="en-US"/>
              </w:rPr>
            </w:pPr>
            <w:r>
              <w:rPr>
                <w:rFonts w:ascii="Times New Roman" w:hAnsi="Times New Roman" w:cs="Times New Roman"/>
                <w:i/>
                <w:sz w:val="20"/>
                <w:szCs w:val="20"/>
                <w:lang w:val="en-US"/>
              </w:rPr>
              <w:t>Nr.</w:t>
            </w:r>
          </w:p>
        </w:tc>
        <w:tc>
          <w:tcPr>
            <w:tcW w:w="344" w:type="pct"/>
            <w:tcBorders>
              <w:top w:val="single" w:sz="4" w:space="0" w:color="auto"/>
              <w:left w:val="single" w:sz="4" w:space="0" w:color="auto"/>
              <w:bottom w:val="single" w:sz="4" w:space="0" w:color="auto"/>
              <w:right w:val="single" w:sz="4" w:space="0" w:color="auto"/>
            </w:tcBorders>
          </w:tcPr>
          <w:p w:rsidR="00F457FA" w:rsidRPr="002F24BA" w:rsidRDefault="00466983" w:rsidP="00F457FA">
            <w:pPr>
              <w:spacing w:after="0" w:line="240" w:lineRule="auto"/>
              <w:rPr>
                <w:rFonts w:ascii="Times New Roman" w:hAnsi="Times New Roman" w:cs="Times New Roman"/>
                <w:i/>
                <w:sz w:val="20"/>
                <w:szCs w:val="20"/>
                <w:lang w:val="en-US"/>
              </w:rPr>
            </w:pPr>
            <w:r>
              <w:rPr>
                <w:rFonts w:ascii="Times New Roman" w:hAnsi="Times New Roman" w:cs="Times New Roman"/>
                <w:i/>
                <w:sz w:val="20"/>
                <w:szCs w:val="20"/>
                <w:lang w:val="en-US"/>
              </w:rPr>
              <w:t>500</w:t>
            </w:r>
          </w:p>
        </w:tc>
        <w:tc>
          <w:tcPr>
            <w:tcW w:w="206" w:type="pct"/>
            <w:tcBorders>
              <w:top w:val="single" w:sz="4" w:space="0" w:color="auto"/>
              <w:left w:val="single" w:sz="4" w:space="0" w:color="auto"/>
              <w:bottom w:val="single" w:sz="4" w:space="0" w:color="auto"/>
              <w:right w:val="single" w:sz="4" w:space="0" w:color="auto"/>
            </w:tcBorders>
          </w:tcPr>
          <w:p w:rsidR="00F457FA" w:rsidRPr="002F24BA" w:rsidRDefault="00466983" w:rsidP="00F457FA">
            <w:pPr>
              <w:spacing w:after="0" w:line="240" w:lineRule="auto"/>
              <w:rPr>
                <w:rFonts w:ascii="Times New Roman" w:hAnsi="Times New Roman" w:cs="Times New Roman"/>
                <w:b/>
                <w:sz w:val="20"/>
                <w:szCs w:val="20"/>
                <w:lang w:val="en-US"/>
              </w:rPr>
            </w:pPr>
            <w:r>
              <w:rPr>
                <w:rFonts w:ascii="Times New Roman" w:hAnsi="Times New Roman" w:cs="Times New Roman"/>
                <w:b/>
                <w:sz w:val="20"/>
                <w:szCs w:val="20"/>
                <w:lang w:val="en-US"/>
              </w:rPr>
              <w:t>2019</w:t>
            </w:r>
          </w:p>
        </w:tc>
        <w:tc>
          <w:tcPr>
            <w:tcW w:w="275" w:type="pct"/>
            <w:tcBorders>
              <w:top w:val="single" w:sz="4" w:space="0" w:color="auto"/>
              <w:left w:val="single" w:sz="4" w:space="0" w:color="auto"/>
              <w:bottom w:val="single" w:sz="4" w:space="0" w:color="auto"/>
              <w:right w:val="single" w:sz="4" w:space="0" w:color="auto"/>
            </w:tcBorders>
          </w:tcPr>
          <w:p w:rsidR="00F457FA" w:rsidRPr="002F24BA" w:rsidRDefault="00466983" w:rsidP="00F457FA">
            <w:pPr>
              <w:spacing w:after="0" w:line="240" w:lineRule="auto"/>
              <w:rPr>
                <w:rFonts w:ascii="Times New Roman" w:hAnsi="Times New Roman" w:cs="Times New Roman"/>
                <w:b/>
                <w:sz w:val="20"/>
                <w:szCs w:val="20"/>
                <w:lang w:val="en-US"/>
              </w:rPr>
            </w:pPr>
            <w:r>
              <w:rPr>
                <w:rFonts w:ascii="Times New Roman" w:hAnsi="Times New Roman" w:cs="Times New Roman"/>
                <w:b/>
                <w:sz w:val="20"/>
                <w:szCs w:val="20"/>
                <w:lang w:val="en-US"/>
              </w:rPr>
              <w:t>3000</w:t>
            </w:r>
          </w:p>
        </w:tc>
        <w:tc>
          <w:tcPr>
            <w:tcW w:w="415" w:type="pct"/>
            <w:tcBorders>
              <w:top w:val="single" w:sz="4" w:space="0" w:color="auto"/>
              <w:left w:val="single" w:sz="4" w:space="0" w:color="auto"/>
              <w:bottom w:val="single" w:sz="4" w:space="0" w:color="auto"/>
              <w:right w:val="single" w:sz="4" w:space="0" w:color="auto"/>
            </w:tcBorders>
          </w:tcPr>
          <w:p w:rsidR="00F457FA" w:rsidRPr="002F0872" w:rsidRDefault="00F457FA" w:rsidP="00F457FA">
            <w:pPr>
              <w:spacing w:after="0" w:line="240" w:lineRule="auto"/>
              <w:rPr>
                <w:rFonts w:ascii="Times New Roman" w:hAnsi="Times New Roman" w:cs="Times New Roman"/>
                <w:i/>
                <w:sz w:val="20"/>
                <w:szCs w:val="20"/>
                <w:lang w:val="en-US"/>
              </w:rPr>
            </w:pPr>
            <w:r>
              <w:rPr>
                <w:rFonts w:ascii="Times New Roman" w:hAnsi="Times New Roman" w:cs="Times New Roman"/>
                <w:i/>
                <w:sz w:val="20"/>
                <w:szCs w:val="20"/>
                <w:lang w:val="en-US"/>
              </w:rPr>
              <w:t>Baza de date a beneficiarilor</w:t>
            </w:r>
          </w:p>
        </w:tc>
        <w:tc>
          <w:tcPr>
            <w:tcW w:w="390" w:type="pct"/>
            <w:tcBorders>
              <w:top w:val="single" w:sz="4" w:space="0" w:color="auto"/>
              <w:left w:val="single" w:sz="4" w:space="0" w:color="auto"/>
              <w:bottom w:val="single" w:sz="4" w:space="0" w:color="auto"/>
              <w:right w:val="single" w:sz="4" w:space="0" w:color="auto"/>
            </w:tcBorders>
          </w:tcPr>
          <w:p w:rsidR="00F457FA" w:rsidRPr="002F0872" w:rsidRDefault="00F457FA" w:rsidP="00F457FA">
            <w:pPr>
              <w:spacing w:after="0" w:line="240" w:lineRule="auto"/>
              <w:rPr>
                <w:rFonts w:ascii="Times New Roman" w:hAnsi="Times New Roman" w:cs="Times New Roman"/>
                <w:i/>
                <w:sz w:val="20"/>
                <w:szCs w:val="20"/>
                <w:lang w:val="en-US"/>
              </w:rPr>
            </w:pPr>
            <w:r w:rsidRPr="00D8731C">
              <w:rPr>
                <w:rFonts w:ascii="Times New Roman" w:hAnsi="Times New Roman" w:cs="Times New Roman"/>
                <w:bCs/>
                <w:i/>
                <w:sz w:val="18"/>
                <w:szCs w:val="18"/>
                <w:lang w:val="en-US"/>
              </w:rPr>
              <w:t>La un an de la finalizarea sprijinului</w:t>
            </w:r>
          </w:p>
        </w:tc>
      </w:tr>
    </w:tbl>
    <w:p w:rsidR="003D7489" w:rsidRDefault="003D7489" w:rsidP="003D7489">
      <w:pPr>
        <w:spacing w:after="0" w:line="240" w:lineRule="auto"/>
        <w:rPr>
          <w:b/>
          <w:iCs/>
          <w:lang w:val="en-GB"/>
        </w:rPr>
      </w:pPr>
      <w:r w:rsidRPr="006A3B94">
        <w:rPr>
          <w:rFonts w:ascii="Times New Roman" w:hAnsi="Times New Roman" w:cs="Times New Roman"/>
          <w:i/>
          <w:sz w:val="24"/>
          <w:szCs w:val="24"/>
          <w:lang w:val="en-GB"/>
        </w:rPr>
        <w:t xml:space="preserve"> [Point 2.1.1.3 in the Commission proposal has been moved up following changes in Article 17(3)(c) CPR and it is now point 2.1.1.bis]</w:t>
      </w:r>
    </w:p>
    <w:p w:rsidR="0070572B" w:rsidRDefault="0070572B" w:rsidP="00A26390">
      <w:pPr>
        <w:spacing w:before="240" w:after="240"/>
        <w:rPr>
          <w:b/>
          <w:iCs/>
          <w:lang w:val="en-GB"/>
        </w:rPr>
      </w:pPr>
    </w:p>
    <w:p w:rsidR="00F000AD" w:rsidRPr="00F000AD" w:rsidRDefault="00F000AD" w:rsidP="008F01BC">
      <w:pPr>
        <w:spacing w:before="240" w:after="240"/>
        <w:rPr>
          <w:lang w:val="en-GB"/>
        </w:rPr>
      </w:pPr>
      <w:r w:rsidRPr="00F000AD">
        <w:rPr>
          <w:b/>
          <w:iCs/>
          <w:lang w:val="en-GB"/>
        </w:rPr>
        <w:br w:type="page"/>
      </w:r>
    </w:p>
    <w:p w:rsidR="00F000AD" w:rsidRPr="00F000AD" w:rsidRDefault="00F000AD" w:rsidP="00F000AD">
      <w:pPr>
        <w:rPr>
          <w:b/>
          <w:lang w:val="en-GB"/>
        </w:rPr>
      </w:pPr>
      <w:r w:rsidRPr="00F000AD">
        <w:rPr>
          <w:b/>
          <w:lang w:val="en-GB"/>
        </w:rPr>
        <w:lastRenderedPageBreak/>
        <w:t>2.B.2 Priority for technical assistance pursuant to Article 32 – repeated for each TA priority</w:t>
      </w:r>
    </w:p>
    <w:p w:rsidR="00F000AD" w:rsidRPr="00F000AD" w:rsidRDefault="00F000AD" w:rsidP="00F000AD">
      <w:pPr>
        <w:rPr>
          <w:bCs/>
          <w:i/>
          <w:lang w:val="en-GB"/>
        </w:rPr>
      </w:pPr>
      <w:r w:rsidRPr="00F000AD">
        <w:rPr>
          <w:bCs/>
          <w:i/>
          <w:lang w:val="en-GB"/>
        </w:rPr>
        <w:t xml:space="preserve">Reference: Article 17(3)(e) </w:t>
      </w:r>
    </w:p>
    <w:p w:rsidR="00F000AD" w:rsidRPr="00F000AD" w:rsidRDefault="00F000AD" w:rsidP="00F000AD">
      <w:pPr>
        <w:rPr>
          <w:b/>
          <w:lang w:val="en-GB"/>
        </w:rPr>
      </w:pPr>
      <w:r w:rsidRPr="00F000AD">
        <w:rPr>
          <w:b/>
          <w:lang w:val="en-GB"/>
        </w:rPr>
        <w:t xml:space="preserve">2.B.2.1 Description of </w:t>
      </w:r>
      <w:r w:rsidRPr="00F000AD">
        <w:rPr>
          <w:b/>
          <w:iCs/>
          <w:lang w:val="en-GB"/>
        </w:rPr>
        <w:t>technical assistance under financing not linked to costs</w:t>
      </w:r>
      <w:r w:rsidRPr="00F000AD">
        <w:rPr>
          <w:b/>
          <w:lang w:val="en-GB"/>
        </w:rPr>
        <w:t xml:space="preserve"> – Article 32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F000AD" w:rsidRPr="00F000AD" w:rsidTr="00F000AD">
        <w:tc>
          <w:tcPr>
            <w:tcW w:w="9288" w:type="dxa"/>
            <w:tcBorders>
              <w:top w:val="single" w:sz="4" w:space="0" w:color="auto"/>
              <w:left w:val="single" w:sz="4" w:space="0" w:color="auto"/>
              <w:bottom w:val="single" w:sz="4" w:space="0" w:color="auto"/>
              <w:right w:val="single" w:sz="4" w:space="0" w:color="auto"/>
            </w:tcBorders>
            <w:hideMark/>
          </w:tcPr>
          <w:p w:rsidR="00F000AD" w:rsidRDefault="00F000AD" w:rsidP="00F000AD">
            <w:pPr>
              <w:rPr>
                <w:i/>
                <w:iCs/>
                <w:lang w:val="en-US"/>
              </w:rPr>
            </w:pPr>
            <w:r w:rsidRPr="00F000AD">
              <w:rPr>
                <w:i/>
                <w:iCs/>
                <w:lang w:val="en-US"/>
              </w:rPr>
              <w:t xml:space="preserve">Text field [3 000] </w:t>
            </w:r>
          </w:p>
          <w:p w:rsidR="00B15508" w:rsidRPr="00DE593C" w:rsidRDefault="00B15508" w:rsidP="00DE593C">
            <w:pPr>
              <w:spacing w:after="0" w:line="240" w:lineRule="auto"/>
              <w:jc w:val="both"/>
              <w:rPr>
                <w:rFonts w:ascii="Times New Roman" w:hAnsi="Times New Roman" w:cs="Times New Roman"/>
                <w:sz w:val="20"/>
                <w:szCs w:val="20"/>
              </w:rPr>
            </w:pPr>
            <w:r w:rsidRPr="00DE593C">
              <w:rPr>
                <w:rFonts w:ascii="Times New Roman" w:hAnsi="Times New Roman" w:cs="Times New Roman"/>
                <w:sz w:val="20"/>
                <w:szCs w:val="20"/>
              </w:rPr>
              <w:t xml:space="preserve">Intervențiile în domeniul asistenței tehnice vizează următoarele paliere de sprijin: </w:t>
            </w:r>
          </w:p>
          <w:p w:rsidR="00B15508" w:rsidRPr="00DE593C" w:rsidRDefault="00B15508" w:rsidP="00DE593C">
            <w:pPr>
              <w:pStyle w:val="Listparagraf"/>
              <w:numPr>
                <w:ilvl w:val="0"/>
                <w:numId w:val="61"/>
              </w:numPr>
              <w:spacing w:before="0" w:after="0" w:line="240" w:lineRule="auto"/>
              <w:jc w:val="both"/>
              <w:rPr>
                <w:i/>
                <w:iCs/>
                <w:sz w:val="20"/>
                <w:szCs w:val="20"/>
                <w:lang w:val="en-US"/>
              </w:rPr>
            </w:pPr>
            <w:r w:rsidRPr="00DE593C">
              <w:rPr>
                <w:sz w:val="20"/>
                <w:szCs w:val="20"/>
              </w:rPr>
              <w:t xml:space="preserve">Asigurarea funcționării sistemului de management </w:t>
            </w:r>
          </w:p>
          <w:p w:rsidR="00B15508" w:rsidRPr="00DE593C" w:rsidRDefault="00B15508" w:rsidP="00DE593C">
            <w:pPr>
              <w:pStyle w:val="Listparagraf"/>
              <w:numPr>
                <w:ilvl w:val="0"/>
                <w:numId w:val="61"/>
              </w:numPr>
              <w:spacing w:before="0" w:after="0" w:line="240" w:lineRule="auto"/>
              <w:jc w:val="both"/>
              <w:rPr>
                <w:i/>
                <w:iCs/>
                <w:sz w:val="20"/>
                <w:szCs w:val="20"/>
                <w:lang w:val="en-US"/>
              </w:rPr>
            </w:pPr>
            <w:r w:rsidRPr="00DE593C">
              <w:rPr>
                <w:sz w:val="20"/>
                <w:szCs w:val="20"/>
              </w:rPr>
              <w:t xml:space="preserve">Dezvoltarea capacității administrative și asigurarea instrumentelor necesare pentru coordonarea și managementul POR. </w:t>
            </w:r>
          </w:p>
          <w:p w:rsidR="009E540E" w:rsidRPr="00DE593C" w:rsidRDefault="009E540E" w:rsidP="00DE593C">
            <w:pPr>
              <w:spacing w:after="0" w:line="240" w:lineRule="auto"/>
              <w:jc w:val="both"/>
              <w:rPr>
                <w:rFonts w:ascii="Times New Roman" w:hAnsi="Times New Roman" w:cs="Times New Roman"/>
                <w:i/>
                <w:iCs/>
                <w:sz w:val="20"/>
                <w:szCs w:val="20"/>
                <w:lang w:val="en-US"/>
              </w:rPr>
            </w:pPr>
            <w:r w:rsidRPr="00DE593C">
              <w:rPr>
                <w:rFonts w:ascii="Times New Roman" w:hAnsi="Times New Roman" w:cs="Times New Roman"/>
                <w:i/>
                <w:iCs/>
                <w:sz w:val="20"/>
                <w:szCs w:val="20"/>
                <w:lang w:val="en-US"/>
              </w:rPr>
              <w:t>In acest sens sunt prevazute urmatoarele tipuri de activități:</w:t>
            </w:r>
          </w:p>
          <w:p w:rsidR="00DE593C" w:rsidRPr="004B0EE3" w:rsidRDefault="009E540E" w:rsidP="004B0EE3">
            <w:pPr>
              <w:pStyle w:val="Listparagraf"/>
              <w:numPr>
                <w:ilvl w:val="0"/>
                <w:numId w:val="88"/>
              </w:numPr>
              <w:spacing w:after="0" w:line="240" w:lineRule="auto"/>
              <w:jc w:val="both"/>
              <w:rPr>
                <w:sz w:val="20"/>
                <w:szCs w:val="20"/>
              </w:rPr>
            </w:pPr>
            <w:r w:rsidRPr="004B0EE3">
              <w:rPr>
                <w:sz w:val="20"/>
                <w:szCs w:val="20"/>
              </w:rPr>
              <w:t xml:space="preserve">sprijinirea AM POR Centru (inclusiv costuri administrative, respectiv de personal) pentru implementarea diferitelor etape ale POR Centru, inclusiv identificarea si dezvoltarea proiectelor, intocmirea de documentatii tehnico-economice pentru proiecte, pregatire, selectie, verificare si monitorizare, evaluare, control si audit; </w:t>
            </w:r>
          </w:p>
          <w:p w:rsidR="009E540E" w:rsidRPr="004B0EE3" w:rsidRDefault="009E540E" w:rsidP="004B0EE3">
            <w:pPr>
              <w:pStyle w:val="Listparagraf"/>
              <w:numPr>
                <w:ilvl w:val="0"/>
                <w:numId w:val="88"/>
              </w:numPr>
              <w:spacing w:after="0" w:line="240" w:lineRule="auto"/>
              <w:jc w:val="both"/>
              <w:rPr>
                <w:sz w:val="20"/>
                <w:szCs w:val="20"/>
              </w:rPr>
            </w:pPr>
            <w:r w:rsidRPr="004B0EE3">
              <w:rPr>
                <w:sz w:val="20"/>
                <w:szCs w:val="20"/>
              </w:rPr>
              <w:t>sprijin în a</w:t>
            </w:r>
            <w:r w:rsidRPr="004B0EE3">
              <w:rPr>
                <w:rStyle w:val="Robust"/>
                <w:b w:val="0"/>
                <w:sz w:val="20"/>
                <w:szCs w:val="20"/>
                <w:shd w:val="clear" w:color="auto" w:fill="FFFFFF"/>
              </w:rPr>
              <w:t>sigurarea serviciilor necesare implementării POR Centru: servicii de evaluare, elaborare de studii si analize specifice, servicii de instruire a personalului propriu din cadrul AM POR, dar si a beneficiarilor</w:t>
            </w:r>
          </w:p>
          <w:p w:rsidR="009E540E" w:rsidRPr="004B0EE3" w:rsidRDefault="00DE593C" w:rsidP="004B0EE3">
            <w:pPr>
              <w:pStyle w:val="Listparagraf"/>
              <w:numPr>
                <w:ilvl w:val="0"/>
                <w:numId w:val="88"/>
              </w:numPr>
              <w:spacing w:after="0" w:line="240" w:lineRule="auto"/>
              <w:jc w:val="both"/>
              <w:rPr>
                <w:sz w:val="20"/>
                <w:szCs w:val="20"/>
              </w:rPr>
            </w:pPr>
            <w:r w:rsidRPr="004B0EE3">
              <w:rPr>
                <w:sz w:val="20"/>
                <w:szCs w:val="20"/>
              </w:rPr>
              <w:t>a</w:t>
            </w:r>
            <w:r w:rsidR="009E540E" w:rsidRPr="004B0EE3">
              <w:rPr>
                <w:rStyle w:val="Robust"/>
                <w:b w:val="0"/>
                <w:sz w:val="20"/>
                <w:szCs w:val="20"/>
                <w:shd w:val="clear" w:color="auto" w:fill="FFFFFF"/>
              </w:rPr>
              <w:t>sigurarea bazei materiale necesare implementării POR Centru</w:t>
            </w:r>
            <w:r w:rsidR="009E540E" w:rsidRPr="004B0EE3">
              <w:rPr>
                <w:sz w:val="20"/>
                <w:szCs w:val="20"/>
              </w:rPr>
              <w:t>. Această activitate se referă la acțiunile de asigurare cu echipamente, periferice de calcul, aparatură birotică, mobilier, piese de schimb, materiale consumabile și obiecte de inventar și alte active corporale necesare derulării activităților</w:t>
            </w:r>
          </w:p>
          <w:p w:rsidR="00D55534" w:rsidRPr="004B0EE3" w:rsidRDefault="00D55534" w:rsidP="004B0EE3">
            <w:pPr>
              <w:pStyle w:val="Listparagraf"/>
              <w:numPr>
                <w:ilvl w:val="0"/>
                <w:numId w:val="88"/>
              </w:numPr>
              <w:spacing w:after="0" w:line="240" w:lineRule="auto"/>
              <w:jc w:val="both"/>
              <w:rPr>
                <w:sz w:val="20"/>
                <w:szCs w:val="20"/>
              </w:rPr>
            </w:pPr>
            <w:r w:rsidRPr="004B0EE3">
              <w:rPr>
                <w:sz w:val="20"/>
                <w:szCs w:val="20"/>
              </w:rPr>
              <w:t>sprijinirea organizatorica si logistica a CM POR Centru si a altor comitete/ grupuri de lucru implicate in implementarea POR Centru, inclusiv structurile de guvernare RIS3 Centru</w:t>
            </w:r>
          </w:p>
          <w:p w:rsidR="00D55534" w:rsidRPr="004B0EE3" w:rsidRDefault="009E540E" w:rsidP="004B0EE3">
            <w:pPr>
              <w:pStyle w:val="Listparagraf"/>
              <w:numPr>
                <w:ilvl w:val="0"/>
                <w:numId w:val="88"/>
              </w:numPr>
              <w:spacing w:after="0" w:line="240" w:lineRule="auto"/>
              <w:jc w:val="both"/>
              <w:rPr>
                <w:sz w:val="20"/>
                <w:szCs w:val="20"/>
              </w:rPr>
            </w:pPr>
            <w:r w:rsidRPr="004B0EE3">
              <w:rPr>
                <w:sz w:val="20"/>
                <w:szCs w:val="20"/>
              </w:rPr>
              <w:t xml:space="preserve">sprijinirea implementarii activitatilor de comunicare si vizibilitate POR </w:t>
            </w:r>
            <w:r w:rsidR="00D55534" w:rsidRPr="004B0EE3">
              <w:rPr>
                <w:sz w:val="20"/>
                <w:szCs w:val="20"/>
              </w:rPr>
              <w:t>Centru</w:t>
            </w:r>
            <w:r w:rsidRPr="004B0EE3">
              <w:rPr>
                <w:sz w:val="20"/>
                <w:szCs w:val="20"/>
              </w:rPr>
              <w:t xml:space="preserve"> (dezvoltarea si gestionarea instrumentelor de comunicare, inclusiv pagina web dedicata programului, realizarea si distribuirea materialelor informative si promovare, organizarea de evenimente de informare si promovare, campanii de promovare, etc); </w:t>
            </w:r>
          </w:p>
          <w:p w:rsidR="009E540E" w:rsidRPr="004B0EE3" w:rsidRDefault="009E540E" w:rsidP="004B0EE3">
            <w:pPr>
              <w:pStyle w:val="Listparagraf"/>
              <w:numPr>
                <w:ilvl w:val="0"/>
                <w:numId w:val="88"/>
              </w:numPr>
              <w:spacing w:after="0" w:line="240" w:lineRule="auto"/>
              <w:jc w:val="both"/>
              <w:rPr>
                <w:i/>
                <w:iCs/>
                <w:sz w:val="20"/>
                <w:szCs w:val="20"/>
                <w:lang w:val="en-US"/>
              </w:rPr>
            </w:pPr>
            <w:r w:rsidRPr="004B0EE3">
              <w:rPr>
                <w:sz w:val="20"/>
                <w:szCs w:val="20"/>
              </w:rPr>
              <w:t xml:space="preserve">sprijinirea pregatirii / implementarii/monitorizarii POR </w:t>
            </w:r>
            <w:r w:rsidR="00D55534" w:rsidRPr="004B0EE3">
              <w:rPr>
                <w:sz w:val="20"/>
                <w:szCs w:val="20"/>
              </w:rPr>
              <w:t xml:space="preserve">Centru </w:t>
            </w:r>
            <w:r w:rsidRPr="004B0EE3">
              <w:rPr>
                <w:sz w:val="20"/>
                <w:szCs w:val="20"/>
              </w:rPr>
              <w:t xml:space="preserve">si PDR </w:t>
            </w:r>
            <w:r w:rsidR="00D55534" w:rsidRPr="004B0EE3">
              <w:rPr>
                <w:sz w:val="20"/>
                <w:szCs w:val="20"/>
              </w:rPr>
              <w:t>Centru</w:t>
            </w:r>
            <w:r w:rsidRPr="004B0EE3">
              <w:rPr>
                <w:sz w:val="20"/>
                <w:szCs w:val="20"/>
              </w:rPr>
              <w:t>, inclusiv pregatirea urmatoarei perioade de programare;</w:t>
            </w:r>
          </w:p>
          <w:p w:rsidR="004B0EE3" w:rsidRDefault="004B0EE3" w:rsidP="00DE593C">
            <w:pPr>
              <w:spacing w:after="0" w:line="240" w:lineRule="auto"/>
              <w:jc w:val="both"/>
              <w:rPr>
                <w:rFonts w:ascii="Times New Roman" w:hAnsi="Times New Roman" w:cs="Times New Roman"/>
                <w:sz w:val="20"/>
                <w:szCs w:val="20"/>
              </w:rPr>
            </w:pPr>
          </w:p>
          <w:p w:rsidR="00D55534" w:rsidRPr="00DE593C" w:rsidRDefault="00B15508" w:rsidP="00DE593C">
            <w:pPr>
              <w:spacing w:after="0" w:line="240" w:lineRule="auto"/>
              <w:jc w:val="both"/>
              <w:rPr>
                <w:rFonts w:ascii="Times New Roman" w:hAnsi="Times New Roman" w:cs="Times New Roman"/>
                <w:sz w:val="20"/>
                <w:szCs w:val="20"/>
              </w:rPr>
            </w:pPr>
            <w:r w:rsidRPr="00DE593C">
              <w:rPr>
                <w:rFonts w:ascii="Times New Roman" w:hAnsi="Times New Roman" w:cs="Times New Roman"/>
                <w:sz w:val="20"/>
                <w:szCs w:val="20"/>
              </w:rPr>
              <w:t xml:space="preserve">Cheltuielile realizate în cadrul acestei axe prioritare vor fi rambursate pentru costuri directe, în conformitate cu art.30 (4) al RDC </w:t>
            </w:r>
          </w:p>
          <w:p w:rsidR="00D55534" w:rsidRDefault="00D55534" w:rsidP="00DE593C">
            <w:pPr>
              <w:spacing w:after="0" w:line="240" w:lineRule="auto"/>
              <w:jc w:val="both"/>
              <w:rPr>
                <w:rFonts w:ascii="Times New Roman" w:hAnsi="Times New Roman" w:cs="Times New Roman"/>
                <w:sz w:val="20"/>
                <w:szCs w:val="20"/>
              </w:rPr>
            </w:pPr>
            <w:r w:rsidRPr="00DE593C">
              <w:rPr>
                <w:rFonts w:ascii="Times New Roman" w:hAnsi="Times New Roman" w:cs="Times New Roman"/>
                <w:sz w:val="20"/>
                <w:szCs w:val="20"/>
              </w:rPr>
              <w:t>De asemenea, activitatile preconizate a se realiza prin intermediul acestei axe prioritare vor fi corelate cu masurile specifice din cadrul Programului Operational Asistenta Tehnica (POAT), in special in ceea ce priveste instruirea, sprijinul acordat beneficiarilor, precum si activitatile de comunicare si informare. Activitattile de instruire specifice POR Centru vor fi realizate conform planului de instruire al AM POR Centru in functie de nevoile identificate, in corelare cu masurile generale sprijinite prin intermediul POAT. De asemenea, activitatile de comunicare si informare vor fi realizate conform planului de comunicare AMPOR Centru. Corelarea si coordonarea activitatilor de asistenta tehnica se realizeaza in cadrul Comitetului de Coordonare al Asistentei Tehnice, gestionat de Ministerul Fondurilor Europene.</w:t>
            </w:r>
          </w:p>
          <w:p w:rsidR="004B0EE3" w:rsidRPr="00DE593C" w:rsidRDefault="004B0EE3" w:rsidP="00DE593C">
            <w:pPr>
              <w:spacing w:after="0" w:line="240" w:lineRule="auto"/>
              <w:jc w:val="both"/>
              <w:rPr>
                <w:rFonts w:ascii="Times New Roman" w:hAnsi="Times New Roman" w:cs="Times New Roman"/>
                <w:sz w:val="20"/>
                <w:szCs w:val="20"/>
              </w:rPr>
            </w:pPr>
          </w:p>
          <w:p w:rsidR="00B15508" w:rsidRPr="00F000AD" w:rsidRDefault="00B15508" w:rsidP="00DE593C">
            <w:pPr>
              <w:spacing w:after="0" w:line="240" w:lineRule="auto"/>
              <w:jc w:val="both"/>
              <w:rPr>
                <w:i/>
                <w:iCs/>
                <w:lang w:val="en-US"/>
              </w:rPr>
            </w:pPr>
            <w:r w:rsidRPr="00DE593C">
              <w:rPr>
                <w:rFonts w:ascii="Times New Roman" w:hAnsi="Times New Roman" w:cs="Times New Roman"/>
                <w:sz w:val="20"/>
                <w:szCs w:val="20"/>
              </w:rPr>
              <w:t xml:space="preserve">Beneficiari potențiali: - Entități din cadrul sistemului de management și control al POR Centru </w:t>
            </w:r>
            <w:r w:rsidR="009E540E" w:rsidRPr="00DE593C">
              <w:rPr>
                <w:rFonts w:ascii="Times New Roman" w:hAnsi="Times New Roman" w:cs="Times New Roman"/>
                <w:sz w:val="20"/>
                <w:szCs w:val="20"/>
              </w:rPr>
              <w:t>–</w:t>
            </w:r>
            <w:r w:rsidRPr="00DE593C">
              <w:rPr>
                <w:rFonts w:ascii="Times New Roman" w:hAnsi="Times New Roman" w:cs="Times New Roman"/>
                <w:sz w:val="20"/>
                <w:szCs w:val="20"/>
              </w:rPr>
              <w:t xml:space="preserve"> </w:t>
            </w:r>
            <w:r w:rsidR="009E540E" w:rsidRPr="00DE593C">
              <w:rPr>
                <w:rFonts w:ascii="Times New Roman" w:hAnsi="Times New Roman" w:cs="Times New Roman"/>
                <w:sz w:val="20"/>
                <w:szCs w:val="20"/>
              </w:rPr>
              <w:t xml:space="preserve">AM POR din cadrul ADR Centru, </w:t>
            </w:r>
            <w:r w:rsidRPr="00DE593C">
              <w:rPr>
                <w:rFonts w:ascii="Times New Roman" w:hAnsi="Times New Roman" w:cs="Times New Roman"/>
                <w:sz w:val="20"/>
                <w:szCs w:val="20"/>
              </w:rPr>
              <w:t>CM POR Centru, potențiali beneficiari ai intervențiilor din POR</w:t>
            </w:r>
          </w:p>
        </w:tc>
      </w:tr>
    </w:tbl>
    <w:p w:rsidR="00F000AD" w:rsidRPr="00F000AD" w:rsidRDefault="00F000AD" w:rsidP="00F000AD">
      <w:pPr>
        <w:rPr>
          <w:b/>
          <w:u w:val="single"/>
          <w:lang w:val="en-GB"/>
        </w:rPr>
      </w:pPr>
    </w:p>
    <w:p w:rsidR="00F000AD" w:rsidRPr="00F000AD" w:rsidRDefault="00F000AD" w:rsidP="00F000AD">
      <w:pPr>
        <w:rPr>
          <w:b/>
          <w:lang w:val="en-GB"/>
        </w:rPr>
      </w:pPr>
      <w:r w:rsidRPr="00F000AD">
        <w:rPr>
          <w:b/>
          <w:iCs/>
          <w:lang w:val="en-GB"/>
        </w:rPr>
        <w:t>2.B.2.2. Indicative breakdown of the programmed resources (EU) by type of intervention</w:t>
      </w:r>
    </w:p>
    <w:p w:rsidR="00F000AD" w:rsidRPr="00F000AD" w:rsidRDefault="00F000AD" w:rsidP="00F000AD">
      <w:pPr>
        <w:rPr>
          <w:bCs/>
          <w:i/>
          <w:lang w:val="en-GB"/>
        </w:rPr>
      </w:pPr>
      <w:r w:rsidRPr="00F000AD">
        <w:rPr>
          <w:bCs/>
          <w:i/>
          <w:lang w:val="en-GB"/>
        </w:rPr>
        <w:t xml:space="preserve">Reference: Article 17(3)(e)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433"/>
        <w:gridCol w:w="1053"/>
        <w:gridCol w:w="2175"/>
      </w:tblGrid>
      <w:tr w:rsidR="00F000AD" w:rsidRPr="00F000AD" w:rsidTr="00F000AD">
        <w:tc>
          <w:tcPr>
            <w:tcW w:w="7644" w:type="dxa"/>
            <w:gridSpan w:val="5"/>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rPr>
                <w:b/>
                <w:iCs/>
                <w:lang w:val="en-US"/>
              </w:rPr>
            </w:pPr>
            <w:r w:rsidRPr="00F000AD">
              <w:rPr>
                <w:b/>
                <w:iCs/>
                <w:lang w:val="en-US"/>
              </w:rPr>
              <w:t>Table 8: Dimension 1 – intervention field</w:t>
            </w:r>
          </w:p>
        </w:tc>
      </w:tr>
      <w:tr w:rsidR="00F000AD" w:rsidRPr="00F000AD" w:rsidTr="00F000AD">
        <w:tc>
          <w:tcPr>
            <w:tcW w:w="1599" w:type="dxa"/>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rPr>
                <w:b/>
                <w:iCs/>
                <w:lang w:val="en-US"/>
              </w:rPr>
            </w:pPr>
            <w:r w:rsidRPr="00F000AD">
              <w:rPr>
                <w:b/>
                <w:iCs/>
                <w:lang w:val="en-US"/>
              </w:rPr>
              <w:t>Priority No</w:t>
            </w:r>
          </w:p>
        </w:tc>
        <w:tc>
          <w:tcPr>
            <w:tcW w:w="1384" w:type="dxa"/>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rPr>
                <w:b/>
                <w:iCs/>
                <w:lang w:val="en-US"/>
              </w:rPr>
            </w:pPr>
            <w:r w:rsidRPr="00F000AD">
              <w:rPr>
                <w:b/>
                <w:iCs/>
                <w:lang w:val="en-US"/>
              </w:rPr>
              <w:t>Fund</w:t>
            </w:r>
          </w:p>
        </w:tc>
        <w:tc>
          <w:tcPr>
            <w:tcW w:w="1433" w:type="dxa"/>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rPr>
                <w:b/>
                <w:iCs/>
                <w:lang w:val="en-US"/>
              </w:rPr>
            </w:pPr>
            <w:r w:rsidRPr="00F000AD">
              <w:rPr>
                <w:b/>
                <w:iCs/>
                <w:lang w:val="en-US"/>
              </w:rPr>
              <w:t>Category of region</w:t>
            </w:r>
          </w:p>
        </w:tc>
        <w:tc>
          <w:tcPr>
            <w:tcW w:w="1053" w:type="dxa"/>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rPr>
                <w:b/>
                <w:iCs/>
                <w:lang w:val="en-US"/>
              </w:rPr>
            </w:pPr>
            <w:r w:rsidRPr="00F000AD">
              <w:rPr>
                <w:b/>
                <w:iCs/>
                <w:lang w:val="en-US"/>
              </w:rPr>
              <w:t xml:space="preserve">Code </w:t>
            </w:r>
          </w:p>
        </w:tc>
        <w:tc>
          <w:tcPr>
            <w:tcW w:w="2175" w:type="dxa"/>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rPr>
                <w:b/>
                <w:iCs/>
                <w:lang w:val="en-US"/>
              </w:rPr>
            </w:pPr>
            <w:r w:rsidRPr="00F000AD">
              <w:rPr>
                <w:b/>
                <w:iCs/>
                <w:lang w:val="en-US"/>
              </w:rPr>
              <w:t>Amount (EUR)</w:t>
            </w:r>
          </w:p>
        </w:tc>
      </w:tr>
      <w:tr w:rsidR="00F000AD" w:rsidRPr="00F000AD" w:rsidTr="00F000AD">
        <w:tc>
          <w:tcPr>
            <w:tcW w:w="1599" w:type="dxa"/>
            <w:tcBorders>
              <w:top w:val="single" w:sz="4" w:space="0" w:color="auto"/>
              <w:left w:val="single" w:sz="4" w:space="0" w:color="auto"/>
              <w:bottom w:val="single" w:sz="4" w:space="0" w:color="auto"/>
              <w:right w:val="single" w:sz="4" w:space="0" w:color="auto"/>
            </w:tcBorders>
          </w:tcPr>
          <w:p w:rsidR="00F000AD" w:rsidRPr="00F000AD" w:rsidRDefault="005B4F6A" w:rsidP="00F000AD">
            <w:pPr>
              <w:rPr>
                <w:b/>
                <w:iCs/>
                <w:u w:val="single"/>
                <w:lang w:val="en-US"/>
              </w:rPr>
            </w:pPr>
            <w:r>
              <w:rPr>
                <w:b/>
                <w:iCs/>
                <w:u w:val="single"/>
                <w:lang w:val="en-US"/>
              </w:rPr>
              <w:t>7</w:t>
            </w:r>
          </w:p>
        </w:tc>
        <w:tc>
          <w:tcPr>
            <w:tcW w:w="1384" w:type="dxa"/>
            <w:tcBorders>
              <w:top w:val="single" w:sz="4" w:space="0" w:color="auto"/>
              <w:left w:val="single" w:sz="4" w:space="0" w:color="auto"/>
              <w:bottom w:val="single" w:sz="4" w:space="0" w:color="auto"/>
              <w:right w:val="single" w:sz="4" w:space="0" w:color="auto"/>
            </w:tcBorders>
          </w:tcPr>
          <w:p w:rsidR="00F000AD" w:rsidRPr="00F000AD" w:rsidRDefault="005B4F6A" w:rsidP="00F000AD">
            <w:pPr>
              <w:rPr>
                <w:b/>
                <w:iCs/>
                <w:u w:val="single"/>
                <w:lang w:val="en-US"/>
              </w:rPr>
            </w:pPr>
            <w:r>
              <w:rPr>
                <w:b/>
                <w:iCs/>
                <w:u w:val="single"/>
                <w:lang w:val="en-US"/>
              </w:rPr>
              <w:t>FEDR</w:t>
            </w:r>
          </w:p>
        </w:tc>
        <w:tc>
          <w:tcPr>
            <w:tcW w:w="1433" w:type="dxa"/>
            <w:tcBorders>
              <w:top w:val="single" w:sz="4" w:space="0" w:color="auto"/>
              <w:left w:val="single" w:sz="4" w:space="0" w:color="auto"/>
              <w:bottom w:val="single" w:sz="4" w:space="0" w:color="auto"/>
              <w:right w:val="single" w:sz="4" w:space="0" w:color="auto"/>
            </w:tcBorders>
          </w:tcPr>
          <w:p w:rsidR="00F000AD" w:rsidRPr="00F000AD" w:rsidRDefault="005B4F6A" w:rsidP="00F000AD">
            <w:pPr>
              <w:rPr>
                <w:b/>
                <w:iCs/>
                <w:u w:val="single"/>
                <w:lang w:val="en-US"/>
              </w:rPr>
            </w:pPr>
            <w:r>
              <w:rPr>
                <w:b/>
                <w:iCs/>
                <w:u w:val="single"/>
                <w:lang w:val="en-US"/>
              </w:rPr>
              <w:t>Mai pu</w:t>
            </w:r>
            <w:r w:rsidR="00CF3F30">
              <w:rPr>
                <w:b/>
                <w:iCs/>
                <w:u w:val="single"/>
                <w:lang w:val="en-US"/>
              </w:rPr>
              <w:t>ț</w:t>
            </w:r>
            <w:r>
              <w:rPr>
                <w:b/>
                <w:iCs/>
                <w:u w:val="single"/>
                <w:lang w:val="en-US"/>
              </w:rPr>
              <w:t xml:space="preserve">in </w:t>
            </w:r>
            <w:r>
              <w:rPr>
                <w:b/>
                <w:iCs/>
                <w:u w:val="single"/>
                <w:lang w:val="en-US"/>
              </w:rPr>
              <w:lastRenderedPageBreak/>
              <w:t>dezvoltate</w:t>
            </w:r>
          </w:p>
        </w:tc>
        <w:tc>
          <w:tcPr>
            <w:tcW w:w="1053" w:type="dxa"/>
            <w:tcBorders>
              <w:top w:val="single" w:sz="4" w:space="0" w:color="auto"/>
              <w:left w:val="single" w:sz="4" w:space="0" w:color="auto"/>
              <w:bottom w:val="single" w:sz="4" w:space="0" w:color="auto"/>
              <w:right w:val="single" w:sz="4" w:space="0" w:color="auto"/>
            </w:tcBorders>
          </w:tcPr>
          <w:p w:rsidR="00F000AD" w:rsidRPr="00F000AD" w:rsidRDefault="00B15508" w:rsidP="00F000AD">
            <w:pPr>
              <w:rPr>
                <w:b/>
                <w:iCs/>
                <w:u w:val="single"/>
                <w:lang w:val="en-US"/>
              </w:rPr>
            </w:pPr>
            <w:r>
              <w:rPr>
                <w:b/>
                <w:iCs/>
                <w:u w:val="single"/>
                <w:lang w:val="en-US"/>
              </w:rPr>
              <w:lastRenderedPageBreak/>
              <w:t xml:space="preserve">132, 140, 141, 142, </w:t>
            </w:r>
            <w:r>
              <w:rPr>
                <w:b/>
                <w:iCs/>
                <w:u w:val="single"/>
                <w:lang w:val="en-US"/>
              </w:rPr>
              <w:lastRenderedPageBreak/>
              <w:t>143</w:t>
            </w:r>
          </w:p>
        </w:tc>
        <w:tc>
          <w:tcPr>
            <w:tcW w:w="2175" w:type="dxa"/>
            <w:tcBorders>
              <w:top w:val="single" w:sz="4" w:space="0" w:color="auto"/>
              <w:left w:val="single" w:sz="4" w:space="0" w:color="auto"/>
              <w:bottom w:val="single" w:sz="4" w:space="0" w:color="auto"/>
              <w:right w:val="single" w:sz="4" w:space="0" w:color="auto"/>
            </w:tcBorders>
          </w:tcPr>
          <w:p w:rsidR="00F000AD" w:rsidRPr="00F000AD" w:rsidRDefault="00EA1B8E" w:rsidP="00F000AD">
            <w:pPr>
              <w:rPr>
                <w:b/>
                <w:iCs/>
                <w:u w:val="single"/>
                <w:lang w:val="en-US"/>
              </w:rPr>
            </w:pPr>
            <w:r>
              <w:rPr>
                <w:b/>
                <w:iCs/>
                <w:u w:val="single"/>
                <w:lang w:val="en-US"/>
              </w:rPr>
              <w:lastRenderedPageBreak/>
              <w:t>50.880.439</w:t>
            </w:r>
          </w:p>
        </w:tc>
      </w:tr>
    </w:tbl>
    <w:p w:rsidR="00F000AD" w:rsidRPr="00F000AD" w:rsidRDefault="00F000AD" w:rsidP="00F000AD">
      <w:pPr>
        <w:rPr>
          <w:b/>
          <w:bCs/>
          <w:lang w:val="en-GB"/>
        </w:rPr>
      </w:pPr>
    </w:p>
    <w:p w:rsidR="00F000AD" w:rsidRPr="00F000AD" w:rsidRDefault="00F000AD" w:rsidP="00F000AD">
      <w:pPr>
        <w:rPr>
          <w:b/>
          <w:bCs/>
          <w:lang w:val="en-GB"/>
        </w:rPr>
      </w:pPr>
      <w:r w:rsidRPr="00F000AD">
        <w:rPr>
          <w:b/>
          <w:bCs/>
          <w:lang w:val="en-GB"/>
        </w:rPr>
        <w:t>3.</w:t>
      </w:r>
      <w:r w:rsidRPr="00F000AD">
        <w:rPr>
          <w:b/>
          <w:bCs/>
          <w:lang w:val="en-GB"/>
        </w:rPr>
        <w:tab/>
        <w:t>Financial plan</w:t>
      </w:r>
    </w:p>
    <w:p w:rsidR="00F000AD" w:rsidRPr="00F000AD" w:rsidRDefault="00F000AD" w:rsidP="00F000AD">
      <w:pPr>
        <w:rPr>
          <w:i/>
          <w:lang w:val="fr-BE"/>
        </w:rPr>
      </w:pPr>
      <w:r w:rsidRPr="00F000AD">
        <w:rPr>
          <w:i/>
          <w:lang w:val="fr-BE"/>
        </w:rPr>
        <w:t>Reference: Article 17(3)(f)(i)-(iii); Article 106(1)-(3), Article 10; Article 21; CPR</w:t>
      </w:r>
    </w:p>
    <w:p w:rsidR="00F000AD" w:rsidRPr="00F000AD" w:rsidRDefault="00F000AD" w:rsidP="00F000AD">
      <w:pPr>
        <w:rPr>
          <w:b/>
          <w:lang w:val="pt-PT"/>
        </w:rPr>
      </w:pPr>
      <w:r w:rsidRPr="00F000AD">
        <w:rPr>
          <w:b/>
          <w:lang w:val="pt-PT"/>
        </w:rPr>
        <w:t>3.A Transfers and contributions</w:t>
      </w:r>
      <w:r w:rsidRPr="00F000AD">
        <w:rPr>
          <w:b/>
          <w:vertAlign w:val="superscript"/>
          <w:lang w:val="fr-BE"/>
        </w:rPr>
        <w:footnoteReference w:id="63"/>
      </w:r>
    </w:p>
    <w:p w:rsidR="00F000AD" w:rsidRPr="00F000AD" w:rsidRDefault="00F000AD" w:rsidP="00F000AD">
      <w:pPr>
        <w:rPr>
          <w:i/>
          <w:lang w:val="en-GB"/>
        </w:rPr>
      </w:pPr>
      <w:r w:rsidRPr="00F000AD">
        <w:rPr>
          <w:i/>
          <w:lang w:val="en-GB"/>
        </w:rPr>
        <w:t>Reference: Article 10; Article 21; CPR</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F000AD" w:rsidRPr="00F000AD" w:rsidTr="00F000AD">
        <w:tc>
          <w:tcPr>
            <w:tcW w:w="9322" w:type="dxa"/>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rPr>
                <w:lang w:val="en-US"/>
              </w:rPr>
            </w:pPr>
            <w:r w:rsidRPr="00F000AD">
              <w:rPr>
                <w:lang w:val="en-US"/>
              </w:rPr>
              <w:fldChar w:fldCharType="begin">
                <w:ffData>
                  <w:name w:val="Check1"/>
                  <w:enabled/>
                  <w:calcOnExit w:val="0"/>
                  <w:checkBox>
                    <w:sizeAuto/>
                    <w:default w:val="0"/>
                  </w:checkBox>
                </w:ffData>
              </w:fldChar>
            </w:r>
            <w:r w:rsidRPr="00F000AD">
              <w:rPr>
                <w:lang w:val="en-US"/>
              </w:rPr>
              <w:instrText xml:space="preserve"> FORMCHECKBOX </w:instrText>
            </w:r>
            <w:r w:rsidR="00F273D0">
              <w:rPr>
                <w:lang w:val="en-US"/>
              </w:rPr>
            </w:r>
            <w:r w:rsidR="00F273D0">
              <w:rPr>
                <w:lang w:val="en-US"/>
              </w:rPr>
              <w:fldChar w:fldCharType="separate"/>
            </w:r>
            <w:r w:rsidRPr="00F000AD">
              <w:fldChar w:fldCharType="end"/>
            </w:r>
            <w:r w:rsidRPr="00F000AD">
              <w:rPr>
                <w:lang w:val="en-US"/>
              </w:rPr>
              <w:t xml:space="preserve"> Programme amendment related to Article 10, CPR (contribution to Invest EU)</w:t>
            </w:r>
          </w:p>
        </w:tc>
      </w:tr>
      <w:tr w:rsidR="00F000AD" w:rsidRPr="00F000AD" w:rsidTr="00F000AD">
        <w:tc>
          <w:tcPr>
            <w:tcW w:w="9322" w:type="dxa"/>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rPr>
                <w:lang w:val="en-US"/>
              </w:rPr>
            </w:pPr>
            <w:r w:rsidRPr="00F000AD">
              <w:rPr>
                <w:lang w:val="en-US"/>
              </w:rPr>
              <w:fldChar w:fldCharType="begin">
                <w:ffData>
                  <w:name w:val="Check2"/>
                  <w:enabled/>
                  <w:calcOnExit w:val="0"/>
                  <w:checkBox>
                    <w:sizeAuto/>
                    <w:default w:val="0"/>
                  </w:checkBox>
                </w:ffData>
              </w:fldChar>
            </w:r>
            <w:r w:rsidRPr="00F000AD">
              <w:rPr>
                <w:lang w:val="en-US"/>
              </w:rPr>
              <w:instrText xml:space="preserve"> FORMCHECKBOX </w:instrText>
            </w:r>
            <w:r w:rsidR="00F273D0">
              <w:rPr>
                <w:lang w:val="en-US"/>
              </w:rPr>
            </w:r>
            <w:r w:rsidR="00F273D0">
              <w:rPr>
                <w:lang w:val="en-US"/>
              </w:rPr>
              <w:fldChar w:fldCharType="separate"/>
            </w:r>
            <w:r w:rsidRPr="00F000AD">
              <w:fldChar w:fldCharType="end"/>
            </w:r>
            <w:r w:rsidRPr="00F000AD">
              <w:rPr>
                <w:lang w:val="en-US"/>
              </w:rPr>
              <w:t xml:space="preserve"> Programme amendment related to Article 21, CPR (transfers to instruments under direct or indirect management or</w:t>
            </w:r>
            <w:r w:rsidRPr="00F000AD">
              <w:rPr>
                <w:b/>
                <w:lang w:val="en-US"/>
              </w:rPr>
              <w:t xml:space="preserve"> </w:t>
            </w:r>
            <w:r w:rsidRPr="00F000AD">
              <w:rPr>
                <w:lang w:val="en-US"/>
              </w:rPr>
              <w:t>between shared management funds)</w:t>
            </w:r>
          </w:p>
        </w:tc>
      </w:tr>
    </w:tbl>
    <w:p w:rsidR="00F000AD" w:rsidRPr="00F000AD" w:rsidRDefault="00F000AD" w:rsidP="00F000AD">
      <w:pPr>
        <w:rPr>
          <w:b/>
          <w:lang w:val="en-GB"/>
        </w:rPr>
      </w:pPr>
    </w:p>
    <w:p w:rsidR="00720FC3" w:rsidRDefault="00F000AD" w:rsidP="00F000AD">
      <w:pPr>
        <w:rPr>
          <w:rFonts w:eastAsia="Times New Roman"/>
          <w:b/>
          <w:noProof/>
          <w:sz w:val="20"/>
        </w:rPr>
      </w:pPr>
      <w:r w:rsidRPr="00F000AD">
        <w:rPr>
          <w:b/>
          <w:lang w:val="en-GB"/>
        </w:rPr>
        <w:br w:type="page"/>
      </w:r>
      <w:r w:rsidRPr="00871DAF">
        <w:rPr>
          <w:rFonts w:eastAsia="Times New Roman"/>
          <w:b/>
          <w:noProof/>
          <w:sz w:val="20"/>
        </w:rPr>
        <w:lastRenderedPageBreak/>
        <w:t>Table 15: Contributions to InvestEU*</w:t>
      </w:r>
    </w:p>
    <w:tbl>
      <w:tblPr>
        <w:tblStyle w:val="TableGrid1"/>
        <w:tblW w:w="5171" w:type="pct"/>
        <w:tblLook w:val="04A0" w:firstRow="1" w:lastRow="0" w:firstColumn="1" w:lastColumn="0" w:noHBand="0" w:noVBand="1"/>
      </w:tblPr>
      <w:tblGrid>
        <w:gridCol w:w="844"/>
        <w:gridCol w:w="1229"/>
        <w:gridCol w:w="1046"/>
        <w:gridCol w:w="1046"/>
        <w:gridCol w:w="1046"/>
        <w:gridCol w:w="1046"/>
        <w:gridCol w:w="1046"/>
        <w:gridCol w:w="2888"/>
      </w:tblGrid>
      <w:tr w:rsidR="00F000AD" w:rsidRPr="009720FF" w:rsidTr="00F000AD">
        <w:tc>
          <w:tcPr>
            <w:tcW w:w="414" w:type="pct"/>
            <w:tcBorders>
              <w:bottom w:val="nil"/>
            </w:tcBorders>
          </w:tcPr>
          <w:p w:rsidR="00F000AD" w:rsidRPr="009720FF" w:rsidRDefault="00F000AD" w:rsidP="00F000AD">
            <w:pPr>
              <w:jc w:val="center"/>
              <w:rPr>
                <w:rFonts w:ascii="Times New Roman" w:eastAsia="Calibri" w:hAnsi="Times New Roman" w:cs="Times New Roman"/>
                <w:noProof/>
                <w:sz w:val="18"/>
                <w:szCs w:val="18"/>
              </w:rPr>
            </w:pPr>
          </w:p>
        </w:tc>
        <w:tc>
          <w:tcPr>
            <w:tcW w:w="603" w:type="pct"/>
            <w:tcBorders>
              <w:bottom w:val="nil"/>
            </w:tcBorders>
          </w:tcPr>
          <w:p w:rsidR="00F000AD" w:rsidRPr="009720FF" w:rsidRDefault="00F000AD" w:rsidP="00F000AD">
            <w:pPr>
              <w:rPr>
                <w:rFonts w:ascii="Times New Roman" w:eastAsia="Calibri" w:hAnsi="Times New Roman" w:cs="Times New Roman"/>
                <w:noProof/>
                <w:sz w:val="18"/>
                <w:szCs w:val="18"/>
              </w:rPr>
            </w:pPr>
            <w:r w:rsidRPr="009720FF">
              <w:rPr>
                <w:rFonts w:ascii="Times New Roman" w:eastAsia="Calibri" w:hAnsi="Times New Roman" w:cs="Times New Roman"/>
                <w:noProof/>
                <w:sz w:val="18"/>
                <w:szCs w:val="18"/>
              </w:rPr>
              <w:t>Category of regions</w:t>
            </w:r>
          </w:p>
        </w:tc>
        <w:tc>
          <w:tcPr>
            <w:tcW w:w="513" w:type="pct"/>
            <w:tcBorders>
              <w:bottom w:val="nil"/>
            </w:tcBorders>
          </w:tcPr>
          <w:p w:rsidR="00F000AD" w:rsidRPr="009720FF" w:rsidRDefault="00F000AD" w:rsidP="00F000AD">
            <w:pPr>
              <w:jc w:val="center"/>
              <w:rPr>
                <w:rFonts w:ascii="Times New Roman" w:eastAsia="Calibri" w:hAnsi="Times New Roman" w:cs="Times New Roman"/>
                <w:noProof/>
                <w:sz w:val="18"/>
                <w:szCs w:val="18"/>
              </w:rPr>
            </w:pPr>
            <w:r w:rsidRPr="009720FF">
              <w:rPr>
                <w:rFonts w:ascii="Times New Roman" w:eastAsia="Calibri" w:hAnsi="Times New Roman" w:cs="Times New Roman"/>
                <w:noProof/>
                <w:sz w:val="18"/>
                <w:szCs w:val="18"/>
              </w:rPr>
              <w:t>Window 1</w:t>
            </w:r>
          </w:p>
        </w:tc>
        <w:tc>
          <w:tcPr>
            <w:tcW w:w="513" w:type="pct"/>
            <w:tcBorders>
              <w:bottom w:val="nil"/>
            </w:tcBorders>
          </w:tcPr>
          <w:p w:rsidR="00F000AD" w:rsidRPr="009720FF" w:rsidRDefault="00F000AD" w:rsidP="00F000AD">
            <w:pPr>
              <w:jc w:val="center"/>
              <w:rPr>
                <w:rFonts w:ascii="Times New Roman" w:eastAsia="Calibri" w:hAnsi="Times New Roman" w:cs="Times New Roman"/>
                <w:noProof/>
                <w:sz w:val="18"/>
                <w:szCs w:val="18"/>
              </w:rPr>
            </w:pPr>
            <w:r w:rsidRPr="009720FF">
              <w:rPr>
                <w:rFonts w:ascii="Times New Roman" w:eastAsia="Calibri" w:hAnsi="Times New Roman" w:cs="Times New Roman"/>
                <w:noProof/>
                <w:sz w:val="18"/>
                <w:szCs w:val="18"/>
              </w:rPr>
              <w:t>Window 2</w:t>
            </w:r>
          </w:p>
        </w:tc>
        <w:tc>
          <w:tcPr>
            <w:tcW w:w="513" w:type="pct"/>
            <w:tcBorders>
              <w:bottom w:val="nil"/>
            </w:tcBorders>
          </w:tcPr>
          <w:p w:rsidR="00F000AD" w:rsidRPr="009720FF" w:rsidRDefault="00F000AD" w:rsidP="00F000AD">
            <w:pPr>
              <w:jc w:val="center"/>
              <w:rPr>
                <w:rFonts w:ascii="Times New Roman" w:eastAsia="Calibri" w:hAnsi="Times New Roman" w:cs="Times New Roman"/>
                <w:noProof/>
                <w:sz w:val="18"/>
                <w:szCs w:val="18"/>
              </w:rPr>
            </w:pPr>
            <w:r w:rsidRPr="009720FF">
              <w:rPr>
                <w:rFonts w:ascii="Times New Roman" w:eastAsia="Calibri" w:hAnsi="Times New Roman" w:cs="Times New Roman"/>
                <w:noProof/>
                <w:sz w:val="18"/>
                <w:szCs w:val="18"/>
              </w:rPr>
              <w:t>Window 3</w:t>
            </w:r>
          </w:p>
        </w:tc>
        <w:tc>
          <w:tcPr>
            <w:tcW w:w="513" w:type="pct"/>
            <w:tcBorders>
              <w:bottom w:val="nil"/>
            </w:tcBorders>
          </w:tcPr>
          <w:p w:rsidR="00F000AD" w:rsidRPr="009720FF" w:rsidRDefault="00F000AD" w:rsidP="00F000AD">
            <w:pPr>
              <w:jc w:val="center"/>
              <w:rPr>
                <w:rFonts w:ascii="Times New Roman" w:eastAsia="Calibri" w:hAnsi="Times New Roman" w:cs="Times New Roman"/>
                <w:noProof/>
                <w:sz w:val="18"/>
                <w:szCs w:val="18"/>
              </w:rPr>
            </w:pPr>
            <w:r w:rsidRPr="009720FF">
              <w:rPr>
                <w:rFonts w:ascii="Times New Roman" w:eastAsia="Calibri" w:hAnsi="Times New Roman" w:cs="Times New Roman"/>
                <w:noProof/>
                <w:sz w:val="18"/>
                <w:szCs w:val="18"/>
              </w:rPr>
              <w:t>Window 4</w:t>
            </w:r>
          </w:p>
        </w:tc>
        <w:tc>
          <w:tcPr>
            <w:tcW w:w="513" w:type="pct"/>
            <w:tcBorders>
              <w:bottom w:val="nil"/>
            </w:tcBorders>
          </w:tcPr>
          <w:p w:rsidR="00F000AD" w:rsidRPr="009720FF" w:rsidRDefault="00F000AD" w:rsidP="00F000AD">
            <w:pPr>
              <w:jc w:val="center"/>
              <w:rPr>
                <w:rFonts w:ascii="Times New Roman" w:eastAsia="Calibri" w:hAnsi="Times New Roman" w:cs="Times New Roman"/>
                <w:noProof/>
                <w:sz w:val="18"/>
                <w:szCs w:val="18"/>
              </w:rPr>
            </w:pPr>
            <w:r w:rsidRPr="009720FF">
              <w:rPr>
                <w:rFonts w:ascii="Times New Roman" w:eastAsia="Calibri" w:hAnsi="Times New Roman" w:cs="Times New Roman"/>
                <w:noProof/>
                <w:sz w:val="18"/>
                <w:szCs w:val="18"/>
              </w:rPr>
              <w:t>Window 5</w:t>
            </w:r>
          </w:p>
        </w:tc>
        <w:tc>
          <w:tcPr>
            <w:tcW w:w="1417" w:type="pct"/>
            <w:tcBorders>
              <w:bottom w:val="nil"/>
            </w:tcBorders>
            <w:vAlign w:val="center"/>
          </w:tcPr>
          <w:p w:rsidR="00F000AD" w:rsidRPr="009720FF" w:rsidRDefault="00F000AD" w:rsidP="00F000AD">
            <w:pPr>
              <w:jc w:val="center"/>
              <w:rPr>
                <w:rFonts w:ascii="Times New Roman" w:eastAsia="Calibri" w:hAnsi="Times New Roman" w:cs="Times New Roman"/>
                <w:noProof/>
                <w:sz w:val="18"/>
                <w:szCs w:val="18"/>
              </w:rPr>
            </w:pPr>
            <w:r w:rsidRPr="009720FF">
              <w:rPr>
                <w:rFonts w:ascii="Times New Roman" w:eastAsia="Calibri" w:hAnsi="Times New Roman" w:cs="Times New Roman"/>
                <w:noProof/>
                <w:sz w:val="18"/>
                <w:szCs w:val="18"/>
              </w:rPr>
              <w:t>Amount</w:t>
            </w:r>
          </w:p>
        </w:tc>
      </w:tr>
      <w:tr w:rsidR="00F000AD" w:rsidRPr="009720FF" w:rsidTr="00F000AD">
        <w:tc>
          <w:tcPr>
            <w:tcW w:w="414" w:type="pct"/>
            <w:tcBorders>
              <w:top w:val="nil"/>
            </w:tcBorders>
          </w:tcPr>
          <w:p w:rsidR="00F000AD" w:rsidRPr="009720FF" w:rsidRDefault="00F000AD" w:rsidP="00F000AD">
            <w:pPr>
              <w:jc w:val="center"/>
              <w:rPr>
                <w:rFonts w:ascii="Times New Roman" w:eastAsia="Calibri" w:hAnsi="Times New Roman" w:cs="Times New Roman"/>
                <w:noProof/>
                <w:sz w:val="18"/>
                <w:szCs w:val="18"/>
              </w:rPr>
            </w:pPr>
          </w:p>
        </w:tc>
        <w:tc>
          <w:tcPr>
            <w:tcW w:w="603" w:type="pct"/>
            <w:tcBorders>
              <w:top w:val="nil"/>
            </w:tcBorders>
          </w:tcPr>
          <w:p w:rsidR="00F000AD" w:rsidRPr="009720FF" w:rsidRDefault="00F000AD" w:rsidP="00F000AD">
            <w:pPr>
              <w:jc w:val="center"/>
              <w:rPr>
                <w:rFonts w:ascii="Times New Roman" w:eastAsia="Calibri" w:hAnsi="Times New Roman" w:cs="Times New Roman"/>
                <w:noProof/>
                <w:sz w:val="18"/>
                <w:szCs w:val="18"/>
              </w:rPr>
            </w:pPr>
          </w:p>
        </w:tc>
        <w:tc>
          <w:tcPr>
            <w:tcW w:w="513" w:type="pct"/>
            <w:tcBorders>
              <w:top w:val="nil"/>
            </w:tcBorders>
          </w:tcPr>
          <w:p w:rsidR="00F000AD" w:rsidRPr="009720FF" w:rsidRDefault="00F000AD" w:rsidP="00F000AD">
            <w:pPr>
              <w:jc w:val="center"/>
              <w:rPr>
                <w:rFonts w:ascii="Times New Roman" w:eastAsia="Calibri" w:hAnsi="Times New Roman" w:cs="Times New Roman"/>
                <w:noProof/>
                <w:sz w:val="18"/>
                <w:szCs w:val="18"/>
              </w:rPr>
            </w:pPr>
            <w:r w:rsidRPr="009720FF">
              <w:rPr>
                <w:rFonts w:ascii="Times New Roman" w:eastAsia="Calibri" w:hAnsi="Times New Roman" w:cs="Times New Roman"/>
                <w:noProof/>
                <w:sz w:val="18"/>
                <w:szCs w:val="18"/>
              </w:rPr>
              <w:t>(a)</w:t>
            </w:r>
          </w:p>
        </w:tc>
        <w:tc>
          <w:tcPr>
            <w:tcW w:w="513" w:type="pct"/>
            <w:tcBorders>
              <w:top w:val="nil"/>
            </w:tcBorders>
          </w:tcPr>
          <w:p w:rsidR="00F000AD" w:rsidRPr="009720FF" w:rsidRDefault="00F000AD" w:rsidP="00F000AD">
            <w:pPr>
              <w:jc w:val="center"/>
              <w:rPr>
                <w:rFonts w:ascii="Times New Roman" w:eastAsia="Calibri" w:hAnsi="Times New Roman" w:cs="Times New Roman"/>
                <w:noProof/>
                <w:sz w:val="18"/>
                <w:szCs w:val="18"/>
              </w:rPr>
            </w:pPr>
            <w:r w:rsidRPr="009720FF">
              <w:rPr>
                <w:rFonts w:ascii="Times New Roman" w:eastAsia="Calibri" w:hAnsi="Times New Roman" w:cs="Times New Roman"/>
                <w:noProof/>
                <w:sz w:val="18"/>
                <w:szCs w:val="18"/>
              </w:rPr>
              <w:t>(b)</w:t>
            </w:r>
          </w:p>
        </w:tc>
        <w:tc>
          <w:tcPr>
            <w:tcW w:w="513" w:type="pct"/>
            <w:tcBorders>
              <w:top w:val="nil"/>
            </w:tcBorders>
          </w:tcPr>
          <w:p w:rsidR="00F000AD" w:rsidRPr="009720FF" w:rsidRDefault="00F000AD" w:rsidP="00F000AD">
            <w:pPr>
              <w:jc w:val="center"/>
              <w:rPr>
                <w:rFonts w:ascii="Times New Roman" w:eastAsia="Calibri" w:hAnsi="Times New Roman" w:cs="Times New Roman"/>
                <w:noProof/>
                <w:sz w:val="18"/>
                <w:szCs w:val="18"/>
              </w:rPr>
            </w:pPr>
            <w:r w:rsidRPr="009720FF">
              <w:rPr>
                <w:rFonts w:ascii="Times New Roman" w:eastAsia="Calibri" w:hAnsi="Times New Roman" w:cs="Times New Roman"/>
                <w:noProof/>
                <w:sz w:val="18"/>
                <w:szCs w:val="18"/>
              </w:rPr>
              <w:t>(c)</w:t>
            </w:r>
          </w:p>
        </w:tc>
        <w:tc>
          <w:tcPr>
            <w:tcW w:w="513" w:type="pct"/>
            <w:tcBorders>
              <w:top w:val="nil"/>
            </w:tcBorders>
          </w:tcPr>
          <w:p w:rsidR="00F000AD" w:rsidRPr="009720FF" w:rsidRDefault="00F000AD" w:rsidP="00F000AD">
            <w:pPr>
              <w:jc w:val="center"/>
              <w:rPr>
                <w:rFonts w:ascii="Times New Roman" w:eastAsia="Calibri" w:hAnsi="Times New Roman" w:cs="Times New Roman"/>
                <w:noProof/>
                <w:sz w:val="18"/>
                <w:szCs w:val="18"/>
              </w:rPr>
            </w:pPr>
            <w:r w:rsidRPr="009720FF">
              <w:rPr>
                <w:rFonts w:ascii="Times New Roman" w:eastAsia="Calibri" w:hAnsi="Times New Roman" w:cs="Times New Roman"/>
                <w:noProof/>
                <w:sz w:val="18"/>
                <w:szCs w:val="18"/>
              </w:rPr>
              <w:t>(d)</w:t>
            </w:r>
          </w:p>
        </w:tc>
        <w:tc>
          <w:tcPr>
            <w:tcW w:w="513" w:type="pct"/>
            <w:tcBorders>
              <w:top w:val="nil"/>
            </w:tcBorders>
          </w:tcPr>
          <w:p w:rsidR="00F000AD" w:rsidRPr="009720FF" w:rsidRDefault="00F000AD" w:rsidP="00F000AD">
            <w:pPr>
              <w:jc w:val="center"/>
              <w:rPr>
                <w:rFonts w:ascii="Times New Roman" w:eastAsia="Calibri" w:hAnsi="Times New Roman" w:cs="Times New Roman"/>
                <w:noProof/>
                <w:sz w:val="18"/>
                <w:szCs w:val="18"/>
              </w:rPr>
            </w:pPr>
            <w:r w:rsidRPr="009720FF">
              <w:rPr>
                <w:rFonts w:ascii="Times New Roman" w:eastAsia="Calibri" w:hAnsi="Times New Roman" w:cs="Times New Roman"/>
                <w:noProof/>
                <w:sz w:val="18"/>
                <w:szCs w:val="18"/>
              </w:rPr>
              <w:t>(e)</w:t>
            </w:r>
          </w:p>
        </w:tc>
        <w:tc>
          <w:tcPr>
            <w:tcW w:w="1417" w:type="pct"/>
            <w:tcBorders>
              <w:top w:val="nil"/>
            </w:tcBorders>
          </w:tcPr>
          <w:p w:rsidR="00F000AD" w:rsidRPr="009720FF" w:rsidRDefault="00F000AD" w:rsidP="00F000AD">
            <w:pPr>
              <w:jc w:val="center"/>
              <w:rPr>
                <w:rFonts w:ascii="Times New Roman" w:eastAsia="Calibri" w:hAnsi="Times New Roman" w:cs="Times New Roman"/>
                <w:noProof/>
                <w:sz w:val="18"/>
                <w:szCs w:val="18"/>
              </w:rPr>
            </w:pPr>
            <w:r w:rsidRPr="009720FF">
              <w:rPr>
                <w:rFonts w:ascii="Times New Roman" w:eastAsia="Calibri" w:hAnsi="Times New Roman" w:cs="Times New Roman"/>
                <w:noProof/>
                <w:sz w:val="18"/>
                <w:szCs w:val="18"/>
              </w:rPr>
              <w:t>(f)=(a)+(b)+(c)+(d)+(e))</w:t>
            </w:r>
          </w:p>
        </w:tc>
      </w:tr>
      <w:tr w:rsidR="00F000AD" w:rsidRPr="009720FF" w:rsidTr="00F000AD">
        <w:tc>
          <w:tcPr>
            <w:tcW w:w="414" w:type="pct"/>
            <w:vMerge w:val="restart"/>
          </w:tcPr>
          <w:p w:rsidR="00F000AD" w:rsidRPr="009720FF" w:rsidRDefault="00F000AD" w:rsidP="00F000AD">
            <w:pPr>
              <w:rPr>
                <w:rFonts w:ascii="Times New Roman" w:eastAsia="Calibri" w:hAnsi="Times New Roman" w:cs="Times New Roman"/>
                <w:noProof/>
                <w:sz w:val="18"/>
                <w:szCs w:val="18"/>
              </w:rPr>
            </w:pPr>
            <w:r w:rsidRPr="009720FF">
              <w:rPr>
                <w:rFonts w:ascii="Times New Roman" w:eastAsia="Calibri" w:hAnsi="Times New Roman" w:cs="Times New Roman"/>
                <w:noProof/>
                <w:sz w:val="18"/>
                <w:szCs w:val="18"/>
              </w:rPr>
              <w:t>ERDF</w:t>
            </w:r>
          </w:p>
        </w:tc>
        <w:tc>
          <w:tcPr>
            <w:tcW w:w="603" w:type="pct"/>
          </w:tcPr>
          <w:p w:rsidR="00F000AD" w:rsidRPr="009720FF" w:rsidRDefault="00F000AD" w:rsidP="00F000AD">
            <w:pPr>
              <w:rPr>
                <w:rFonts w:ascii="Times New Roman" w:eastAsia="Calibri" w:hAnsi="Times New Roman" w:cs="Times New Roman"/>
                <w:noProof/>
                <w:sz w:val="18"/>
                <w:szCs w:val="18"/>
              </w:rPr>
            </w:pPr>
            <w:r w:rsidRPr="009720FF">
              <w:rPr>
                <w:rFonts w:ascii="Times New Roman" w:eastAsia="Calibri" w:hAnsi="Times New Roman" w:cs="Times New Roman"/>
                <w:noProof/>
                <w:sz w:val="18"/>
                <w:szCs w:val="18"/>
              </w:rPr>
              <w:t>More developed</w:t>
            </w: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1417" w:type="pct"/>
          </w:tcPr>
          <w:p w:rsidR="00F000AD" w:rsidRPr="009720FF" w:rsidRDefault="00F000AD" w:rsidP="00F000AD">
            <w:pPr>
              <w:rPr>
                <w:rFonts w:ascii="Times New Roman" w:eastAsia="Calibri" w:hAnsi="Times New Roman" w:cs="Times New Roman"/>
                <w:noProof/>
                <w:sz w:val="18"/>
                <w:szCs w:val="18"/>
              </w:rPr>
            </w:pPr>
          </w:p>
        </w:tc>
      </w:tr>
      <w:tr w:rsidR="00F000AD" w:rsidRPr="009720FF" w:rsidTr="00F000AD">
        <w:tc>
          <w:tcPr>
            <w:tcW w:w="414" w:type="pct"/>
            <w:vMerge/>
          </w:tcPr>
          <w:p w:rsidR="00F000AD" w:rsidRPr="009720FF" w:rsidRDefault="00F000AD" w:rsidP="00F000AD">
            <w:pPr>
              <w:rPr>
                <w:rFonts w:ascii="Times New Roman" w:eastAsia="Calibri" w:hAnsi="Times New Roman" w:cs="Times New Roman"/>
                <w:noProof/>
                <w:sz w:val="18"/>
                <w:szCs w:val="18"/>
              </w:rPr>
            </w:pPr>
          </w:p>
        </w:tc>
        <w:tc>
          <w:tcPr>
            <w:tcW w:w="603" w:type="pct"/>
          </w:tcPr>
          <w:p w:rsidR="00F000AD" w:rsidRPr="009720FF" w:rsidRDefault="00F000AD" w:rsidP="00F000AD">
            <w:pPr>
              <w:rPr>
                <w:rFonts w:ascii="Times New Roman" w:eastAsia="Calibri" w:hAnsi="Times New Roman" w:cs="Times New Roman"/>
                <w:noProof/>
                <w:sz w:val="18"/>
                <w:szCs w:val="18"/>
              </w:rPr>
            </w:pPr>
            <w:r w:rsidRPr="009720FF">
              <w:rPr>
                <w:rFonts w:ascii="Times New Roman" w:eastAsia="Calibri" w:hAnsi="Times New Roman" w:cs="Times New Roman"/>
                <w:noProof/>
                <w:sz w:val="18"/>
                <w:szCs w:val="18"/>
              </w:rPr>
              <w:t>Less developed</w:t>
            </w: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1417" w:type="pct"/>
          </w:tcPr>
          <w:p w:rsidR="00F000AD" w:rsidRPr="009720FF" w:rsidRDefault="00F000AD" w:rsidP="00F000AD">
            <w:pPr>
              <w:rPr>
                <w:rFonts w:ascii="Times New Roman" w:eastAsia="Calibri" w:hAnsi="Times New Roman" w:cs="Times New Roman"/>
                <w:noProof/>
                <w:sz w:val="18"/>
                <w:szCs w:val="18"/>
              </w:rPr>
            </w:pPr>
          </w:p>
        </w:tc>
      </w:tr>
      <w:tr w:rsidR="00F000AD" w:rsidRPr="009720FF" w:rsidTr="00F000AD">
        <w:tc>
          <w:tcPr>
            <w:tcW w:w="414" w:type="pct"/>
            <w:vMerge/>
          </w:tcPr>
          <w:p w:rsidR="00F000AD" w:rsidRPr="009720FF" w:rsidRDefault="00F000AD" w:rsidP="00F000AD">
            <w:pPr>
              <w:rPr>
                <w:rFonts w:ascii="Times New Roman" w:eastAsia="Calibri" w:hAnsi="Times New Roman" w:cs="Times New Roman"/>
                <w:noProof/>
                <w:sz w:val="18"/>
                <w:szCs w:val="18"/>
              </w:rPr>
            </w:pPr>
          </w:p>
        </w:tc>
        <w:tc>
          <w:tcPr>
            <w:tcW w:w="603" w:type="pct"/>
          </w:tcPr>
          <w:p w:rsidR="00F000AD" w:rsidRPr="009720FF" w:rsidRDefault="00F000AD" w:rsidP="00F000AD">
            <w:pPr>
              <w:rPr>
                <w:rFonts w:ascii="Times New Roman" w:hAnsi="Times New Roman" w:cs="Times New Roman"/>
                <w:noProof/>
                <w:sz w:val="18"/>
                <w:szCs w:val="18"/>
              </w:rPr>
            </w:pPr>
            <w:r w:rsidRPr="009720FF">
              <w:rPr>
                <w:rFonts w:ascii="Times New Roman" w:hAnsi="Times New Roman" w:cs="Times New Roman"/>
                <w:noProof/>
                <w:sz w:val="18"/>
                <w:szCs w:val="18"/>
              </w:rPr>
              <w:t>Transition</w:t>
            </w: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1417" w:type="pct"/>
          </w:tcPr>
          <w:p w:rsidR="00F000AD" w:rsidRPr="009720FF" w:rsidRDefault="00F000AD" w:rsidP="00F000AD">
            <w:pPr>
              <w:rPr>
                <w:rFonts w:ascii="Times New Roman" w:eastAsia="Calibri" w:hAnsi="Times New Roman" w:cs="Times New Roman"/>
                <w:noProof/>
                <w:sz w:val="18"/>
                <w:szCs w:val="18"/>
              </w:rPr>
            </w:pPr>
          </w:p>
        </w:tc>
      </w:tr>
      <w:tr w:rsidR="00F000AD" w:rsidRPr="009720FF" w:rsidTr="00F000AD">
        <w:tc>
          <w:tcPr>
            <w:tcW w:w="414" w:type="pct"/>
            <w:vMerge/>
          </w:tcPr>
          <w:p w:rsidR="00F000AD" w:rsidRPr="009720FF" w:rsidRDefault="00F000AD" w:rsidP="00F000AD">
            <w:pPr>
              <w:rPr>
                <w:rFonts w:ascii="Times New Roman" w:eastAsia="Calibri" w:hAnsi="Times New Roman" w:cs="Times New Roman"/>
                <w:noProof/>
                <w:sz w:val="18"/>
                <w:szCs w:val="18"/>
              </w:rPr>
            </w:pPr>
          </w:p>
        </w:tc>
        <w:tc>
          <w:tcPr>
            <w:tcW w:w="603" w:type="pct"/>
          </w:tcPr>
          <w:p w:rsidR="00F000AD" w:rsidRPr="009720FF" w:rsidRDefault="00F000AD" w:rsidP="00F000AD">
            <w:pPr>
              <w:rPr>
                <w:rFonts w:ascii="Times New Roman" w:eastAsia="Calibri" w:hAnsi="Times New Roman" w:cs="Times New Roman"/>
                <w:noProof/>
                <w:sz w:val="18"/>
                <w:szCs w:val="18"/>
              </w:rPr>
            </w:pPr>
            <w:r w:rsidRPr="009720FF">
              <w:rPr>
                <w:rFonts w:ascii="Times New Roman" w:hAnsi="Times New Roman" w:cs="Times New Roman"/>
                <w:noProof/>
                <w:sz w:val="18"/>
                <w:szCs w:val="18"/>
              </w:rPr>
              <w:t>Outermost and northern sparsely populated</w:t>
            </w: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1417" w:type="pct"/>
          </w:tcPr>
          <w:p w:rsidR="00F000AD" w:rsidRPr="009720FF" w:rsidRDefault="00F000AD" w:rsidP="00F000AD">
            <w:pPr>
              <w:rPr>
                <w:rFonts w:ascii="Times New Roman" w:eastAsia="Calibri" w:hAnsi="Times New Roman" w:cs="Times New Roman"/>
                <w:noProof/>
                <w:sz w:val="18"/>
                <w:szCs w:val="18"/>
              </w:rPr>
            </w:pPr>
          </w:p>
        </w:tc>
      </w:tr>
      <w:tr w:rsidR="00F000AD" w:rsidRPr="009720FF" w:rsidTr="00F000AD">
        <w:tc>
          <w:tcPr>
            <w:tcW w:w="414" w:type="pct"/>
            <w:vMerge w:val="restart"/>
          </w:tcPr>
          <w:p w:rsidR="00F000AD" w:rsidRPr="009720FF" w:rsidRDefault="00F000AD" w:rsidP="00F000AD">
            <w:pPr>
              <w:rPr>
                <w:rFonts w:ascii="Times New Roman" w:eastAsia="Calibri" w:hAnsi="Times New Roman" w:cs="Times New Roman"/>
                <w:noProof/>
                <w:sz w:val="18"/>
                <w:szCs w:val="18"/>
              </w:rPr>
            </w:pPr>
            <w:r w:rsidRPr="009720FF">
              <w:rPr>
                <w:rFonts w:ascii="Times New Roman" w:eastAsia="Calibri" w:hAnsi="Times New Roman" w:cs="Times New Roman"/>
                <w:noProof/>
                <w:sz w:val="18"/>
                <w:szCs w:val="18"/>
              </w:rPr>
              <w:t>ESF+</w:t>
            </w:r>
          </w:p>
        </w:tc>
        <w:tc>
          <w:tcPr>
            <w:tcW w:w="603" w:type="pct"/>
          </w:tcPr>
          <w:p w:rsidR="00F000AD" w:rsidRPr="009720FF" w:rsidRDefault="00F000AD" w:rsidP="00F000AD">
            <w:pPr>
              <w:rPr>
                <w:rFonts w:ascii="Times New Roman" w:eastAsia="Calibri" w:hAnsi="Times New Roman" w:cs="Times New Roman"/>
                <w:noProof/>
                <w:sz w:val="18"/>
                <w:szCs w:val="18"/>
              </w:rPr>
            </w:pPr>
            <w:r w:rsidRPr="009720FF">
              <w:rPr>
                <w:rFonts w:ascii="Times New Roman" w:eastAsia="Calibri" w:hAnsi="Times New Roman" w:cs="Times New Roman"/>
                <w:noProof/>
                <w:sz w:val="18"/>
                <w:szCs w:val="18"/>
              </w:rPr>
              <w:t>More developed</w:t>
            </w: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1417" w:type="pct"/>
          </w:tcPr>
          <w:p w:rsidR="00F000AD" w:rsidRPr="009720FF" w:rsidRDefault="00F000AD" w:rsidP="00F000AD">
            <w:pPr>
              <w:rPr>
                <w:rFonts w:ascii="Times New Roman" w:eastAsia="Calibri" w:hAnsi="Times New Roman" w:cs="Times New Roman"/>
                <w:noProof/>
                <w:sz w:val="18"/>
                <w:szCs w:val="18"/>
              </w:rPr>
            </w:pPr>
          </w:p>
        </w:tc>
      </w:tr>
      <w:tr w:rsidR="00F000AD" w:rsidRPr="009720FF" w:rsidTr="00F000AD">
        <w:tc>
          <w:tcPr>
            <w:tcW w:w="414" w:type="pct"/>
            <w:vMerge/>
          </w:tcPr>
          <w:p w:rsidR="00F000AD" w:rsidRPr="009720FF" w:rsidRDefault="00F000AD" w:rsidP="00F000AD">
            <w:pPr>
              <w:rPr>
                <w:rFonts w:ascii="Times New Roman" w:eastAsia="Calibri" w:hAnsi="Times New Roman" w:cs="Times New Roman"/>
                <w:noProof/>
                <w:sz w:val="18"/>
                <w:szCs w:val="18"/>
              </w:rPr>
            </w:pPr>
          </w:p>
        </w:tc>
        <w:tc>
          <w:tcPr>
            <w:tcW w:w="603" w:type="pct"/>
          </w:tcPr>
          <w:p w:rsidR="00F000AD" w:rsidRPr="009720FF" w:rsidRDefault="00F000AD" w:rsidP="00F000AD">
            <w:pPr>
              <w:rPr>
                <w:rFonts w:ascii="Times New Roman" w:eastAsia="Calibri" w:hAnsi="Times New Roman" w:cs="Times New Roman"/>
                <w:noProof/>
                <w:sz w:val="18"/>
                <w:szCs w:val="18"/>
              </w:rPr>
            </w:pPr>
            <w:r w:rsidRPr="009720FF">
              <w:rPr>
                <w:rFonts w:ascii="Times New Roman" w:eastAsia="Calibri" w:hAnsi="Times New Roman" w:cs="Times New Roman"/>
                <w:noProof/>
                <w:sz w:val="18"/>
                <w:szCs w:val="18"/>
              </w:rPr>
              <w:t>Less developed</w:t>
            </w: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1417" w:type="pct"/>
          </w:tcPr>
          <w:p w:rsidR="00F000AD" w:rsidRPr="009720FF" w:rsidRDefault="00F000AD" w:rsidP="00F000AD">
            <w:pPr>
              <w:rPr>
                <w:rFonts w:ascii="Times New Roman" w:eastAsia="Calibri" w:hAnsi="Times New Roman" w:cs="Times New Roman"/>
                <w:noProof/>
                <w:sz w:val="18"/>
                <w:szCs w:val="18"/>
              </w:rPr>
            </w:pPr>
          </w:p>
        </w:tc>
      </w:tr>
      <w:tr w:rsidR="00F000AD" w:rsidRPr="009720FF" w:rsidTr="00F000AD">
        <w:tc>
          <w:tcPr>
            <w:tcW w:w="414" w:type="pct"/>
            <w:vMerge/>
          </w:tcPr>
          <w:p w:rsidR="00F000AD" w:rsidRPr="009720FF" w:rsidRDefault="00F000AD" w:rsidP="00F000AD">
            <w:pPr>
              <w:rPr>
                <w:rFonts w:ascii="Times New Roman" w:eastAsia="Calibri" w:hAnsi="Times New Roman" w:cs="Times New Roman"/>
                <w:noProof/>
                <w:sz w:val="18"/>
                <w:szCs w:val="18"/>
              </w:rPr>
            </w:pPr>
          </w:p>
        </w:tc>
        <w:tc>
          <w:tcPr>
            <w:tcW w:w="603" w:type="pct"/>
          </w:tcPr>
          <w:p w:rsidR="00F000AD" w:rsidRPr="009720FF" w:rsidRDefault="00F000AD" w:rsidP="00F000AD">
            <w:pPr>
              <w:rPr>
                <w:rFonts w:ascii="Times New Roman" w:eastAsia="Calibri" w:hAnsi="Times New Roman" w:cs="Times New Roman"/>
                <w:noProof/>
                <w:sz w:val="18"/>
                <w:szCs w:val="18"/>
              </w:rPr>
            </w:pPr>
            <w:r w:rsidRPr="009720FF">
              <w:rPr>
                <w:rFonts w:ascii="Times New Roman" w:eastAsia="Calibri" w:hAnsi="Times New Roman" w:cs="Times New Roman"/>
                <w:noProof/>
                <w:sz w:val="18"/>
                <w:szCs w:val="18"/>
              </w:rPr>
              <w:t>Transition</w:t>
            </w: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1417" w:type="pct"/>
          </w:tcPr>
          <w:p w:rsidR="00F000AD" w:rsidRPr="009720FF" w:rsidRDefault="00F000AD" w:rsidP="00F000AD">
            <w:pPr>
              <w:rPr>
                <w:rFonts w:ascii="Times New Roman" w:eastAsia="Calibri" w:hAnsi="Times New Roman" w:cs="Times New Roman"/>
                <w:noProof/>
                <w:sz w:val="18"/>
                <w:szCs w:val="18"/>
              </w:rPr>
            </w:pPr>
          </w:p>
        </w:tc>
      </w:tr>
      <w:tr w:rsidR="00F000AD" w:rsidRPr="009720FF" w:rsidTr="00F000AD">
        <w:tc>
          <w:tcPr>
            <w:tcW w:w="414" w:type="pct"/>
            <w:vMerge/>
          </w:tcPr>
          <w:p w:rsidR="00F000AD" w:rsidRPr="009720FF" w:rsidRDefault="00F000AD" w:rsidP="00F000AD">
            <w:pPr>
              <w:rPr>
                <w:rFonts w:ascii="Times New Roman" w:eastAsia="Calibri" w:hAnsi="Times New Roman" w:cs="Times New Roman"/>
                <w:noProof/>
                <w:sz w:val="18"/>
                <w:szCs w:val="18"/>
              </w:rPr>
            </w:pPr>
          </w:p>
        </w:tc>
        <w:tc>
          <w:tcPr>
            <w:tcW w:w="603" w:type="pct"/>
          </w:tcPr>
          <w:p w:rsidR="00F000AD" w:rsidRPr="009720FF" w:rsidRDefault="00F000AD" w:rsidP="00F000AD">
            <w:pPr>
              <w:rPr>
                <w:rFonts w:ascii="Times New Roman" w:eastAsia="Calibri" w:hAnsi="Times New Roman" w:cs="Times New Roman"/>
                <w:noProof/>
                <w:sz w:val="18"/>
                <w:szCs w:val="18"/>
              </w:rPr>
            </w:pPr>
            <w:r w:rsidRPr="009720FF">
              <w:rPr>
                <w:rFonts w:ascii="Times New Roman" w:eastAsia="Calibri" w:hAnsi="Times New Roman" w:cs="Times New Roman"/>
                <w:noProof/>
                <w:sz w:val="18"/>
                <w:szCs w:val="18"/>
              </w:rPr>
              <w:t xml:space="preserve">Outermost </w:t>
            </w:r>
            <w:r w:rsidRPr="009720FF">
              <w:rPr>
                <w:rFonts w:ascii="Times New Roman" w:hAnsi="Times New Roman" w:cs="Times New Roman"/>
                <w:noProof/>
                <w:sz w:val="18"/>
                <w:szCs w:val="20"/>
              </w:rPr>
              <w:t>and northern sparsely populated</w:t>
            </w: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1417" w:type="pct"/>
          </w:tcPr>
          <w:p w:rsidR="00F000AD" w:rsidRPr="009720FF" w:rsidRDefault="00F000AD" w:rsidP="00F000AD">
            <w:pPr>
              <w:rPr>
                <w:rFonts w:ascii="Times New Roman" w:eastAsia="Calibri" w:hAnsi="Times New Roman" w:cs="Times New Roman"/>
                <w:noProof/>
                <w:sz w:val="18"/>
                <w:szCs w:val="18"/>
              </w:rPr>
            </w:pPr>
          </w:p>
        </w:tc>
      </w:tr>
      <w:tr w:rsidR="00F000AD" w:rsidRPr="009720FF" w:rsidTr="00F000AD">
        <w:tc>
          <w:tcPr>
            <w:tcW w:w="414" w:type="pct"/>
            <w:vMerge w:val="restart"/>
          </w:tcPr>
          <w:p w:rsidR="00F000AD" w:rsidRPr="009720FF" w:rsidRDefault="00F000AD" w:rsidP="00F000AD">
            <w:pPr>
              <w:rPr>
                <w:rFonts w:ascii="Times New Roman" w:eastAsia="Calibri" w:hAnsi="Times New Roman" w:cs="Times New Roman"/>
                <w:noProof/>
                <w:sz w:val="18"/>
                <w:szCs w:val="18"/>
              </w:rPr>
            </w:pPr>
            <w:r w:rsidRPr="009720FF">
              <w:rPr>
                <w:rFonts w:ascii="Times New Roman" w:eastAsia="Calibri" w:hAnsi="Times New Roman" w:cs="Times New Roman"/>
                <w:noProof/>
                <w:sz w:val="18"/>
                <w:szCs w:val="18"/>
              </w:rPr>
              <w:t>JTF*</w:t>
            </w:r>
          </w:p>
        </w:tc>
        <w:tc>
          <w:tcPr>
            <w:tcW w:w="603" w:type="pct"/>
          </w:tcPr>
          <w:p w:rsidR="00F000AD" w:rsidRPr="009720FF" w:rsidRDefault="00F000AD" w:rsidP="00F000AD">
            <w:pPr>
              <w:rPr>
                <w:rFonts w:ascii="Times New Roman" w:eastAsia="Calibri" w:hAnsi="Times New Roman" w:cs="Times New Roman"/>
                <w:noProof/>
                <w:sz w:val="18"/>
                <w:szCs w:val="18"/>
              </w:rPr>
            </w:pPr>
            <w:r w:rsidRPr="009720FF">
              <w:rPr>
                <w:rFonts w:ascii="Times New Roman" w:eastAsia="Calibri" w:hAnsi="Times New Roman" w:cs="Times New Roman"/>
                <w:noProof/>
                <w:sz w:val="18"/>
                <w:szCs w:val="18"/>
              </w:rPr>
              <w:t>More developed</w:t>
            </w: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1417" w:type="pct"/>
          </w:tcPr>
          <w:p w:rsidR="00F000AD" w:rsidRPr="009720FF" w:rsidRDefault="00F000AD" w:rsidP="00F000AD">
            <w:pPr>
              <w:rPr>
                <w:rFonts w:ascii="Times New Roman" w:eastAsia="Calibri" w:hAnsi="Times New Roman" w:cs="Times New Roman"/>
                <w:noProof/>
                <w:sz w:val="18"/>
                <w:szCs w:val="18"/>
              </w:rPr>
            </w:pPr>
          </w:p>
        </w:tc>
      </w:tr>
      <w:tr w:rsidR="00F000AD" w:rsidRPr="009720FF" w:rsidTr="00F000AD">
        <w:tc>
          <w:tcPr>
            <w:tcW w:w="414" w:type="pct"/>
            <w:vMerge/>
          </w:tcPr>
          <w:p w:rsidR="00F000AD" w:rsidRPr="009720FF" w:rsidRDefault="00F000AD" w:rsidP="00F000AD">
            <w:pPr>
              <w:rPr>
                <w:rFonts w:ascii="Times New Roman" w:eastAsia="Calibri" w:hAnsi="Times New Roman" w:cs="Times New Roman"/>
                <w:noProof/>
                <w:sz w:val="18"/>
                <w:szCs w:val="18"/>
              </w:rPr>
            </w:pPr>
          </w:p>
        </w:tc>
        <w:tc>
          <w:tcPr>
            <w:tcW w:w="603" w:type="pct"/>
          </w:tcPr>
          <w:p w:rsidR="00F000AD" w:rsidRPr="009720FF" w:rsidRDefault="00F000AD" w:rsidP="00F000AD">
            <w:pPr>
              <w:rPr>
                <w:rFonts w:ascii="Times New Roman" w:eastAsia="Calibri" w:hAnsi="Times New Roman" w:cs="Times New Roman"/>
                <w:noProof/>
                <w:sz w:val="18"/>
                <w:szCs w:val="18"/>
              </w:rPr>
            </w:pPr>
            <w:r w:rsidRPr="009720FF">
              <w:rPr>
                <w:rFonts w:ascii="Times New Roman" w:eastAsia="Calibri" w:hAnsi="Times New Roman" w:cs="Times New Roman"/>
                <w:noProof/>
                <w:sz w:val="18"/>
                <w:szCs w:val="18"/>
              </w:rPr>
              <w:t>Less developed</w:t>
            </w: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1417" w:type="pct"/>
          </w:tcPr>
          <w:p w:rsidR="00F000AD" w:rsidRPr="009720FF" w:rsidRDefault="00F000AD" w:rsidP="00F000AD">
            <w:pPr>
              <w:rPr>
                <w:rFonts w:ascii="Times New Roman" w:eastAsia="Calibri" w:hAnsi="Times New Roman" w:cs="Times New Roman"/>
                <w:noProof/>
                <w:sz w:val="18"/>
                <w:szCs w:val="18"/>
              </w:rPr>
            </w:pPr>
          </w:p>
        </w:tc>
      </w:tr>
      <w:tr w:rsidR="00F000AD" w:rsidRPr="009720FF" w:rsidTr="00F000AD">
        <w:tc>
          <w:tcPr>
            <w:tcW w:w="414" w:type="pct"/>
            <w:vMerge/>
          </w:tcPr>
          <w:p w:rsidR="00F000AD" w:rsidRPr="009720FF" w:rsidRDefault="00F000AD" w:rsidP="00F000AD">
            <w:pPr>
              <w:rPr>
                <w:rFonts w:ascii="Times New Roman" w:eastAsia="Calibri" w:hAnsi="Times New Roman" w:cs="Times New Roman"/>
                <w:noProof/>
                <w:sz w:val="18"/>
                <w:szCs w:val="18"/>
              </w:rPr>
            </w:pPr>
          </w:p>
        </w:tc>
        <w:tc>
          <w:tcPr>
            <w:tcW w:w="603" w:type="pct"/>
          </w:tcPr>
          <w:p w:rsidR="00F000AD" w:rsidRPr="009720FF" w:rsidRDefault="00F000AD" w:rsidP="00F000AD">
            <w:pPr>
              <w:rPr>
                <w:rFonts w:ascii="Times New Roman" w:eastAsia="Calibri" w:hAnsi="Times New Roman" w:cs="Times New Roman"/>
                <w:noProof/>
                <w:sz w:val="18"/>
                <w:szCs w:val="18"/>
              </w:rPr>
            </w:pPr>
            <w:r w:rsidRPr="009720FF">
              <w:rPr>
                <w:rFonts w:ascii="Times New Roman" w:eastAsia="Calibri" w:hAnsi="Times New Roman" w:cs="Times New Roman"/>
                <w:noProof/>
                <w:sz w:val="18"/>
                <w:szCs w:val="18"/>
              </w:rPr>
              <w:t>Transition</w:t>
            </w: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1417" w:type="pct"/>
          </w:tcPr>
          <w:p w:rsidR="00F000AD" w:rsidRPr="009720FF" w:rsidRDefault="00F000AD" w:rsidP="00F000AD">
            <w:pPr>
              <w:rPr>
                <w:rFonts w:ascii="Times New Roman" w:eastAsia="Calibri" w:hAnsi="Times New Roman" w:cs="Times New Roman"/>
                <w:noProof/>
                <w:sz w:val="18"/>
                <w:szCs w:val="18"/>
              </w:rPr>
            </w:pPr>
          </w:p>
        </w:tc>
      </w:tr>
      <w:tr w:rsidR="00F000AD" w:rsidRPr="009720FF" w:rsidTr="00F000AD">
        <w:tc>
          <w:tcPr>
            <w:tcW w:w="414" w:type="pct"/>
          </w:tcPr>
          <w:p w:rsidR="00F000AD" w:rsidRPr="009720FF" w:rsidRDefault="00F000AD" w:rsidP="00F000AD">
            <w:pPr>
              <w:rPr>
                <w:rFonts w:ascii="Times New Roman" w:eastAsia="Calibri" w:hAnsi="Times New Roman" w:cs="Times New Roman"/>
                <w:noProof/>
                <w:sz w:val="18"/>
                <w:szCs w:val="18"/>
              </w:rPr>
            </w:pPr>
            <w:r w:rsidRPr="009720FF">
              <w:rPr>
                <w:rFonts w:ascii="Times New Roman" w:eastAsia="Calibri" w:hAnsi="Times New Roman" w:cs="Times New Roman"/>
                <w:noProof/>
                <w:sz w:val="18"/>
                <w:szCs w:val="18"/>
              </w:rPr>
              <w:t>CF</w:t>
            </w:r>
          </w:p>
        </w:tc>
        <w:tc>
          <w:tcPr>
            <w:tcW w:w="60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1417" w:type="pct"/>
          </w:tcPr>
          <w:p w:rsidR="00F000AD" w:rsidRPr="009720FF" w:rsidRDefault="00F000AD" w:rsidP="00F000AD">
            <w:pPr>
              <w:rPr>
                <w:rFonts w:ascii="Times New Roman" w:eastAsia="Calibri" w:hAnsi="Times New Roman" w:cs="Times New Roman"/>
                <w:noProof/>
                <w:sz w:val="18"/>
                <w:szCs w:val="18"/>
              </w:rPr>
            </w:pPr>
          </w:p>
        </w:tc>
      </w:tr>
      <w:tr w:rsidR="00F000AD" w:rsidRPr="009720FF" w:rsidTr="00F000AD">
        <w:tc>
          <w:tcPr>
            <w:tcW w:w="414" w:type="pct"/>
          </w:tcPr>
          <w:p w:rsidR="00F000AD" w:rsidRPr="009720FF" w:rsidRDefault="00F000AD" w:rsidP="00F000AD">
            <w:pPr>
              <w:rPr>
                <w:rFonts w:ascii="Times New Roman" w:eastAsia="Calibri" w:hAnsi="Times New Roman" w:cs="Times New Roman"/>
                <w:noProof/>
                <w:sz w:val="18"/>
                <w:szCs w:val="18"/>
              </w:rPr>
            </w:pPr>
            <w:r w:rsidRPr="009720FF">
              <w:rPr>
                <w:rFonts w:ascii="Times New Roman" w:eastAsia="Calibri" w:hAnsi="Times New Roman" w:cs="Times New Roman"/>
                <w:noProof/>
                <w:sz w:val="18"/>
                <w:szCs w:val="18"/>
              </w:rPr>
              <w:t>EMFF</w:t>
            </w:r>
          </w:p>
        </w:tc>
        <w:tc>
          <w:tcPr>
            <w:tcW w:w="60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1417" w:type="pct"/>
          </w:tcPr>
          <w:p w:rsidR="00F000AD" w:rsidRPr="009720FF" w:rsidRDefault="00F000AD" w:rsidP="00F000AD">
            <w:pPr>
              <w:rPr>
                <w:rFonts w:ascii="Times New Roman" w:eastAsia="Calibri" w:hAnsi="Times New Roman" w:cs="Times New Roman"/>
                <w:noProof/>
                <w:sz w:val="18"/>
                <w:szCs w:val="18"/>
              </w:rPr>
            </w:pPr>
          </w:p>
        </w:tc>
      </w:tr>
      <w:tr w:rsidR="00F000AD" w:rsidRPr="009720FF" w:rsidTr="00F000AD">
        <w:tc>
          <w:tcPr>
            <w:tcW w:w="414" w:type="pct"/>
          </w:tcPr>
          <w:p w:rsidR="00F000AD" w:rsidRPr="009720FF" w:rsidRDefault="00F000AD" w:rsidP="00F000AD">
            <w:pPr>
              <w:rPr>
                <w:rFonts w:ascii="Times New Roman" w:eastAsia="Calibri" w:hAnsi="Times New Roman" w:cs="Times New Roman"/>
                <w:noProof/>
                <w:sz w:val="18"/>
                <w:szCs w:val="18"/>
              </w:rPr>
            </w:pPr>
            <w:r w:rsidRPr="009720FF">
              <w:rPr>
                <w:rFonts w:ascii="Times New Roman" w:eastAsia="Calibri" w:hAnsi="Times New Roman" w:cs="Times New Roman"/>
                <w:noProof/>
                <w:sz w:val="18"/>
                <w:szCs w:val="18"/>
              </w:rPr>
              <w:t>Total</w:t>
            </w:r>
          </w:p>
        </w:tc>
        <w:tc>
          <w:tcPr>
            <w:tcW w:w="60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513" w:type="pct"/>
          </w:tcPr>
          <w:p w:rsidR="00F000AD" w:rsidRPr="009720FF" w:rsidRDefault="00F000AD" w:rsidP="00F000AD">
            <w:pPr>
              <w:rPr>
                <w:rFonts w:ascii="Times New Roman" w:eastAsia="Calibri" w:hAnsi="Times New Roman" w:cs="Times New Roman"/>
                <w:noProof/>
                <w:sz w:val="18"/>
                <w:szCs w:val="18"/>
              </w:rPr>
            </w:pPr>
          </w:p>
        </w:tc>
        <w:tc>
          <w:tcPr>
            <w:tcW w:w="1417" w:type="pct"/>
          </w:tcPr>
          <w:p w:rsidR="00F000AD" w:rsidRPr="009720FF" w:rsidRDefault="00F000AD" w:rsidP="00F000AD">
            <w:pPr>
              <w:rPr>
                <w:rFonts w:ascii="Times New Roman" w:eastAsia="Calibri" w:hAnsi="Times New Roman" w:cs="Times New Roman"/>
                <w:noProof/>
                <w:sz w:val="18"/>
                <w:szCs w:val="18"/>
              </w:rPr>
            </w:pPr>
          </w:p>
        </w:tc>
      </w:tr>
    </w:tbl>
    <w:p w:rsidR="00F000AD" w:rsidRDefault="00F000AD" w:rsidP="00F000AD">
      <w:pPr>
        <w:jc w:val="both"/>
        <w:rPr>
          <w:rFonts w:ascii="Times New Roman" w:eastAsia="Times New Roman" w:hAnsi="Times New Roman" w:cs="Times New Roman"/>
          <w:noProof/>
          <w:sz w:val="20"/>
          <w:szCs w:val="20"/>
          <w:lang w:val="en-GB" w:eastAsia="en-GB"/>
        </w:rPr>
      </w:pPr>
      <w:r w:rsidRPr="009720FF">
        <w:rPr>
          <w:rFonts w:ascii="Times New Roman" w:eastAsia="Times New Roman" w:hAnsi="Times New Roman" w:cs="Times New Roman"/>
          <w:noProof/>
          <w:sz w:val="20"/>
          <w:szCs w:val="20"/>
          <w:lang w:val="en-GB" w:eastAsia="en-GB"/>
        </w:rPr>
        <w:t>* Initial JTF allocation (without complementary resources transferred) within the limits set in Article 21.</w:t>
      </w:r>
    </w:p>
    <w:p w:rsidR="00F000AD" w:rsidRPr="00F000AD" w:rsidRDefault="00F000AD" w:rsidP="00F000AD">
      <w:pPr>
        <w:spacing w:before="120" w:after="120" w:line="360" w:lineRule="auto"/>
        <w:rPr>
          <w:rFonts w:ascii="Times New Roman" w:hAnsi="Times New Roman" w:cs="Times New Roman"/>
          <w:sz w:val="24"/>
          <w:lang w:val="en-GB"/>
        </w:rPr>
      </w:pPr>
      <w:r w:rsidRPr="00F000AD">
        <w:rPr>
          <w:rFonts w:ascii="Times New Roman" w:hAnsi="Times New Roman" w:cs="Times New Roman"/>
          <w:b/>
          <w:noProof/>
          <w:sz w:val="20"/>
          <w:lang w:val="en-GB"/>
        </w:rPr>
        <w:t>Table 16: Transfers to instruments under direct or indirect management*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1053"/>
        <w:gridCol w:w="1203"/>
        <w:gridCol w:w="1202"/>
        <w:gridCol w:w="1202"/>
        <w:gridCol w:w="1202"/>
        <w:gridCol w:w="1202"/>
        <w:gridCol w:w="1922"/>
      </w:tblGrid>
      <w:tr w:rsidR="00F000AD" w:rsidRPr="00F000AD" w:rsidTr="00F000AD">
        <w:tc>
          <w:tcPr>
            <w:tcW w:w="440" w:type="pct"/>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spacing w:beforeLines="60" w:before="144" w:afterLines="60" w:after="144"/>
              <w:jc w:val="center"/>
              <w:rPr>
                <w:rFonts w:ascii="Times New Roman" w:eastAsia="Times New Roman" w:hAnsi="Times New Roman" w:cs="Times New Roman"/>
                <w:b/>
                <w:noProof/>
                <w:sz w:val="18"/>
                <w:szCs w:val="18"/>
                <w:lang w:val="en-US"/>
              </w:rPr>
            </w:pPr>
            <w:r w:rsidRPr="00F000AD">
              <w:rPr>
                <w:rFonts w:ascii="Times New Roman" w:eastAsia="Times New Roman" w:hAnsi="Times New Roman" w:cs="Times New Roman"/>
                <w:b/>
                <w:noProof/>
                <w:sz w:val="18"/>
                <w:szCs w:val="18"/>
                <w:lang w:val="en-US"/>
              </w:rPr>
              <w:t>Fund</w:t>
            </w:r>
          </w:p>
        </w:tc>
        <w:tc>
          <w:tcPr>
            <w:tcW w:w="534" w:type="pct"/>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spacing w:beforeLines="60" w:before="144" w:afterLines="60" w:after="144"/>
              <w:rPr>
                <w:rFonts w:ascii="Times New Roman" w:eastAsia="Times New Roman" w:hAnsi="Times New Roman" w:cs="Times New Roman"/>
                <w:b/>
                <w:noProof/>
                <w:sz w:val="18"/>
                <w:szCs w:val="18"/>
                <w:lang w:val="en-US"/>
              </w:rPr>
            </w:pPr>
            <w:r w:rsidRPr="00F000AD">
              <w:rPr>
                <w:rFonts w:ascii="Times New Roman" w:eastAsia="Times New Roman" w:hAnsi="Times New Roman" w:cs="Times New Roman"/>
                <w:b/>
                <w:noProof/>
                <w:sz w:val="18"/>
                <w:szCs w:val="18"/>
                <w:lang w:val="en-US"/>
              </w:rPr>
              <w:t>Category of regions</w:t>
            </w:r>
          </w:p>
        </w:tc>
        <w:tc>
          <w:tcPr>
            <w:tcW w:w="610" w:type="pct"/>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spacing w:beforeLines="60" w:before="144" w:afterLines="60" w:after="144"/>
              <w:jc w:val="center"/>
              <w:rPr>
                <w:rFonts w:ascii="Times New Roman" w:eastAsia="Times New Roman" w:hAnsi="Times New Roman" w:cs="Times New Roman"/>
                <w:b/>
                <w:noProof/>
                <w:sz w:val="18"/>
                <w:szCs w:val="18"/>
                <w:lang w:val="en-US"/>
              </w:rPr>
            </w:pPr>
            <w:r w:rsidRPr="00F000AD">
              <w:rPr>
                <w:rFonts w:ascii="Times New Roman" w:hAnsi="Times New Roman" w:cs="Times New Roman"/>
                <w:b/>
                <w:noProof/>
                <w:sz w:val="18"/>
                <w:szCs w:val="18"/>
                <w:lang w:val="en-US"/>
              </w:rPr>
              <w:t>Instrument</w:t>
            </w:r>
            <w:r w:rsidRPr="00F000AD">
              <w:rPr>
                <w:rFonts w:ascii="Times New Roman" w:eastAsia="Times New Roman" w:hAnsi="Times New Roman" w:cs="Times New Roman"/>
                <w:b/>
                <w:noProof/>
                <w:sz w:val="18"/>
                <w:szCs w:val="18"/>
                <w:lang w:val="en-US"/>
              </w:rPr>
              <w:t xml:space="preserve"> 1</w:t>
            </w:r>
          </w:p>
        </w:tc>
        <w:tc>
          <w:tcPr>
            <w:tcW w:w="610" w:type="pct"/>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spacing w:beforeLines="60" w:before="144" w:afterLines="60" w:after="144"/>
              <w:jc w:val="center"/>
              <w:rPr>
                <w:rFonts w:ascii="Times New Roman" w:eastAsia="Times New Roman" w:hAnsi="Times New Roman" w:cs="Times New Roman"/>
                <w:b/>
                <w:noProof/>
                <w:sz w:val="18"/>
                <w:szCs w:val="18"/>
                <w:lang w:val="en-US"/>
              </w:rPr>
            </w:pPr>
            <w:r w:rsidRPr="00F000AD">
              <w:rPr>
                <w:rFonts w:ascii="Times New Roman" w:hAnsi="Times New Roman" w:cs="Times New Roman"/>
                <w:b/>
                <w:noProof/>
                <w:sz w:val="18"/>
                <w:szCs w:val="18"/>
                <w:lang w:val="en-US"/>
              </w:rPr>
              <w:t>Instrument</w:t>
            </w:r>
            <w:r w:rsidRPr="00F000AD">
              <w:rPr>
                <w:rFonts w:ascii="Times New Roman" w:eastAsia="Times New Roman" w:hAnsi="Times New Roman" w:cs="Times New Roman"/>
                <w:b/>
                <w:noProof/>
                <w:sz w:val="18"/>
                <w:szCs w:val="18"/>
                <w:lang w:val="en-US"/>
              </w:rPr>
              <w:t xml:space="preserve"> 2</w:t>
            </w:r>
          </w:p>
        </w:tc>
        <w:tc>
          <w:tcPr>
            <w:tcW w:w="610" w:type="pct"/>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spacing w:beforeLines="60" w:before="144" w:afterLines="60" w:after="144"/>
              <w:jc w:val="center"/>
              <w:rPr>
                <w:rFonts w:ascii="Times New Roman" w:eastAsia="Times New Roman" w:hAnsi="Times New Roman" w:cs="Times New Roman"/>
                <w:b/>
                <w:noProof/>
                <w:sz w:val="18"/>
                <w:szCs w:val="18"/>
                <w:lang w:val="en-US"/>
              </w:rPr>
            </w:pPr>
            <w:r w:rsidRPr="00F000AD">
              <w:rPr>
                <w:rFonts w:ascii="Times New Roman" w:hAnsi="Times New Roman" w:cs="Times New Roman"/>
                <w:b/>
                <w:noProof/>
                <w:sz w:val="18"/>
                <w:szCs w:val="18"/>
                <w:lang w:val="en-US"/>
              </w:rPr>
              <w:t>Instrument</w:t>
            </w:r>
            <w:r w:rsidRPr="00F000AD">
              <w:rPr>
                <w:rFonts w:ascii="Times New Roman" w:eastAsia="Times New Roman" w:hAnsi="Times New Roman" w:cs="Times New Roman"/>
                <w:b/>
                <w:noProof/>
                <w:sz w:val="18"/>
                <w:szCs w:val="18"/>
                <w:lang w:val="en-US"/>
              </w:rPr>
              <w:t xml:space="preserve"> 3</w:t>
            </w:r>
          </w:p>
        </w:tc>
        <w:tc>
          <w:tcPr>
            <w:tcW w:w="610" w:type="pct"/>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spacing w:beforeLines="60" w:before="144" w:afterLines="60" w:after="144"/>
              <w:jc w:val="center"/>
              <w:rPr>
                <w:rFonts w:ascii="Times New Roman" w:eastAsia="Times New Roman" w:hAnsi="Times New Roman" w:cs="Times New Roman"/>
                <w:b/>
                <w:noProof/>
                <w:sz w:val="18"/>
                <w:szCs w:val="18"/>
                <w:lang w:val="en-US"/>
              </w:rPr>
            </w:pPr>
            <w:r w:rsidRPr="00F000AD">
              <w:rPr>
                <w:rFonts w:ascii="Times New Roman" w:hAnsi="Times New Roman" w:cs="Times New Roman"/>
                <w:b/>
                <w:noProof/>
                <w:sz w:val="18"/>
                <w:szCs w:val="18"/>
                <w:lang w:val="en-US"/>
              </w:rPr>
              <w:t>Instrument</w:t>
            </w:r>
            <w:r w:rsidRPr="00F000AD">
              <w:rPr>
                <w:rFonts w:ascii="Times New Roman" w:eastAsia="Times New Roman" w:hAnsi="Times New Roman" w:cs="Times New Roman"/>
                <w:b/>
                <w:noProof/>
                <w:sz w:val="18"/>
                <w:szCs w:val="18"/>
                <w:lang w:val="en-US"/>
              </w:rPr>
              <w:t xml:space="preserve"> 4</w:t>
            </w:r>
          </w:p>
        </w:tc>
        <w:tc>
          <w:tcPr>
            <w:tcW w:w="610" w:type="pct"/>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spacing w:beforeLines="60" w:before="144" w:afterLines="60" w:after="144"/>
              <w:jc w:val="center"/>
              <w:rPr>
                <w:rFonts w:ascii="Times New Roman" w:eastAsia="Times New Roman" w:hAnsi="Times New Roman" w:cs="Times New Roman"/>
                <w:b/>
                <w:noProof/>
                <w:sz w:val="18"/>
                <w:szCs w:val="18"/>
                <w:lang w:val="en-US"/>
              </w:rPr>
            </w:pPr>
            <w:r w:rsidRPr="00F000AD">
              <w:rPr>
                <w:rFonts w:ascii="Times New Roman" w:hAnsi="Times New Roman" w:cs="Times New Roman"/>
                <w:b/>
                <w:noProof/>
                <w:sz w:val="18"/>
                <w:szCs w:val="18"/>
                <w:lang w:val="en-US"/>
              </w:rPr>
              <w:t>Instrument</w:t>
            </w:r>
            <w:r w:rsidRPr="00F000AD">
              <w:rPr>
                <w:rFonts w:ascii="Times New Roman" w:eastAsia="Times New Roman" w:hAnsi="Times New Roman" w:cs="Times New Roman"/>
                <w:b/>
                <w:noProof/>
                <w:sz w:val="18"/>
                <w:szCs w:val="18"/>
                <w:lang w:val="en-US"/>
              </w:rPr>
              <w:t xml:space="preserve"> 5</w:t>
            </w:r>
          </w:p>
        </w:tc>
        <w:tc>
          <w:tcPr>
            <w:tcW w:w="975" w:type="pct"/>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spacing w:beforeLines="60" w:before="144" w:afterLines="60" w:after="144"/>
              <w:rPr>
                <w:rFonts w:ascii="Times New Roman" w:eastAsia="Times New Roman" w:hAnsi="Times New Roman" w:cs="Times New Roman"/>
                <w:b/>
                <w:noProof/>
                <w:sz w:val="18"/>
                <w:szCs w:val="18"/>
                <w:lang w:val="en-US"/>
              </w:rPr>
            </w:pPr>
            <w:r w:rsidRPr="00F000AD">
              <w:rPr>
                <w:rFonts w:ascii="Times New Roman" w:eastAsia="Times New Roman" w:hAnsi="Times New Roman" w:cs="Times New Roman"/>
                <w:b/>
                <w:noProof/>
                <w:sz w:val="18"/>
                <w:szCs w:val="18"/>
                <w:lang w:val="en-US"/>
              </w:rPr>
              <w:t>Transfer amount</w:t>
            </w:r>
          </w:p>
        </w:tc>
      </w:tr>
      <w:tr w:rsidR="00F000AD" w:rsidRPr="00F000AD" w:rsidTr="00F000AD">
        <w:tc>
          <w:tcPr>
            <w:tcW w:w="44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jc w:val="center"/>
              <w:rPr>
                <w:rFonts w:ascii="Times New Roman" w:eastAsia="Times New Roman" w:hAnsi="Times New Roman" w:cs="Times New Roman"/>
                <w:noProof/>
                <w:sz w:val="18"/>
                <w:szCs w:val="18"/>
                <w:lang w:val="en-US"/>
              </w:rPr>
            </w:pPr>
          </w:p>
        </w:tc>
        <w:tc>
          <w:tcPr>
            <w:tcW w:w="534"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jc w:val="center"/>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spacing w:beforeLines="60" w:before="144" w:afterLines="60" w:after="144"/>
              <w:jc w:val="center"/>
              <w:rPr>
                <w:rFonts w:ascii="Times New Roman" w:eastAsia="Times New Roman" w:hAnsi="Times New Roman" w:cs="Times New Roman"/>
                <w:noProof/>
                <w:sz w:val="16"/>
                <w:szCs w:val="16"/>
                <w:lang w:val="en-US"/>
              </w:rPr>
            </w:pPr>
            <w:r w:rsidRPr="00F000AD">
              <w:rPr>
                <w:rFonts w:ascii="Times New Roman" w:eastAsia="Times New Roman" w:hAnsi="Times New Roman" w:cs="Times New Roman"/>
                <w:noProof/>
                <w:sz w:val="16"/>
                <w:szCs w:val="16"/>
                <w:lang w:val="en-US"/>
              </w:rPr>
              <w:t>(a)</w:t>
            </w:r>
          </w:p>
        </w:tc>
        <w:tc>
          <w:tcPr>
            <w:tcW w:w="610" w:type="pct"/>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spacing w:beforeLines="60" w:before="144" w:afterLines="60" w:after="144"/>
              <w:jc w:val="center"/>
              <w:rPr>
                <w:rFonts w:ascii="Times New Roman" w:eastAsia="Times New Roman" w:hAnsi="Times New Roman" w:cs="Times New Roman"/>
                <w:noProof/>
                <w:sz w:val="16"/>
                <w:szCs w:val="16"/>
                <w:lang w:val="en-US"/>
              </w:rPr>
            </w:pPr>
            <w:r w:rsidRPr="00F000AD">
              <w:rPr>
                <w:rFonts w:ascii="Times New Roman" w:eastAsia="Times New Roman" w:hAnsi="Times New Roman" w:cs="Times New Roman"/>
                <w:noProof/>
                <w:sz w:val="16"/>
                <w:szCs w:val="16"/>
                <w:lang w:val="en-US"/>
              </w:rPr>
              <w:t>(b)</w:t>
            </w:r>
          </w:p>
        </w:tc>
        <w:tc>
          <w:tcPr>
            <w:tcW w:w="610" w:type="pct"/>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spacing w:beforeLines="60" w:before="144" w:afterLines="60" w:after="144"/>
              <w:jc w:val="center"/>
              <w:rPr>
                <w:rFonts w:ascii="Times New Roman" w:eastAsia="Times New Roman" w:hAnsi="Times New Roman" w:cs="Times New Roman"/>
                <w:noProof/>
                <w:sz w:val="16"/>
                <w:szCs w:val="16"/>
                <w:lang w:val="en-US"/>
              </w:rPr>
            </w:pPr>
            <w:r w:rsidRPr="00F000AD">
              <w:rPr>
                <w:rFonts w:ascii="Times New Roman" w:eastAsia="Times New Roman" w:hAnsi="Times New Roman" w:cs="Times New Roman"/>
                <w:noProof/>
                <w:sz w:val="16"/>
                <w:szCs w:val="16"/>
                <w:lang w:val="en-US"/>
              </w:rPr>
              <w:t>(c)</w:t>
            </w:r>
          </w:p>
        </w:tc>
        <w:tc>
          <w:tcPr>
            <w:tcW w:w="610" w:type="pct"/>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spacing w:beforeLines="60" w:before="144" w:afterLines="60" w:after="144"/>
              <w:jc w:val="center"/>
              <w:rPr>
                <w:rFonts w:ascii="Times New Roman" w:eastAsia="Times New Roman" w:hAnsi="Times New Roman" w:cs="Times New Roman"/>
                <w:noProof/>
                <w:sz w:val="16"/>
                <w:szCs w:val="16"/>
                <w:lang w:val="en-US"/>
              </w:rPr>
            </w:pPr>
            <w:r w:rsidRPr="00F000AD">
              <w:rPr>
                <w:rFonts w:ascii="Times New Roman" w:eastAsia="Times New Roman" w:hAnsi="Times New Roman" w:cs="Times New Roman"/>
                <w:noProof/>
                <w:sz w:val="16"/>
                <w:szCs w:val="16"/>
                <w:lang w:val="en-US"/>
              </w:rPr>
              <w:t>(d)</w:t>
            </w:r>
          </w:p>
        </w:tc>
        <w:tc>
          <w:tcPr>
            <w:tcW w:w="610" w:type="pct"/>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spacing w:beforeLines="60" w:before="144" w:afterLines="60" w:after="144"/>
              <w:jc w:val="center"/>
              <w:rPr>
                <w:rFonts w:ascii="Times New Roman" w:eastAsia="Times New Roman" w:hAnsi="Times New Roman" w:cs="Times New Roman"/>
                <w:noProof/>
                <w:sz w:val="16"/>
                <w:szCs w:val="16"/>
                <w:lang w:val="en-US"/>
              </w:rPr>
            </w:pPr>
            <w:r w:rsidRPr="00F000AD">
              <w:rPr>
                <w:rFonts w:ascii="Times New Roman" w:eastAsia="Times New Roman" w:hAnsi="Times New Roman" w:cs="Times New Roman"/>
                <w:noProof/>
                <w:sz w:val="16"/>
                <w:szCs w:val="16"/>
                <w:lang w:val="en-US"/>
              </w:rPr>
              <w:t>(e)</w:t>
            </w:r>
          </w:p>
        </w:tc>
        <w:tc>
          <w:tcPr>
            <w:tcW w:w="975" w:type="pct"/>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spacing w:beforeLines="60" w:before="144" w:afterLines="60" w:after="144"/>
              <w:jc w:val="center"/>
              <w:rPr>
                <w:rFonts w:ascii="Times New Roman" w:eastAsia="Times New Roman" w:hAnsi="Times New Roman" w:cs="Times New Roman"/>
                <w:noProof/>
                <w:sz w:val="16"/>
                <w:szCs w:val="16"/>
                <w:lang w:val="en-US"/>
              </w:rPr>
            </w:pPr>
            <w:r w:rsidRPr="00F000AD">
              <w:rPr>
                <w:rFonts w:ascii="Times New Roman" w:eastAsia="Times New Roman" w:hAnsi="Times New Roman" w:cs="Times New Roman"/>
                <w:noProof/>
                <w:sz w:val="16"/>
                <w:szCs w:val="16"/>
                <w:lang w:val="en-US"/>
              </w:rPr>
              <w:t>(f)=(a)+(b)+(c)+(d)+(e)</w:t>
            </w:r>
          </w:p>
        </w:tc>
      </w:tr>
      <w:tr w:rsidR="00F000AD" w:rsidRPr="00F000AD" w:rsidTr="00F000AD">
        <w:tc>
          <w:tcPr>
            <w:tcW w:w="440" w:type="pct"/>
            <w:vMerge w:val="restart"/>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r w:rsidRPr="00F000AD">
              <w:rPr>
                <w:rFonts w:ascii="Times New Roman" w:eastAsia="Times New Roman" w:hAnsi="Times New Roman" w:cs="Times New Roman"/>
                <w:noProof/>
                <w:sz w:val="18"/>
                <w:szCs w:val="18"/>
                <w:lang w:val="en-US"/>
              </w:rPr>
              <w:t>ERDF</w:t>
            </w:r>
          </w:p>
        </w:tc>
        <w:tc>
          <w:tcPr>
            <w:tcW w:w="534" w:type="pct"/>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spacing w:beforeLines="60" w:before="144" w:afterLines="60" w:after="144"/>
              <w:rPr>
                <w:rFonts w:ascii="Times New Roman" w:eastAsia="Times New Roman" w:hAnsi="Times New Roman" w:cs="Times New Roman"/>
                <w:noProof/>
                <w:sz w:val="16"/>
                <w:szCs w:val="16"/>
                <w:lang w:val="en-US"/>
              </w:rPr>
            </w:pPr>
            <w:r w:rsidRPr="00F000AD">
              <w:rPr>
                <w:rFonts w:ascii="Times New Roman" w:eastAsia="Times New Roman" w:hAnsi="Times New Roman" w:cs="Times New Roman"/>
                <w:noProof/>
                <w:sz w:val="16"/>
                <w:szCs w:val="16"/>
                <w:lang w:val="en-US"/>
              </w:rPr>
              <w:t>More developed</w:t>
            </w: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975"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r>
      <w:tr w:rsidR="00F000AD" w:rsidRPr="00F000AD" w:rsidTr="00F000AD">
        <w:tc>
          <w:tcPr>
            <w:tcW w:w="0" w:type="auto"/>
            <w:vMerge/>
            <w:tcBorders>
              <w:top w:val="single" w:sz="4" w:space="0" w:color="auto"/>
              <w:left w:val="single" w:sz="4" w:space="0" w:color="auto"/>
              <w:bottom w:val="single" w:sz="4" w:space="0" w:color="auto"/>
              <w:right w:val="single" w:sz="4" w:space="0" w:color="auto"/>
            </w:tcBorders>
            <w:vAlign w:val="center"/>
            <w:hideMark/>
          </w:tcPr>
          <w:p w:rsidR="00F000AD" w:rsidRPr="00F000AD" w:rsidRDefault="00F000AD" w:rsidP="00F000AD">
            <w:pPr>
              <w:spacing w:after="0"/>
              <w:rPr>
                <w:rFonts w:ascii="Times New Roman" w:eastAsia="Times New Roman" w:hAnsi="Times New Roman" w:cs="Times New Roman"/>
                <w:noProof/>
                <w:sz w:val="18"/>
                <w:szCs w:val="18"/>
                <w:lang w:val="en-US"/>
              </w:rPr>
            </w:pPr>
          </w:p>
        </w:tc>
        <w:tc>
          <w:tcPr>
            <w:tcW w:w="534" w:type="pct"/>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spacing w:beforeLines="60" w:before="144" w:afterLines="60" w:after="144"/>
              <w:rPr>
                <w:rFonts w:ascii="Times New Roman" w:eastAsia="Times New Roman" w:hAnsi="Times New Roman" w:cs="Times New Roman"/>
                <w:noProof/>
                <w:sz w:val="16"/>
                <w:szCs w:val="16"/>
                <w:lang w:val="en-US"/>
              </w:rPr>
            </w:pPr>
            <w:r w:rsidRPr="00F000AD">
              <w:rPr>
                <w:rFonts w:ascii="Times New Roman" w:hAnsi="Times New Roman" w:cs="Times New Roman"/>
                <w:noProof/>
                <w:sz w:val="16"/>
                <w:szCs w:val="16"/>
                <w:lang w:val="en-US"/>
              </w:rPr>
              <w:t>Transition</w:t>
            </w: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975"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r>
      <w:tr w:rsidR="00F000AD" w:rsidRPr="00F000AD" w:rsidTr="00F000AD">
        <w:tc>
          <w:tcPr>
            <w:tcW w:w="0" w:type="auto"/>
            <w:vMerge/>
            <w:tcBorders>
              <w:top w:val="single" w:sz="4" w:space="0" w:color="auto"/>
              <w:left w:val="single" w:sz="4" w:space="0" w:color="auto"/>
              <w:bottom w:val="single" w:sz="4" w:space="0" w:color="auto"/>
              <w:right w:val="single" w:sz="4" w:space="0" w:color="auto"/>
            </w:tcBorders>
            <w:vAlign w:val="center"/>
            <w:hideMark/>
          </w:tcPr>
          <w:p w:rsidR="00F000AD" w:rsidRPr="00F000AD" w:rsidRDefault="00F000AD" w:rsidP="00F000AD">
            <w:pPr>
              <w:spacing w:after="0"/>
              <w:rPr>
                <w:rFonts w:ascii="Times New Roman" w:eastAsia="Times New Roman" w:hAnsi="Times New Roman" w:cs="Times New Roman"/>
                <w:noProof/>
                <w:sz w:val="18"/>
                <w:szCs w:val="18"/>
                <w:lang w:val="en-US"/>
              </w:rPr>
            </w:pPr>
          </w:p>
        </w:tc>
        <w:tc>
          <w:tcPr>
            <w:tcW w:w="534" w:type="pct"/>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spacing w:beforeLines="60" w:before="144" w:afterLines="60" w:after="144"/>
              <w:rPr>
                <w:rFonts w:ascii="Times New Roman" w:hAnsi="Times New Roman" w:cs="Times New Roman"/>
                <w:noProof/>
                <w:sz w:val="16"/>
                <w:szCs w:val="16"/>
                <w:lang w:val="en-US"/>
              </w:rPr>
            </w:pPr>
            <w:r w:rsidRPr="00F000AD">
              <w:rPr>
                <w:rFonts w:ascii="Times New Roman" w:eastAsia="Times New Roman" w:hAnsi="Times New Roman" w:cs="Times New Roman"/>
                <w:noProof/>
                <w:sz w:val="16"/>
                <w:szCs w:val="16"/>
                <w:lang w:val="en-US"/>
              </w:rPr>
              <w:t>Less developed</w:t>
            </w: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975"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r>
      <w:tr w:rsidR="00F000AD" w:rsidRPr="00F000AD" w:rsidTr="00F000AD">
        <w:tc>
          <w:tcPr>
            <w:tcW w:w="0" w:type="auto"/>
            <w:vMerge/>
            <w:tcBorders>
              <w:top w:val="single" w:sz="4" w:space="0" w:color="auto"/>
              <w:left w:val="single" w:sz="4" w:space="0" w:color="auto"/>
              <w:bottom w:val="single" w:sz="4" w:space="0" w:color="auto"/>
              <w:right w:val="single" w:sz="4" w:space="0" w:color="auto"/>
            </w:tcBorders>
            <w:vAlign w:val="center"/>
            <w:hideMark/>
          </w:tcPr>
          <w:p w:rsidR="00F000AD" w:rsidRPr="00F000AD" w:rsidRDefault="00F000AD" w:rsidP="00F000AD">
            <w:pPr>
              <w:spacing w:after="0"/>
              <w:rPr>
                <w:rFonts w:ascii="Times New Roman" w:eastAsia="Times New Roman" w:hAnsi="Times New Roman" w:cs="Times New Roman"/>
                <w:noProof/>
                <w:sz w:val="18"/>
                <w:szCs w:val="18"/>
                <w:lang w:val="en-US"/>
              </w:rPr>
            </w:pPr>
          </w:p>
        </w:tc>
        <w:tc>
          <w:tcPr>
            <w:tcW w:w="534" w:type="pct"/>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spacing w:beforeLines="60" w:before="144" w:afterLines="60" w:after="144"/>
              <w:rPr>
                <w:rFonts w:ascii="Times New Roman" w:eastAsia="Times New Roman" w:hAnsi="Times New Roman" w:cs="Times New Roman"/>
                <w:noProof/>
                <w:sz w:val="16"/>
                <w:szCs w:val="16"/>
                <w:lang w:val="en-US"/>
              </w:rPr>
            </w:pPr>
            <w:r w:rsidRPr="00F000AD">
              <w:rPr>
                <w:rFonts w:ascii="Times New Roman" w:hAnsi="Times New Roman" w:cs="Times New Roman"/>
                <w:noProof/>
                <w:sz w:val="16"/>
                <w:szCs w:val="16"/>
                <w:lang w:val="en-US"/>
              </w:rPr>
              <w:t>Outermost and northern sparsely populated</w:t>
            </w: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975"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r>
      <w:tr w:rsidR="00F000AD" w:rsidRPr="00F000AD" w:rsidTr="00F000AD">
        <w:tc>
          <w:tcPr>
            <w:tcW w:w="440" w:type="pct"/>
            <w:vMerge w:val="restart"/>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r w:rsidRPr="00F000AD">
              <w:rPr>
                <w:rFonts w:ascii="Times New Roman" w:eastAsia="Times New Roman" w:hAnsi="Times New Roman" w:cs="Times New Roman"/>
                <w:noProof/>
                <w:sz w:val="18"/>
                <w:szCs w:val="18"/>
                <w:lang w:val="en-US"/>
              </w:rPr>
              <w:t>ESF+</w:t>
            </w:r>
          </w:p>
        </w:tc>
        <w:tc>
          <w:tcPr>
            <w:tcW w:w="534" w:type="pct"/>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spacing w:beforeLines="60" w:before="144" w:afterLines="60" w:after="144"/>
              <w:rPr>
                <w:rFonts w:ascii="Times New Roman" w:eastAsia="Times New Roman" w:hAnsi="Times New Roman" w:cs="Times New Roman"/>
                <w:noProof/>
                <w:sz w:val="16"/>
                <w:szCs w:val="16"/>
                <w:lang w:val="en-US"/>
              </w:rPr>
            </w:pPr>
            <w:r w:rsidRPr="00F000AD">
              <w:rPr>
                <w:rFonts w:ascii="Times New Roman" w:eastAsia="Times New Roman" w:hAnsi="Times New Roman" w:cs="Times New Roman"/>
                <w:noProof/>
                <w:sz w:val="16"/>
                <w:szCs w:val="16"/>
                <w:lang w:val="en-US"/>
              </w:rPr>
              <w:t>More developed</w:t>
            </w: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975"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r>
      <w:tr w:rsidR="00F000AD" w:rsidRPr="00F000AD" w:rsidTr="00F000AD">
        <w:tc>
          <w:tcPr>
            <w:tcW w:w="0" w:type="auto"/>
            <w:vMerge/>
            <w:tcBorders>
              <w:top w:val="single" w:sz="4" w:space="0" w:color="auto"/>
              <w:left w:val="single" w:sz="4" w:space="0" w:color="auto"/>
              <w:bottom w:val="single" w:sz="4" w:space="0" w:color="auto"/>
              <w:right w:val="single" w:sz="4" w:space="0" w:color="auto"/>
            </w:tcBorders>
            <w:vAlign w:val="center"/>
            <w:hideMark/>
          </w:tcPr>
          <w:p w:rsidR="00F000AD" w:rsidRPr="00F000AD" w:rsidRDefault="00F000AD" w:rsidP="00F000AD">
            <w:pPr>
              <w:spacing w:after="0"/>
              <w:rPr>
                <w:rFonts w:ascii="Times New Roman" w:eastAsia="Times New Roman" w:hAnsi="Times New Roman" w:cs="Times New Roman"/>
                <w:noProof/>
                <w:sz w:val="18"/>
                <w:szCs w:val="18"/>
                <w:lang w:val="en-US"/>
              </w:rPr>
            </w:pPr>
          </w:p>
        </w:tc>
        <w:tc>
          <w:tcPr>
            <w:tcW w:w="534" w:type="pct"/>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spacing w:beforeLines="60" w:before="144" w:afterLines="60" w:after="144"/>
              <w:rPr>
                <w:rFonts w:ascii="Times New Roman" w:eastAsia="Times New Roman" w:hAnsi="Times New Roman" w:cs="Times New Roman"/>
                <w:noProof/>
                <w:sz w:val="16"/>
                <w:szCs w:val="16"/>
                <w:lang w:val="en-US"/>
              </w:rPr>
            </w:pPr>
            <w:r w:rsidRPr="00F000AD">
              <w:rPr>
                <w:rFonts w:ascii="Times New Roman" w:eastAsia="Times New Roman" w:hAnsi="Times New Roman" w:cs="Times New Roman"/>
                <w:noProof/>
                <w:sz w:val="16"/>
                <w:szCs w:val="16"/>
                <w:lang w:val="en-US"/>
              </w:rPr>
              <w:t>Transition</w:t>
            </w: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975"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r>
      <w:tr w:rsidR="00F000AD" w:rsidRPr="00F000AD" w:rsidTr="00F000AD">
        <w:tc>
          <w:tcPr>
            <w:tcW w:w="0" w:type="auto"/>
            <w:vMerge/>
            <w:tcBorders>
              <w:top w:val="single" w:sz="4" w:space="0" w:color="auto"/>
              <w:left w:val="single" w:sz="4" w:space="0" w:color="auto"/>
              <w:bottom w:val="single" w:sz="4" w:space="0" w:color="auto"/>
              <w:right w:val="single" w:sz="4" w:space="0" w:color="auto"/>
            </w:tcBorders>
            <w:vAlign w:val="center"/>
            <w:hideMark/>
          </w:tcPr>
          <w:p w:rsidR="00F000AD" w:rsidRPr="00F000AD" w:rsidRDefault="00F000AD" w:rsidP="00F000AD">
            <w:pPr>
              <w:spacing w:after="0"/>
              <w:rPr>
                <w:rFonts w:ascii="Times New Roman" w:eastAsia="Times New Roman" w:hAnsi="Times New Roman" w:cs="Times New Roman"/>
                <w:noProof/>
                <w:sz w:val="18"/>
                <w:szCs w:val="18"/>
                <w:lang w:val="en-US"/>
              </w:rPr>
            </w:pPr>
          </w:p>
        </w:tc>
        <w:tc>
          <w:tcPr>
            <w:tcW w:w="534" w:type="pct"/>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spacing w:beforeLines="60" w:before="144" w:afterLines="60" w:after="144"/>
              <w:rPr>
                <w:rFonts w:ascii="Times New Roman" w:eastAsia="Times New Roman" w:hAnsi="Times New Roman" w:cs="Times New Roman"/>
                <w:noProof/>
                <w:sz w:val="16"/>
                <w:szCs w:val="16"/>
                <w:lang w:val="en-US"/>
              </w:rPr>
            </w:pPr>
            <w:r w:rsidRPr="00F000AD">
              <w:rPr>
                <w:rFonts w:ascii="Times New Roman" w:eastAsia="Times New Roman" w:hAnsi="Times New Roman" w:cs="Times New Roman"/>
                <w:noProof/>
                <w:sz w:val="16"/>
                <w:szCs w:val="16"/>
                <w:lang w:val="en-US"/>
              </w:rPr>
              <w:t>Less developed</w:t>
            </w: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975"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r>
      <w:tr w:rsidR="00F000AD" w:rsidRPr="00F000AD" w:rsidTr="00F000AD">
        <w:tc>
          <w:tcPr>
            <w:tcW w:w="0" w:type="auto"/>
            <w:vMerge/>
            <w:tcBorders>
              <w:top w:val="single" w:sz="4" w:space="0" w:color="auto"/>
              <w:left w:val="single" w:sz="4" w:space="0" w:color="auto"/>
              <w:bottom w:val="single" w:sz="4" w:space="0" w:color="auto"/>
              <w:right w:val="single" w:sz="4" w:space="0" w:color="auto"/>
            </w:tcBorders>
            <w:vAlign w:val="center"/>
            <w:hideMark/>
          </w:tcPr>
          <w:p w:rsidR="00F000AD" w:rsidRPr="00F000AD" w:rsidRDefault="00F000AD" w:rsidP="00F000AD">
            <w:pPr>
              <w:spacing w:after="0"/>
              <w:rPr>
                <w:rFonts w:ascii="Times New Roman" w:eastAsia="Times New Roman" w:hAnsi="Times New Roman" w:cs="Times New Roman"/>
                <w:noProof/>
                <w:sz w:val="18"/>
                <w:szCs w:val="18"/>
                <w:lang w:val="en-US"/>
              </w:rPr>
            </w:pPr>
          </w:p>
        </w:tc>
        <w:tc>
          <w:tcPr>
            <w:tcW w:w="534" w:type="pct"/>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spacing w:beforeLines="60" w:before="144" w:afterLines="60" w:after="144"/>
              <w:rPr>
                <w:rFonts w:ascii="Times New Roman" w:eastAsia="Times New Roman" w:hAnsi="Times New Roman" w:cs="Times New Roman"/>
                <w:noProof/>
                <w:sz w:val="16"/>
                <w:szCs w:val="16"/>
                <w:lang w:val="en-US"/>
              </w:rPr>
            </w:pPr>
            <w:r w:rsidRPr="00F000AD">
              <w:rPr>
                <w:rFonts w:ascii="Times New Roman" w:eastAsia="Times New Roman" w:hAnsi="Times New Roman" w:cs="Times New Roman"/>
                <w:noProof/>
                <w:sz w:val="16"/>
                <w:szCs w:val="16"/>
                <w:lang w:val="en-US"/>
              </w:rPr>
              <w:t xml:space="preserve">Outermost </w:t>
            </w:r>
            <w:r w:rsidRPr="00F000AD">
              <w:rPr>
                <w:rFonts w:ascii="Times New Roman" w:hAnsi="Times New Roman" w:cs="Times New Roman"/>
                <w:noProof/>
                <w:sz w:val="16"/>
                <w:szCs w:val="16"/>
                <w:lang w:val="en-US"/>
              </w:rPr>
              <w:t>and northern sparsely populated</w:t>
            </w: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975"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r>
      <w:tr w:rsidR="00F000AD" w:rsidRPr="00F000AD" w:rsidTr="00F000AD">
        <w:tc>
          <w:tcPr>
            <w:tcW w:w="440" w:type="pct"/>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r w:rsidRPr="00F000AD">
              <w:rPr>
                <w:rFonts w:ascii="Times New Roman" w:eastAsia="Times New Roman" w:hAnsi="Times New Roman" w:cs="Times New Roman"/>
                <w:noProof/>
                <w:sz w:val="18"/>
                <w:szCs w:val="18"/>
                <w:lang w:val="en-US"/>
              </w:rPr>
              <w:lastRenderedPageBreak/>
              <w:t>CF</w:t>
            </w:r>
          </w:p>
        </w:tc>
        <w:tc>
          <w:tcPr>
            <w:tcW w:w="534"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975"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r>
      <w:tr w:rsidR="00F000AD" w:rsidRPr="00F000AD" w:rsidTr="00F000AD">
        <w:tc>
          <w:tcPr>
            <w:tcW w:w="440" w:type="pct"/>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r w:rsidRPr="00F000AD">
              <w:rPr>
                <w:rFonts w:ascii="Times New Roman" w:eastAsia="Times New Roman" w:hAnsi="Times New Roman" w:cs="Times New Roman"/>
                <w:noProof/>
                <w:sz w:val="18"/>
                <w:szCs w:val="18"/>
                <w:lang w:val="en-US"/>
              </w:rPr>
              <w:t>EMFF</w:t>
            </w:r>
          </w:p>
        </w:tc>
        <w:tc>
          <w:tcPr>
            <w:tcW w:w="534"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975"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r>
      <w:tr w:rsidR="00F000AD" w:rsidRPr="00F000AD" w:rsidTr="00F000AD">
        <w:tc>
          <w:tcPr>
            <w:tcW w:w="440" w:type="pct"/>
            <w:tcBorders>
              <w:top w:val="single" w:sz="4" w:space="0" w:color="auto"/>
              <w:left w:val="single" w:sz="4" w:space="0" w:color="auto"/>
              <w:bottom w:val="single" w:sz="4" w:space="0" w:color="auto"/>
              <w:right w:val="single" w:sz="4" w:space="0" w:color="auto"/>
            </w:tcBorders>
            <w:hideMark/>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r w:rsidRPr="00F000AD">
              <w:rPr>
                <w:rFonts w:ascii="Times New Roman" w:eastAsia="Times New Roman" w:hAnsi="Times New Roman" w:cs="Times New Roman"/>
                <w:noProof/>
                <w:sz w:val="18"/>
                <w:szCs w:val="18"/>
                <w:lang w:val="en-US"/>
              </w:rPr>
              <w:t>Total</w:t>
            </w:r>
          </w:p>
        </w:tc>
        <w:tc>
          <w:tcPr>
            <w:tcW w:w="534"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610"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c>
          <w:tcPr>
            <w:tcW w:w="975" w:type="pct"/>
            <w:tcBorders>
              <w:top w:val="single" w:sz="4" w:space="0" w:color="auto"/>
              <w:left w:val="single" w:sz="4" w:space="0" w:color="auto"/>
              <w:bottom w:val="single" w:sz="4" w:space="0" w:color="auto"/>
              <w:right w:val="single" w:sz="4" w:space="0" w:color="auto"/>
            </w:tcBorders>
          </w:tcPr>
          <w:p w:rsidR="00F000AD" w:rsidRPr="00F000AD" w:rsidRDefault="00F000AD" w:rsidP="00F000AD">
            <w:pPr>
              <w:spacing w:beforeLines="60" w:before="144" w:afterLines="60" w:after="144"/>
              <w:rPr>
                <w:rFonts w:ascii="Times New Roman" w:eastAsia="Times New Roman" w:hAnsi="Times New Roman" w:cs="Times New Roman"/>
                <w:noProof/>
                <w:sz w:val="18"/>
                <w:szCs w:val="18"/>
                <w:lang w:val="en-US"/>
              </w:rPr>
            </w:pPr>
          </w:p>
        </w:tc>
      </w:tr>
    </w:tbl>
    <w:p w:rsidR="00F000AD" w:rsidRPr="00F000AD" w:rsidRDefault="00F000AD" w:rsidP="00F000AD">
      <w:pPr>
        <w:spacing w:before="120" w:after="120" w:line="360" w:lineRule="auto"/>
        <w:rPr>
          <w:rFonts w:ascii="Times New Roman" w:eastAsia="Times New Roman" w:hAnsi="Times New Roman" w:cs="Times New Roman"/>
          <w:noProof/>
          <w:sz w:val="16"/>
          <w:szCs w:val="16"/>
          <w:lang w:val="en-GB"/>
        </w:rPr>
      </w:pPr>
      <w:r w:rsidRPr="00F000AD">
        <w:rPr>
          <w:rFonts w:ascii="Times New Roman" w:eastAsia="Times New Roman" w:hAnsi="Times New Roman" w:cs="Times New Roman"/>
          <w:noProof/>
          <w:sz w:val="16"/>
          <w:szCs w:val="16"/>
          <w:lang w:val="en-GB"/>
        </w:rPr>
        <w:t>* Cumulative amounts for all transfers during programming period.</w:t>
      </w:r>
    </w:p>
    <w:p w:rsidR="00F000AD" w:rsidRPr="00F000AD" w:rsidRDefault="00F000AD" w:rsidP="00F000AD">
      <w:pPr>
        <w:spacing w:before="120" w:after="120" w:line="360" w:lineRule="auto"/>
        <w:rPr>
          <w:rFonts w:ascii="Times New Roman" w:eastAsia="Times New Roman" w:hAnsi="Times New Roman" w:cs="Times New Roman"/>
          <w:noProof/>
          <w:sz w:val="16"/>
          <w:szCs w:val="16"/>
          <w:lang w:val="en-GB"/>
        </w:rPr>
      </w:pPr>
    </w:p>
    <w:p w:rsidR="00F000AD" w:rsidRPr="00F000AD" w:rsidRDefault="00F000AD" w:rsidP="00F000AD">
      <w:pPr>
        <w:spacing w:before="120" w:after="120" w:line="360" w:lineRule="auto"/>
        <w:rPr>
          <w:rFonts w:ascii="Times New Roman" w:eastAsia="Times New Roman" w:hAnsi="Times New Roman" w:cs="Times New Roman"/>
          <w:b/>
          <w:noProof/>
          <w:sz w:val="20"/>
          <w:lang w:val="en-GB"/>
        </w:rPr>
      </w:pPr>
    </w:p>
    <w:p w:rsidR="00F000AD" w:rsidRPr="00F000AD" w:rsidRDefault="00F000AD" w:rsidP="00F000AD">
      <w:pPr>
        <w:spacing w:after="0" w:line="360" w:lineRule="auto"/>
        <w:rPr>
          <w:rFonts w:ascii="Times New Roman" w:hAnsi="Times New Roman" w:cs="Times New Roman"/>
          <w:noProof/>
          <w:sz w:val="24"/>
          <w:lang w:val="en-GB"/>
        </w:rPr>
        <w:sectPr w:rsidR="00F000AD" w:rsidRPr="00F000AD" w:rsidSect="00E82DB0">
          <w:headerReference w:type="default" r:id="rId21"/>
          <w:footerReference w:type="default" r:id="rId22"/>
          <w:pgSz w:w="11906" w:h="16838"/>
          <w:pgMar w:top="810" w:right="1134" w:bottom="1134" w:left="1134" w:header="567" w:footer="567" w:gutter="0"/>
          <w:cols w:space="720"/>
          <w:docGrid w:linePitch="326"/>
        </w:sectPr>
      </w:pPr>
    </w:p>
    <w:p w:rsidR="00F000AD" w:rsidRPr="00F000AD" w:rsidRDefault="00F000AD" w:rsidP="00F000AD">
      <w:pPr>
        <w:spacing w:before="120" w:after="120" w:line="360" w:lineRule="auto"/>
        <w:rPr>
          <w:rFonts w:ascii="Times New Roman" w:eastAsia="Times New Roman" w:hAnsi="Times New Roman" w:cs="Times New Roman"/>
          <w:b/>
          <w:noProof/>
          <w:sz w:val="20"/>
          <w:lang w:val="en-GB"/>
        </w:rPr>
      </w:pPr>
    </w:p>
    <w:p w:rsidR="00F000AD" w:rsidRPr="00F000AD" w:rsidRDefault="00F000AD" w:rsidP="00F000AD">
      <w:pPr>
        <w:spacing w:before="120" w:after="120" w:line="360" w:lineRule="auto"/>
        <w:rPr>
          <w:rFonts w:ascii="Times New Roman" w:eastAsia="Times New Roman" w:hAnsi="Times New Roman" w:cs="Times New Roman"/>
          <w:b/>
          <w:noProof/>
          <w:sz w:val="20"/>
          <w:lang w:val="en-GB"/>
        </w:rPr>
      </w:pPr>
      <w:r w:rsidRPr="00F000AD">
        <w:rPr>
          <w:rFonts w:ascii="Times New Roman" w:eastAsia="Times New Roman" w:hAnsi="Times New Roman" w:cs="Times New Roman"/>
          <w:b/>
          <w:noProof/>
          <w:sz w:val="20"/>
          <w:lang w:val="en-GB"/>
        </w:rPr>
        <w:t>Table 17: Transfers between shared management funds*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726"/>
        <w:gridCol w:w="1472"/>
        <w:gridCol w:w="963"/>
        <w:gridCol w:w="874"/>
        <w:gridCol w:w="950"/>
        <w:gridCol w:w="1370"/>
        <w:gridCol w:w="963"/>
        <w:gridCol w:w="874"/>
        <w:gridCol w:w="950"/>
        <w:gridCol w:w="1370"/>
        <w:gridCol w:w="456"/>
        <w:gridCol w:w="726"/>
        <w:gridCol w:w="696"/>
        <w:gridCol w:w="497"/>
        <w:gridCol w:w="706"/>
        <w:gridCol w:w="627"/>
      </w:tblGrid>
      <w:tr w:rsidR="00F000AD" w:rsidRPr="00F000AD" w:rsidTr="00F000AD">
        <w:tc>
          <w:tcPr>
            <w:tcW w:w="0" w:type="auto"/>
            <w:gridSpan w:val="2"/>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FFFFFF"/>
            <w:hideMark/>
          </w:tcPr>
          <w:p w:rsidR="00F000AD" w:rsidRPr="00F000AD" w:rsidRDefault="00F000AD" w:rsidP="00F000AD">
            <w:pPr>
              <w:spacing w:before="120" w:after="120"/>
              <w:ind w:left="851"/>
              <w:rPr>
                <w:rFonts w:ascii="Times New Roman" w:hAnsi="Times New Roman" w:cs="Times New Roman"/>
                <w:noProof/>
                <w:sz w:val="16"/>
                <w:szCs w:val="18"/>
                <w:lang w:val="en-US"/>
              </w:rPr>
            </w:pPr>
            <w:r w:rsidRPr="00F000AD">
              <w:rPr>
                <w:rFonts w:ascii="Times New Roman" w:hAnsi="Times New Roman" w:cs="Times New Roman"/>
                <w:noProof/>
                <w:sz w:val="16"/>
                <w:szCs w:val="18"/>
                <w:lang w:val="en-US"/>
              </w:rPr>
              <w:t xml:space="preserve">Receiving fund / instrument </w:t>
            </w:r>
          </w:p>
          <w:p w:rsidR="00F000AD" w:rsidRPr="00F000AD" w:rsidRDefault="00F000AD" w:rsidP="00F000AD">
            <w:pPr>
              <w:spacing w:before="120" w:after="120"/>
              <w:rPr>
                <w:rFonts w:ascii="Times New Roman" w:hAnsi="Times New Roman" w:cs="Times New Roman"/>
                <w:sz w:val="16"/>
                <w:szCs w:val="16"/>
                <w:lang w:val="en-US"/>
              </w:rPr>
            </w:pPr>
            <w:r w:rsidRPr="00F000AD">
              <w:rPr>
                <w:rFonts w:ascii="Times New Roman" w:hAnsi="Times New Roman" w:cs="Times New Roman"/>
                <w:sz w:val="16"/>
                <w:szCs w:val="16"/>
                <w:lang w:val="en-US"/>
              </w:rPr>
              <w:t xml:space="preserve">Transferring </w:t>
            </w:r>
            <w:r w:rsidRPr="00F000AD">
              <w:rPr>
                <w:rFonts w:ascii="Times New Roman" w:hAnsi="Times New Roman" w:cs="Times New Roman"/>
                <w:sz w:val="16"/>
                <w:szCs w:val="16"/>
                <w:lang w:val="en-US"/>
              </w:rPr>
              <w:br/>
              <w:t>fund /instrument</w:t>
            </w:r>
            <w:r w:rsidRPr="00F000AD">
              <w:rPr>
                <w:rFonts w:ascii="Times New Roman" w:hAnsi="Times New Roman" w:cs="Times New Roman"/>
                <w:b/>
                <w:sz w:val="16"/>
                <w:szCs w:val="16"/>
                <w:u w:val="single"/>
                <w:lang w:val="en-US"/>
              </w:rPr>
              <w:t xml:space="preserve"> </w:t>
            </w:r>
          </w:p>
        </w:tc>
        <w:tc>
          <w:tcPr>
            <w:tcW w:w="0" w:type="auto"/>
            <w:gridSpan w:val="4"/>
            <w:tcBorders>
              <w:top w:val="single" w:sz="4" w:space="0" w:color="auto"/>
              <w:left w:val="single" w:sz="4" w:space="0" w:color="auto"/>
              <w:bottom w:val="single" w:sz="4" w:space="0" w:color="auto"/>
              <w:right w:val="single" w:sz="4" w:space="0" w:color="auto"/>
            </w:tcBorders>
            <w:shd w:val="clear" w:color="auto" w:fill="FFFFFF"/>
            <w:hideMark/>
          </w:tcPr>
          <w:p w:rsidR="00F000AD" w:rsidRPr="00F000AD" w:rsidRDefault="00F000AD" w:rsidP="00F000AD">
            <w:pPr>
              <w:spacing w:before="120" w:after="120"/>
              <w:jc w:val="center"/>
              <w:rPr>
                <w:rFonts w:ascii="Times New Roman" w:hAnsi="Times New Roman" w:cs="Times New Roman"/>
                <w:b/>
                <w:noProof/>
                <w:sz w:val="18"/>
                <w:szCs w:val="18"/>
                <w:lang w:val="en-US"/>
              </w:rPr>
            </w:pPr>
            <w:r w:rsidRPr="00F000AD">
              <w:rPr>
                <w:rFonts w:ascii="Times New Roman" w:hAnsi="Times New Roman" w:cs="Times New Roman"/>
                <w:b/>
                <w:noProof/>
                <w:sz w:val="18"/>
                <w:szCs w:val="18"/>
                <w:lang w:val="en-US"/>
              </w:rPr>
              <w:t>ERDF</w:t>
            </w:r>
          </w:p>
        </w:tc>
        <w:tc>
          <w:tcPr>
            <w:tcW w:w="0" w:type="auto"/>
            <w:gridSpan w:val="4"/>
            <w:tcBorders>
              <w:top w:val="single" w:sz="4" w:space="0" w:color="auto"/>
              <w:left w:val="single" w:sz="4" w:space="0" w:color="auto"/>
              <w:bottom w:val="single" w:sz="4" w:space="0" w:color="auto"/>
              <w:right w:val="single" w:sz="4" w:space="0" w:color="auto"/>
            </w:tcBorders>
            <w:shd w:val="clear" w:color="auto" w:fill="FFFFFF"/>
            <w:hideMark/>
          </w:tcPr>
          <w:p w:rsidR="00F000AD" w:rsidRPr="00F000AD" w:rsidRDefault="00F000AD" w:rsidP="00F000AD">
            <w:pPr>
              <w:spacing w:before="120" w:after="120"/>
              <w:jc w:val="center"/>
              <w:rPr>
                <w:rFonts w:ascii="Times New Roman" w:hAnsi="Times New Roman" w:cs="Times New Roman"/>
                <w:b/>
                <w:noProof/>
                <w:sz w:val="18"/>
                <w:szCs w:val="18"/>
                <w:lang w:val="en-US"/>
              </w:rPr>
            </w:pPr>
            <w:r w:rsidRPr="00F000AD">
              <w:rPr>
                <w:rFonts w:ascii="Times New Roman" w:hAnsi="Times New Roman" w:cs="Times New Roman"/>
                <w:b/>
                <w:noProof/>
                <w:sz w:val="18"/>
                <w:szCs w:val="18"/>
                <w:lang w:val="en-US"/>
              </w:rPr>
              <w:t>ESF+</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rsidR="00F000AD" w:rsidRPr="00F000AD" w:rsidRDefault="00F000AD" w:rsidP="00F000AD">
            <w:pPr>
              <w:spacing w:before="120" w:after="120"/>
              <w:rPr>
                <w:rFonts w:ascii="Times New Roman" w:hAnsi="Times New Roman" w:cs="Times New Roman"/>
                <w:b/>
                <w:noProof/>
                <w:sz w:val="18"/>
                <w:szCs w:val="18"/>
                <w:lang w:val="en-US"/>
              </w:rPr>
            </w:pPr>
            <w:r w:rsidRPr="00F000AD">
              <w:rPr>
                <w:rFonts w:ascii="Times New Roman" w:hAnsi="Times New Roman" w:cs="Times New Roman"/>
                <w:b/>
                <w:noProof/>
                <w:sz w:val="18"/>
                <w:szCs w:val="18"/>
                <w:lang w:val="en-US"/>
              </w:rPr>
              <w:t>CF</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rsidR="00F000AD" w:rsidRPr="00F000AD" w:rsidRDefault="00F000AD" w:rsidP="00F000AD">
            <w:pPr>
              <w:spacing w:before="120" w:after="120"/>
              <w:rPr>
                <w:rFonts w:ascii="Times New Roman" w:hAnsi="Times New Roman" w:cs="Times New Roman"/>
                <w:b/>
                <w:noProof/>
                <w:sz w:val="18"/>
                <w:szCs w:val="18"/>
                <w:lang w:val="en-US"/>
              </w:rPr>
            </w:pPr>
            <w:r w:rsidRPr="00F000AD">
              <w:rPr>
                <w:rFonts w:ascii="Times New Roman" w:hAnsi="Times New Roman" w:cs="Times New Roman"/>
                <w:b/>
                <w:noProof/>
                <w:sz w:val="18"/>
                <w:szCs w:val="18"/>
                <w:lang w:val="en-US"/>
              </w:rPr>
              <w:t>EMFF</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rsidR="00F000AD" w:rsidRPr="00F000AD" w:rsidRDefault="00F000AD" w:rsidP="00F000AD">
            <w:pPr>
              <w:spacing w:before="120" w:after="120"/>
              <w:rPr>
                <w:rFonts w:ascii="Times New Roman" w:hAnsi="Times New Roman" w:cs="Times New Roman"/>
                <w:b/>
                <w:noProof/>
                <w:sz w:val="18"/>
                <w:szCs w:val="18"/>
                <w:lang w:val="en-US"/>
              </w:rPr>
            </w:pPr>
            <w:r w:rsidRPr="00F000AD">
              <w:rPr>
                <w:rFonts w:ascii="Times New Roman" w:hAnsi="Times New Roman" w:cs="Times New Roman"/>
                <w:b/>
                <w:noProof/>
                <w:sz w:val="18"/>
                <w:szCs w:val="18"/>
                <w:lang w:val="en-US"/>
              </w:rPr>
              <w:t>AMIF</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rsidR="00F000AD" w:rsidRPr="00F000AD" w:rsidRDefault="00F000AD" w:rsidP="00F000AD">
            <w:pPr>
              <w:spacing w:before="120" w:after="120"/>
              <w:rPr>
                <w:rFonts w:ascii="Times New Roman" w:hAnsi="Times New Roman" w:cs="Times New Roman"/>
                <w:b/>
                <w:noProof/>
                <w:sz w:val="18"/>
                <w:szCs w:val="18"/>
                <w:lang w:val="en-US"/>
              </w:rPr>
            </w:pPr>
            <w:r w:rsidRPr="00F000AD">
              <w:rPr>
                <w:rFonts w:ascii="Times New Roman" w:hAnsi="Times New Roman" w:cs="Times New Roman"/>
                <w:b/>
                <w:noProof/>
                <w:sz w:val="18"/>
                <w:szCs w:val="18"/>
                <w:lang w:val="en-US"/>
              </w:rPr>
              <w:t>ISF</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rsidR="00F000AD" w:rsidRPr="00F000AD" w:rsidRDefault="00F000AD" w:rsidP="00F000AD">
            <w:pPr>
              <w:spacing w:before="120" w:after="120"/>
              <w:rPr>
                <w:rFonts w:ascii="Times New Roman" w:hAnsi="Times New Roman" w:cs="Times New Roman"/>
                <w:b/>
                <w:noProof/>
                <w:sz w:val="18"/>
                <w:szCs w:val="18"/>
                <w:lang w:val="en-US"/>
              </w:rPr>
            </w:pPr>
            <w:r w:rsidRPr="00F000AD">
              <w:rPr>
                <w:rFonts w:ascii="Times New Roman" w:hAnsi="Times New Roman" w:cs="Times New Roman"/>
                <w:b/>
                <w:noProof/>
                <w:sz w:val="18"/>
                <w:szCs w:val="18"/>
                <w:lang w:val="en-US"/>
              </w:rPr>
              <w:t>BMVI</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rsidR="00F000AD" w:rsidRPr="00F000AD" w:rsidRDefault="00F000AD" w:rsidP="00F000AD">
            <w:pPr>
              <w:spacing w:before="120" w:after="120"/>
              <w:rPr>
                <w:rFonts w:ascii="Times New Roman" w:hAnsi="Times New Roman" w:cs="Times New Roman"/>
                <w:b/>
                <w:noProof/>
                <w:sz w:val="18"/>
                <w:szCs w:val="18"/>
                <w:lang w:val="en-US"/>
              </w:rPr>
            </w:pPr>
            <w:r w:rsidRPr="00F000AD">
              <w:rPr>
                <w:rFonts w:ascii="Times New Roman" w:hAnsi="Times New Roman" w:cs="Times New Roman"/>
                <w:b/>
                <w:noProof/>
                <w:sz w:val="18"/>
                <w:szCs w:val="18"/>
                <w:lang w:val="en-US"/>
              </w:rPr>
              <w:t xml:space="preserve">Total </w:t>
            </w:r>
          </w:p>
        </w:tc>
      </w:tr>
      <w:tr w:rsidR="00F000AD" w:rsidRPr="00F000AD" w:rsidTr="00F000AD">
        <w:trPr>
          <w:trHeight w:val="673"/>
        </w:trPr>
        <w:tc>
          <w:tcPr>
            <w:tcW w:w="0" w:type="auto"/>
            <w:gridSpan w:val="2"/>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F000AD" w:rsidRPr="00F000AD" w:rsidRDefault="00F000AD" w:rsidP="00F000AD">
            <w:pPr>
              <w:spacing w:after="0"/>
              <w:rPr>
                <w:rFonts w:ascii="Times New Roman" w:hAnsi="Times New Roman" w:cs="Times New Roman"/>
                <w:sz w:val="16"/>
                <w:szCs w:val="16"/>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F000AD" w:rsidRPr="00F000AD" w:rsidRDefault="00F000AD" w:rsidP="00F000AD">
            <w:pPr>
              <w:spacing w:before="120" w:after="120"/>
              <w:jc w:val="center"/>
              <w:rPr>
                <w:rFonts w:ascii="Times New Roman" w:eastAsia="Times New Roman" w:hAnsi="Times New Roman" w:cs="Times New Roman"/>
                <w:noProof/>
                <w:sz w:val="16"/>
                <w:szCs w:val="16"/>
                <w:lang w:val="en-US"/>
              </w:rPr>
            </w:pPr>
            <w:r w:rsidRPr="00F000AD">
              <w:rPr>
                <w:rFonts w:ascii="Times New Roman" w:eastAsia="Times New Roman" w:hAnsi="Times New Roman" w:cs="Times New Roman"/>
                <w:noProof/>
                <w:sz w:val="16"/>
                <w:szCs w:val="16"/>
                <w:lang w:val="en-US"/>
              </w:rPr>
              <w:t>More developed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F000AD" w:rsidRPr="00F000AD" w:rsidRDefault="00F000AD" w:rsidP="00F000AD">
            <w:pPr>
              <w:spacing w:before="120" w:after="120"/>
              <w:jc w:val="center"/>
              <w:rPr>
                <w:rFonts w:ascii="Times New Roman" w:hAnsi="Times New Roman" w:cs="Times New Roman"/>
                <w:noProof/>
                <w:sz w:val="16"/>
                <w:szCs w:val="16"/>
                <w:lang w:val="en-US"/>
              </w:rPr>
            </w:pPr>
            <w:r w:rsidRPr="00F000AD">
              <w:rPr>
                <w:rFonts w:ascii="Times New Roman" w:hAnsi="Times New Roman" w:cs="Times New Roman"/>
                <w:noProof/>
                <w:sz w:val="16"/>
                <w:szCs w:val="16"/>
                <w:lang w:val="en-US"/>
              </w:rPr>
              <w:t>Transition</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F000AD" w:rsidRPr="00F000AD" w:rsidRDefault="00F000AD" w:rsidP="00F000AD">
            <w:pPr>
              <w:spacing w:before="120" w:after="120"/>
              <w:jc w:val="center"/>
              <w:rPr>
                <w:rFonts w:ascii="Times New Roman" w:hAnsi="Times New Roman" w:cs="Times New Roman"/>
                <w:noProof/>
                <w:sz w:val="16"/>
                <w:szCs w:val="16"/>
                <w:lang w:val="en-US"/>
              </w:rPr>
            </w:pPr>
            <w:r w:rsidRPr="00F000AD">
              <w:rPr>
                <w:rFonts w:ascii="Times New Roman" w:eastAsia="Times New Roman" w:hAnsi="Times New Roman" w:cs="Times New Roman"/>
                <w:noProof/>
                <w:sz w:val="16"/>
                <w:szCs w:val="16"/>
                <w:lang w:val="en-US"/>
              </w:rPr>
              <w:t>Less developed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F000AD" w:rsidRPr="00F000AD" w:rsidRDefault="00F000AD" w:rsidP="00F000AD">
            <w:pPr>
              <w:spacing w:before="120" w:after="120"/>
              <w:jc w:val="center"/>
              <w:rPr>
                <w:rFonts w:ascii="Times New Roman" w:hAnsi="Times New Roman" w:cs="Times New Roman"/>
                <w:noProof/>
                <w:sz w:val="16"/>
                <w:szCs w:val="16"/>
                <w:lang w:val="en-US"/>
              </w:rPr>
            </w:pPr>
            <w:r w:rsidRPr="00F000AD">
              <w:rPr>
                <w:rFonts w:ascii="Times New Roman" w:hAnsi="Times New Roman" w:cs="Times New Roman"/>
                <w:noProof/>
                <w:sz w:val="16"/>
                <w:szCs w:val="16"/>
                <w:lang w:val="en-US"/>
              </w:rPr>
              <w:t>Outermost and northern sparsely populated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F000AD" w:rsidRPr="00F000AD" w:rsidRDefault="00F000AD" w:rsidP="00F000AD">
            <w:pPr>
              <w:spacing w:before="120" w:after="120"/>
              <w:jc w:val="center"/>
              <w:rPr>
                <w:rFonts w:ascii="Times New Roman" w:hAnsi="Times New Roman" w:cs="Times New Roman"/>
                <w:noProof/>
                <w:sz w:val="16"/>
                <w:szCs w:val="16"/>
                <w:lang w:val="en-US"/>
              </w:rPr>
            </w:pPr>
            <w:r w:rsidRPr="00F000AD">
              <w:rPr>
                <w:rFonts w:ascii="Times New Roman" w:eastAsia="Times New Roman" w:hAnsi="Times New Roman" w:cs="Times New Roman"/>
                <w:noProof/>
                <w:sz w:val="16"/>
                <w:szCs w:val="16"/>
                <w:lang w:val="en-US"/>
              </w:rPr>
              <w:t>More developed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F000AD" w:rsidRPr="00F000AD" w:rsidRDefault="00F000AD" w:rsidP="00F000AD">
            <w:pPr>
              <w:spacing w:before="120" w:after="120"/>
              <w:jc w:val="center"/>
              <w:rPr>
                <w:rFonts w:ascii="Times New Roman" w:hAnsi="Times New Roman" w:cs="Times New Roman"/>
                <w:noProof/>
                <w:sz w:val="16"/>
                <w:szCs w:val="16"/>
                <w:lang w:val="en-US"/>
              </w:rPr>
            </w:pPr>
            <w:r w:rsidRPr="00F000AD">
              <w:rPr>
                <w:rFonts w:ascii="Times New Roman" w:eastAsia="Times New Roman" w:hAnsi="Times New Roman" w:cs="Times New Roman"/>
                <w:noProof/>
                <w:sz w:val="16"/>
                <w:szCs w:val="16"/>
                <w:lang w:val="en-US"/>
              </w:rPr>
              <w:t>Transition</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F000AD" w:rsidRPr="00F000AD" w:rsidRDefault="00F000AD" w:rsidP="00F000AD">
            <w:pPr>
              <w:spacing w:before="120" w:after="120"/>
              <w:jc w:val="center"/>
              <w:rPr>
                <w:rFonts w:ascii="Times New Roman" w:hAnsi="Times New Roman" w:cs="Times New Roman"/>
                <w:noProof/>
                <w:sz w:val="16"/>
                <w:szCs w:val="16"/>
                <w:lang w:val="en-US"/>
              </w:rPr>
            </w:pPr>
            <w:r w:rsidRPr="00F000AD">
              <w:rPr>
                <w:rFonts w:ascii="Times New Roman" w:eastAsia="Times New Roman" w:hAnsi="Times New Roman" w:cs="Times New Roman"/>
                <w:noProof/>
                <w:sz w:val="16"/>
                <w:szCs w:val="16"/>
                <w:lang w:val="en-US"/>
              </w:rPr>
              <w:t>Less developed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F000AD" w:rsidRPr="00F000AD" w:rsidRDefault="00F000AD" w:rsidP="00F000AD">
            <w:pPr>
              <w:spacing w:before="120" w:after="120"/>
              <w:jc w:val="center"/>
              <w:rPr>
                <w:rFonts w:ascii="Times New Roman" w:hAnsi="Times New Roman" w:cs="Times New Roman"/>
                <w:noProof/>
                <w:sz w:val="16"/>
                <w:szCs w:val="16"/>
                <w:lang w:val="en-US"/>
              </w:rPr>
            </w:pPr>
            <w:r w:rsidRPr="00F000AD">
              <w:rPr>
                <w:rFonts w:ascii="Times New Roman" w:hAnsi="Times New Roman" w:cs="Times New Roman"/>
                <w:noProof/>
                <w:sz w:val="16"/>
                <w:szCs w:val="16"/>
                <w:lang w:val="en-US"/>
              </w:rPr>
              <w:t xml:space="preserve">Outermost and northern sparsely populated </w:t>
            </w: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F000AD" w:rsidRPr="00F000AD" w:rsidRDefault="00F000AD" w:rsidP="00F000AD">
            <w:pPr>
              <w:spacing w:after="0"/>
              <w:rPr>
                <w:rFonts w:ascii="Times New Roman" w:hAnsi="Times New Roman" w:cs="Times New Roman"/>
                <w:b/>
                <w:noProof/>
                <w:sz w:val="18"/>
                <w:szCs w:val="18"/>
                <w:lang w:val="en-US"/>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F000AD" w:rsidRPr="00F000AD" w:rsidRDefault="00F000AD" w:rsidP="00F000AD">
            <w:pPr>
              <w:spacing w:after="0"/>
              <w:rPr>
                <w:rFonts w:ascii="Times New Roman" w:hAnsi="Times New Roman" w:cs="Times New Roman"/>
                <w:b/>
                <w:noProof/>
                <w:sz w:val="18"/>
                <w:szCs w:val="18"/>
                <w:lang w:val="en-US"/>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F000AD" w:rsidRPr="00F000AD" w:rsidRDefault="00F000AD" w:rsidP="00F000AD">
            <w:pPr>
              <w:spacing w:after="0"/>
              <w:rPr>
                <w:rFonts w:ascii="Times New Roman" w:hAnsi="Times New Roman" w:cs="Times New Roman"/>
                <w:b/>
                <w:noProof/>
                <w:sz w:val="18"/>
                <w:szCs w:val="18"/>
                <w:lang w:val="en-US"/>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F000AD" w:rsidRPr="00F000AD" w:rsidRDefault="00F000AD" w:rsidP="00F000AD">
            <w:pPr>
              <w:spacing w:after="0"/>
              <w:rPr>
                <w:rFonts w:ascii="Times New Roman" w:hAnsi="Times New Roman" w:cs="Times New Roman"/>
                <w:b/>
                <w:noProof/>
                <w:sz w:val="18"/>
                <w:szCs w:val="18"/>
                <w:lang w:val="en-US"/>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F000AD" w:rsidRPr="00F000AD" w:rsidRDefault="00F000AD" w:rsidP="00F000AD">
            <w:pPr>
              <w:spacing w:after="0"/>
              <w:rPr>
                <w:rFonts w:ascii="Times New Roman" w:hAnsi="Times New Roman" w:cs="Times New Roman"/>
                <w:b/>
                <w:noProof/>
                <w:sz w:val="18"/>
                <w:szCs w:val="18"/>
                <w:lang w:val="en-US"/>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F000AD" w:rsidRPr="00F000AD" w:rsidRDefault="00F000AD" w:rsidP="00F000AD">
            <w:pPr>
              <w:spacing w:after="0"/>
              <w:rPr>
                <w:rFonts w:ascii="Times New Roman" w:hAnsi="Times New Roman" w:cs="Times New Roman"/>
                <w:b/>
                <w:noProof/>
                <w:sz w:val="18"/>
                <w:szCs w:val="18"/>
                <w:lang w:val="en-US"/>
              </w:rPr>
            </w:pPr>
          </w:p>
        </w:tc>
      </w:tr>
      <w:tr w:rsidR="00F000AD" w:rsidRPr="00F000AD" w:rsidTr="00F000AD">
        <w:trPr>
          <w:trHeight w:val="428"/>
        </w:trPr>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rsidR="00F000AD" w:rsidRPr="00F000AD" w:rsidRDefault="00F000AD" w:rsidP="00F000AD">
            <w:pPr>
              <w:spacing w:before="60" w:after="60"/>
              <w:rPr>
                <w:rFonts w:ascii="Times New Roman" w:hAnsi="Times New Roman" w:cs="Times New Roman"/>
                <w:b/>
                <w:noProof/>
                <w:sz w:val="18"/>
                <w:szCs w:val="18"/>
                <w:lang w:val="en-US"/>
              </w:rPr>
            </w:pPr>
            <w:r w:rsidRPr="00F000AD">
              <w:rPr>
                <w:rFonts w:ascii="Times New Roman" w:hAnsi="Times New Roman" w:cs="Times New Roman"/>
                <w:b/>
                <w:noProof/>
                <w:sz w:val="18"/>
                <w:szCs w:val="18"/>
                <w:lang w:val="en-US"/>
              </w:rPr>
              <w:t>ERDF</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F000AD" w:rsidRPr="00F000AD" w:rsidRDefault="00F000AD" w:rsidP="00F000AD">
            <w:pPr>
              <w:spacing w:before="60" w:after="60"/>
              <w:rPr>
                <w:rFonts w:ascii="Times New Roman" w:eastAsia="Times New Roman" w:hAnsi="Times New Roman" w:cs="Times New Roman"/>
                <w:noProof/>
                <w:sz w:val="16"/>
                <w:szCs w:val="16"/>
                <w:lang w:val="en-US"/>
              </w:rPr>
            </w:pPr>
            <w:r w:rsidRPr="00F000AD">
              <w:rPr>
                <w:rFonts w:ascii="Times New Roman" w:eastAsia="Times New Roman" w:hAnsi="Times New Roman" w:cs="Times New Roman"/>
                <w:noProof/>
                <w:sz w:val="16"/>
                <w:szCs w:val="16"/>
                <w:lang w:val="en-US"/>
              </w:rPr>
              <w:t>More developed</w:t>
            </w:r>
          </w:p>
        </w:tc>
        <w:tc>
          <w:tcPr>
            <w:tcW w:w="0" w:type="auto"/>
            <w:tcBorders>
              <w:top w:val="single" w:sz="4" w:space="0" w:color="auto"/>
              <w:left w:val="single" w:sz="4" w:space="0" w:color="auto"/>
              <w:bottom w:val="single" w:sz="4" w:space="0" w:color="auto"/>
              <w:right w:val="single" w:sz="4" w:space="0" w:color="auto"/>
            </w:tcBorders>
            <w:shd w:val="clear" w:color="auto" w:fill="7F7F7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r>
      <w:tr w:rsidR="00F000AD" w:rsidRPr="00F000AD" w:rsidTr="00F000AD">
        <w:trPr>
          <w:trHeight w:val="350"/>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F000AD" w:rsidRPr="00F000AD" w:rsidRDefault="00F000AD" w:rsidP="00F000AD">
            <w:pPr>
              <w:spacing w:after="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F000AD" w:rsidRPr="00F000AD" w:rsidRDefault="00F000AD" w:rsidP="00F000AD">
            <w:pPr>
              <w:spacing w:before="60" w:after="60"/>
              <w:rPr>
                <w:rFonts w:ascii="Times New Roman" w:eastAsia="Times New Roman" w:hAnsi="Times New Roman" w:cs="Times New Roman"/>
                <w:noProof/>
                <w:sz w:val="16"/>
                <w:szCs w:val="16"/>
                <w:lang w:val="en-US"/>
              </w:rPr>
            </w:pPr>
            <w:r w:rsidRPr="00F000AD">
              <w:rPr>
                <w:rFonts w:ascii="Times New Roman" w:hAnsi="Times New Roman" w:cs="Times New Roman"/>
                <w:noProof/>
                <w:sz w:val="16"/>
                <w:szCs w:val="16"/>
                <w:lang w:val="en-US"/>
              </w:rPr>
              <w:t>Transition</w:t>
            </w:r>
          </w:p>
        </w:tc>
        <w:tc>
          <w:tcPr>
            <w:tcW w:w="0" w:type="auto"/>
            <w:tcBorders>
              <w:top w:val="single" w:sz="4" w:space="0" w:color="auto"/>
              <w:left w:val="single" w:sz="4" w:space="0" w:color="auto"/>
              <w:bottom w:val="single" w:sz="4" w:space="0" w:color="auto"/>
              <w:right w:val="single" w:sz="4" w:space="0" w:color="auto"/>
            </w:tcBorders>
            <w:shd w:val="clear" w:color="auto" w:fill="7F7F7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r>
      <w:tr w:rsidR="00F000AD" w:rsidRPr="00F000AD" w:rsidTr="00F000AD">
        <w:trPr>
          <w:trHeight w:val="286"/>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F000AD" w:rsidRPr="00F000AD" w:rsidRDefault="00F000AD" w:rsidP="00F000AD">
            <w:pPr>
              <w:spacing w:after="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F000AD" w:rsidRPr="00F000AD" w:rsidRDefault="00F000AD" w:rsidP="00F000AD">
            <w:pPr>
              <w:spacing w:before="60" w:after="60"/>
              <w:rPr>
                <w:rFonts w:ascii="Times New Roman" w:hAnsi="Times New Roman" w:cs="Times New Roman"/>
                <w:noProof/>
                <w:sz w:val="16"/>
                <w:szCs w:val="16"/>
                <w:lang w:val="en-US"/>
              </w:rPr>
            </w:pPr>
            <w:r w:rsidRPr="00F000AD">
              <w:rPr>
                <w:rFonts w:ascii="Times New Roman" w:eastAsia="Times New Roman" w:hAnsi="Times New Roman" w:cs="Times New Roman"/>
                <w:noProof/>
                <w:sz w:val="16"/>
                <w:szCs w:val="16"/>
                <w:lang w:val="en-US"/>
              </w:rPr>
              <w:t>Less developed</w:t>
            </w:r>
          </w:p>
        </w:tc>
        <w:tc>
          <w:tcPr>
            <w:tcW w:w="0" w:type="auto"/>
            <w:tcBorders>
              <w:top w:val="single" w:sz="4" w:space="0" w:color="auto"/>
              <w:left w:val="single" w:sz="4" w:space="0" w:color="auto"/>
              <w:bottom w:val="single" w:sz="4" w:space="0" w:color="auto"/>
              <w:right w:val="single" w:sz="4" w:space="0" w:color="auto"/>
            </w:tcBorders>
            <w:shd w:val="clear" w:color="auto" w:fill="7F7F7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r>
      <w:tr w:rsidR="00F000AD" w:rsidRPr="00F000AD" w:rsidTr="00F000AD">
        <w:trPr>
          <w:trHeight w:val="648"/>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F000AD" w:rsidRPr="00F000AD" w:rsidRDefault="00F000AD" w:rsidP="00F000AD">
            <w:pPr>
              <w:spacing w:after="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F000AD" w:rsidRPr="00F000AD" w:rsidRDefault="00F000AD" w:rsidP="00F000AD">
            <w:pPr>
              <w:spacing w:before="60" w:after="60"/>
              <w:rPr>
                <w:rFonts w:ascii="Times New Roman" w:eastAsia="Times New Roman" w:hAnsi="Times New Roman" w:cs="Times New Roman"/>
                <w:noProof/>
                <w:sz w:val="16"/>
                <w:szCs w:val="16"/>
                <w:lang w:val="en-US"/>
              </w:rPr>
            </w:pPr>
            <w:r w:rsidRPr="00F000AD">
              <w:rPr>
                <w:rFonts w:ascii="Times New Roman" w:hAnsi="Times New Roman" w:cs="Times New Roman"/>
                <w:noProof/>
                <w:sz w:val="16"/>
                <w:szCs w:val="16"/>
                <w:lang w:val="en-US"/>
              </w:rPr>
              <w:t>Outermost and northern sparsely populated</w:t>
            </w:r>
          </w:p>
        </w:tc>
        <w:tc>
          <w:tcPr>
            <w:tcW w:w="0" w:type="auto"/>
            <w:tcBorders>
              <w:top w:val="single" w:sz="4" w:space="0" w:color="auto"/>
              <w:left w:val="single" w:sz="4" w:space="0" w:color="auto"/>
              <w:bottom w:val="single" w:sz="4" w:space="0" w:color="auto"/>
              <w:right w:val="single" w:sz="4" w:space="0" w:color="auto"/>
            </w:tcBorders>
            <w:shd w:val="clear" w:color="auto" w:fill="7F7F7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r>
      <w:tr w:rsidR="00F000AD" w:rsidRPr="00F000AD" w:rsidTr="00F000AD">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rsidR="00F000AD" w:rsidRPr="00F000AD" w:rsidRDefault="00F000AD" w:rsidP="00F000AD">
            <w:pPr>
              <w:spacing w:before="60" w:after="60"/>
              <w:rPr>
                <w:rFonts w:ascii="Times New Roman" w:eastAsia="Times New Roman" w:hAnsi="Times New Roman" w:cs="Times New Roman"/>
                <w:b/>
                <w:noProof/>
                <w:sz w:val="18"/>
                <w:szCs w:val="18"/>
                <w:lang w:val="en-US"/>
              </w:rPr>
            </w:pPr>
            <w:r w:rsidRPr="00F000AD">
              <w:rPr>
                <w:rFonts w:ascii="Times New Roman" w:eastAsia="Times New Roman" w:hAnsi="Times New Roman" w:cs="Times New Roman"/>
                <w:b/>
                <w:noProof/>
                <w:sz w:val="18"/>
                <w:szCs w:val="18"/>
                <w:lang w:val="en-US"/>
              </w:rPr>
              <w:t>ESF+</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F000AD" w:rsidRPr="00F000AD" w:rsidRDefault="00F000AD" w:rsidP="00F000AD">
            <w:pPr>
              <w:spacing w:before="60" w:after="60"/>
              <w:rPr>
                <w:rFonts w:ascii="Times New Roman" w:eastAsia="Times New Roman" w:hAnsi="Times New Roman" w:cs="Times New Roman"/>
                <w:noProof/>
                <w:sz w:val="16"/>
                <w:szCs w:val="16"/>
                <w:lang w:val="en-US"/>
              </w:rPr>
            </w:pPr>
            <w:r w:rsidRPr="00F000AD">
              <w:rPr>
                <w:rFonts w:ascii="Times New Roman" w:eastAsia="Times New Roman" w:hAnsi="Times New Roman" w:cs="Times New Roman"/>
                <w:noProof/>
                <w:sz w:val="16"/>
                <w:szCs w:val="16"/>
                <w:lang w:val="en-US"/>
              </w:rPr>
              <w:t>More developed</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r>
      <w:tr w:rsidR="00F000AD" w:rsidRPr="00F000AD" w:rsidTr="00F000AD">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F000AD" w:rsidRPr="00F000AD" w:rsidRDefault="00F000AD" w:rsidP="00F000AD">
            <w:pPr>
              <w:spacing w:after="0"/>
              <w:rPr>
                <w:rFonts w:ascii="Times New Roman" w:eastAsia="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F000AD" w:rsidRPr="00F000AD" w:rsidRDefault="00F000AD" w:rsidP="00F000AD">
            <w:pPr>
              <w:spacing w:before="60" w:after="60"/>
              <w:rPr>
                <w:rFonts w:ascii="Times New Roman" w:eastAsia="Times New Roman" w:hAnsi="Times New Roman" w:cs="Times New Roman"/>
                <w:noProof/>
                <w:sz w:val="16"/>
                <w:szCs w:val="16"/>
                <w:lang w:val="en-US"/>
              </w:rPr>
            </w:pPr>
            <w:r w:rsidRPr="00F000AD">
              <w:rPr>
                <w:rFonts w:ascii="Times New Roman" w:eastAsia="Times New Roman" w:hAnsi="Times New Roman" w:cs="Times New Roman"/>
                <w:noProof/>
                <w:sz w:val="16"/>
                <w:szCs w:val="16"/>
                <w:lang w:val="en-US"/>
              </w:rPr>
              <w:t xml:space="preserve">Transition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r>
      <w:tr w:rsidR="00F000AD" w:rsidRPr="00F000AD" w:rsidTr="00F000AD">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F000AD" w:rsidRPr="00F000AD" w:rsidRDefault="00F000AD" w:rsidP="00F000AD">
            <w:pPr>
              <w:spacing w:after="0"/>
              <w:rPr>
                <w:rFonts w:ascii="Times New Roman" w:eastAsia="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F000AD" w:rsidRPr="00F000AD" w:rsidRDefault="00F000AD" w:rsidP="00F000AD">
            <w:pPr>
              <w:spacing w:before="60" w:after="60"/>
              <w:rPr>
                <w:rFonts w:ascii="Times New Roman" w:eastAsia="Times New Roman" w:hAnsi="Times New Roman" w:cs="Times New Roman"/>
                <w:noProof/>
                <w:sz w:val="16"/>
                <w:szCs w:val="16"/>
                <w:lang w:val="en-US"/>
              </w:rPr>
            </w:pPr>
            <w:r w:rsidRPr="00F000AD">
              <w:rPr>
                <w:rFonts w:ascii="Times New Roman" w:eastAsia="Times New Roman" w:hAnsi="Times New Roman" w:cs="Times New Roman"/>
                <w:noProof/>
                <w:sz w:val="16"/>
                <w:szCs w:val="16"/>
                <w:lang w:val="en-US"/>
              </w:rPr>
              <w:t>Less developed</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r>
      <w:tr w:rsidR="00F000AD" w:rsidRPr="00F000AD" w:rsidTr="00F000AD">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F000AD" w:rsidRPr="00F000AD" w:rsidRDefault="00F000AD" w:rsidP="00F000AD">
            <w:pPr>
              <w:spacing w:after="0"/>
              <w:rPr>
                <w:rFonts w:ascii="Times New Roman" w:eastAsia="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F000AD" w:rsidRPr="00F000AD" w:rsidRDefault="00F000AD" w:rsidP="00F000AD">
            <w:pPr>
              <w:spacing w:before="60" w:after="60"/>
              <w:rPr>
                <w:rFonts w:ascii="Times New Roman" w:eastAsia="Times New Roman" w:hAnsi="Times New Roman" w:cs="Times New Roman"/>
                <w:noProof/>
                <w:sz w:val="16"/>
                <w:szCs w:val="16"/>
                <w:lang w:val="en-US"/>
              </w:rPr>
            </w:pPr>
            <w:r w:rsidRPr="00F000AD">
              <w:rPr>
                <w:rFonts w:ascii="Times New Roman" w:hAnsi="Times New Roman" w:cs="Times New Roman"/>
                <w:noProof/>
                <w:sz w:val="16"/>
                <w:szCs w:val="16"/>
                <w:lang w:val="en-US"/>
              </w:rPr>
              <w:t>Outermost and northern sparsely populated</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r>
      <w:tr w:rsidR="00F000AD" w:rsidRPr="00F000AD" w:rsidTr="00F000AD">
        <w:trPr>
          <w:trHeight w:val="372"/>
        </w:trPr>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F000AD" w:rsidRPr="00F000AD" w:rsidRDefault="00F000AD" w:rsidP="00F000AD">
            <w:pPr>
              <w:spacing w:before="60" w:after="60"/>
              <w:rPr>
                <w:rFonts w:ascii="Times New Roman" w:eastAsia="Times New Roman" w:hAnsi="Times New Roman" w:cs="Times New Roman"/>
                <w:b/>
                <w:noProof/>
                <w:sz w:val="18"/>
                <w:szCs w:val="18"/>
                <w:lang w:val="en-US"/>
              </w:rPr>
            </w:pPr>
            <w:r w:rsidRPr="00F000AD">
              <w:rPr>
                <w:rFonts w:ascii="Times New Roman" w:eastAsia="Times New Roman" w:hAnsi="Times New Roman" w:cs="Times New Roman"/>
                <w:b/>
                <w:noProof/>
                <w:sz w:val="18"/>
                <w:szCs w:val="18"/>
                <w:lang w:val="en-US"/>
              </w:rPr>
              <w:t>CF</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r>
      <w:tr w:rsidR="00F000AD" w:rsidRPr="00F000AD" w:rsidTr="00F000AD">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F000AD" w:rsidRPr="00F000AD" w:rsidRDefault="00F000AD" w:rsidP="00F000AD">
            <w:pPr>
              <w:spacing w:before="60" w:after="60"/>
              <w:rPr>
                <w:rFonts w:ascii="Times New Roman" w:eastAsia="Times New Roman" w:hAnsi="Times New Roman" w:cs="Times New Roman"/>
                <w:b/>
                <w:noProof/>
                <w:sz w:val="18"/>
                <w:szCs w:val="18"/>
                <w:lang w:val="en-US"/>
              </w:rPr>
            </w:pPr>
            <w:r w:rsidRPr="00F000AD">
              <w:rPr>
                <w:rFonts w:ascii="Times New Roman" w:eastAsia="Times New Roman" w:hAnsi="Times New Roman" w:cs="Times New Roman"/>
                <w:b/>
                <w:noProof/>
                <w:sz w:val="18"/>
                <w:szCs w:val="18"/>
                <w:lang w:val="en-US"/>
              </w:rPr>
              <w:t>EMFF</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r>
      <w:tr w:rsidR="00F000AD" w:rsidRPr="00F000AD" w:rsidTr="00F000AD">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F000AD" w:rsidRPr="00F000AD" w:rsidRDefault="00F000AD" w:rsidP="00F000AD">
            <w:pPr>
              <w:spacing w:before="60" w:after="60"/>
              <w:rPr>
                <w:rFonts w:ascii="Times New Roman" w:hAnsi="Times New Roman" w:cs="Times New Roman"/>
                <w:b/>
                <w:noProof/>
                <w:sz w:val="18"/>
                <w:szCs w:val="18"/>
                <w:lang w:val="en-US"/>
              </w:rPr>
            </w:pPr>
            <w:r w:rsidRPr="00F000AD">
              <w:rPr>
                <w:rFonts w:ascii="Times New Roman" w:hAnsi="Times New Roman" w:cs="Times New Roman"/>
                <w:b/>
                <w:noProof/>
                <w:sz w:val="18"/>
                <w:szCs w:val="18"/>
                <w:lang w:val="en-US"/>
              </w:rPr>
              <w:t>Total</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000AD" w:rsidRPr="00F000AD" w:rsidRDefault="00F000AD" w:rsidP="00F000AD">
            <w:pPr>
              <w:spacing w:before="60" w:after="60"/>
              <w:rPr>
                <w:rFonts w:ascii="Times New Roman" w:hAnsi="Times New Roman" w:cs="Times New Roman"/>
                <w:b/>
                <w:noProof/>
                <w:sz w:val="18"/>
                <w:szCs w:val="18"/>
                <w:lang w:val="en-US"/>
              </w:rPr>
            </w:pPr>
          </w:p>
        </w:tc>
      </w:tr>
    </w:tbl>
    <w:p w:rsidR="00F000AD" w:rsidRPr="00F000AD" w:rsidRDefault="00F000AD" w:rsidP="00F000AD">
      <w:pPr>
        <w:spacing w:before="120" w:after="120" w:line="360" w:lineRule="auto"/>
        <w:rPr>
          <w:rFonts w:ascii="Times New Roman" w:eastAsia="Times New Roman" w:hAnsi="Times New Roman" w:cs="Times New Roman"/>
          <w:noProof/>
          <w:sz w:val="16"/>
          <w:szCs w:val="16"/>
          <w:lang w:val="en-GB"/>
        </w:rPr>
      </w:pPr>
      <w:r w:rsidRPr="00F000AD">
        <w:rPr>
          <w:rFonts w:ascii="Times New Roman" w:eastAsia="Times New Roman" w:hAnsi="Times New Roman" w:cs="Times New Roman"/>
          <w:noProof/>
          <w:sz w:val="16"/>
          <w:szCs w:val="16"/>
          <w:lang w:val="en-GB"/>
        </w:rPr>
        <w:t>* Cumulative amounts for all transfers during programming period.</w:t>
      </w:r>
    </w:p>
    <w:p w:rsidR="00435C1D" w:rsidRDefault="00435C1D" w:rsidP="00F000AD">
      <w:pPr>
        <w:spacing w:before="120" w:after="120" w:line="240" w:lineRule="auto"/>
        <w:ind w:left="720"/>
        <w:jc w:val="both"/>
        <w:rPr>
          <w:rFonts w:ascii="Times New Roman" w:eastAsia="Calibri" w:hAnsi="Times New Roman" w:cs="Times New Roman"/>
          <w:b/>
          <w:noProof/>
          <w:sz w:val="24"/>
          <w:szCs w:val="20"/>
          <w:highlight w:val="yellow"/>
          <w:lang w:val="en-GB" w:eastAsia="en-GB"/>
        </w:rPr>
      </w:pPr>
    </w:p>
    <w:p w:rsidR="00435C1D" w:rsidRDefault="00435C1D" w:rsidP="00F000AD">
      <w:pPr>
        <w:spacing w:before="120" w:after="120" w:line="240" w:lineRule="auto"/>
        <w:ind w:left="720"/>
        <w:jc w:val="both"/>
        <w:rPr>
          <w:rFonts w:ascii="Times New Roman" w:eastAsia="Calibri" w:hAnsi="Times New Roman" w:cs="Times New Roman"/>
          <w:b/>
          <w:noProof/>
          <w:sz w:val="24"/>
          <w:szCs w:val="20"/>
          <w:highlight w:val="yellow"/>
          <w:lang w:val="en-GB" w:eastAsia="en-GB"/>
        </w:rPr>
      </w:pPr>
    </w:p>
    <w:p w:rsidR="00F000AD" w:rsidRPr="009720FF" w:rsidRDefault="00F000AD" w:rsidP="00F000AD">
      <w:pPr>
        <w:spacing w:before="120" w:after="120" w:line="240" w:lineRule="auto"/>
        <w:ind w:left="720"/>
        <w:jc w:val="both"/>
        <w:rPr>
          <w:rFonts w:ascii="Times New Roman" w:eastAsia="Calibri" w:hAnsi="Times New Roman" w:cs="Times New Roman"/>
          <w:b/>
          <w:noProof/>
          <w:sz w:val="24"/>
          <w:szCs w:val="20"/>
          <w:lang w:val="en-GB" w:eastAsia="en-GB"/>
        </w:rPr>
      </w:pPr>
      <w:r w:rsidRPr="00871DAF">
        <w:rPr>
          <w:rFonts w:ascii="Times New Roman" w:eastAsia="Calibri" w:hAnsi="Times New Roman" w:cs="Times New Roman"/>
          <w:b/>
          <w:noProof/>
          <w:sz w:val="24"/>
          <w:szCs w:val="20"/>
          <w:lang w:val="en-GB" w:eastAsia="en-GB"/>
        </w:rPr>
        <w:t xml:space="preserve">Table 18: </w:t>
      </w:r>
      <w:r w:rsidRPr="00871DAF">
        <w:rPr>
          <w:rFonts w:ascii="Times New Roman" w:eastAsia="Calibri" w:hAnsi="Times New Roman" w:cs="Times New Roman"/>
          <w:b/>
          <w:noProof/>
          <w:sz w:val="24"/>
          <w:szCs w:val="24"/>
          <w:lang w:val="en-GB" w:eastAsia="en-GB"/>
        </w:rPr>
        <w:t>Initial JTF allocation to the programme</w:t>
      </w:r>
      <w:r w:rsidRPr="00871DAF">
        <w:rPr>
          <w:rFonts w:ascii="Times New Roman" w:eastAsia="Calibri" w:hAnsi="Times New Roman" w:cs="Times New Roman"/>
          <w:b/>
          <w:noProof/>
          <w:sz w:val="24"/>
          <w:szCs w:val="24"/>
          <w:vertAlign w:val="superscript"/>
          <w:lang w:val="en-GB" w:eastAsia="en-GB"/>
        </w:rPr>
        <w:t>1</w:t>
      </w:r>
    </w:p>
    <w:p w:rsidR="00F000AD" w:rsidRPr="009720FF" w:rsidRDefault="00F000AD" w:rsidP="00F000AD">
      <w:pPr>
        <w:spacing w:before="120" w:after="120" w:line="240" w:lineRule="auto"/>
        <w:ind w:left="720"/>
        <w:jc w:val="both"/>
        <w:rPr>
          <w:rFonts w:ascii="Times New Roman" w:eastAsia="Calibri" w:hAnsi="Times New Roman" w:cs="Times New Roman"/>
          <w:i/>
          <w:noProof/>
          <w:sz w:val="24"/>
          <w:szCs w:val="20"/>
          <w:lang w:val="en-GB" w:eastAsia="en-GB"/>
        </w:rPr>
      </w:pPr>
      <w:r w:rsidRPr="009720FF">
        <w:rPr>
          <w:rFonts w:ascii="Times New Roman" w:eastAsia="Calibri" w:hAnsi="Times New Roman" w:cs="Times New Roman"/>
          <w:i/>
          <w:noProof/>
          <w:sz w:val="24"/>
          <w:szCs w:val="20"/>
          <w:lang w:val="en-GB" w:eastAsia="en-GB"/>
        </w:rPr>
        <w:lastRenderedPageBreak/>
        <w:t>Reference: Article 21</w:t>
      </w:r>
      <w:r w:rsidRPr="009720FF">
        <w:rPr>
          <w:rFonts w:ascii="Times New Roman" w:eastAsia="Calibri" w:hAnsi="Times New Roman" w:cs="Times New Roman"/>
          <w:b/>
          <w:i/>
          <w:noProof/>
          <w:sz w:val="24"/>
          <w:szCs w:val="20"/>
          <w:lang w:val="en-GB" w:eastAsia="en-GB"/>
        </w:rPr>
        <w:t xml:space="preserve"> </w:t>
      </w:r>
      <w:r w:rsidRPr="009720FF">
        <w:rPr>
          <w:rFonts w:ascii="Times New Roman" w:eastAsia="Calibri" w:hAnsi="Times New Roman" w:cs="Times New Roman"/>
          <w:i/>
          <w:noProof/>
          <w:sz w:val="24"/>
          <w:szCs w:val="20"/>
          <w:lang w:val="en-GB" w:eastAsia="en-GB"/>
        </w:rPr>
        <w:t xml:space="preserve">a </w:t>
      </w:r>
    </w:p>
    <w:tbl>
      <w:tblPr>
        <w:tblStyle w:val="TableGrid1"/>
        <w:tblW w:w="0" w:type="auto"/>
        <w:tblLook w:val="04A0" w:firstRow="1" w:lastRow="0" w:firstColumn="1" w:lastColumn="0" w:noHBand="0" w:noVBand="1"/>
      </w:tblPr>
      <w:tblGrid>
        <w:gridCol w:w="3085"/>
        <w:gridCol w:w="1985"/>
        <w:gridCol w:w="1896"/>
        <w:gridCol w:w="2322"/>
      </w:tblGrid>
      <w:tr w:rsidR="00F000AD" w:rsidRPr="009720FF" w:rsidTr="00F000AD">
        <w:tc>
          <w:tcPr>
            <w:tcW w:w="3085" w:type="dxa"/>
            <w:vMerge w:val="restart"/>
            <w:tcBorders>
              <w:tl2br w:val="single" w:sz="4" w:space="0" w:color="auto"/>
            </w:tcBorders>
          </w:tcPr>
          <w:p w:rsidR="00F000AD" w:rsidRPr="009720FF" w:rsidRDefault="00F000AD" w:rsidP="00F000AD">
            <w:pPr>
              <w:spacing w:before="120" w:after="120"/>
              <w:rPr>
                <w:rFonts w:ascii="Times New Roman" w:hAnsi="Times New Roman" w:cs="Times New Roman"/>
                <w:noProof/>
                <w:sz w:val="24"/>
                <w:szCs w:val="24"/>
              </w:rPr>
            </w:pPr>
          </w:p>
        </w:tc>
        <w:tc>
          <w:tcPr>
            <w:tcW w:w="6203" w:type="dxa"/>
            <w:gridSpan w:val="3"/>
          </w:tcPr>
          <w:p w:rsidR="00F000AD" w:rsidRPr="009720FF" w:rsidRDefault="00F000AD" w:rsidP="00F000AD">
            <w:pPr>
              <w:spacing w:before="120" w:after="120"/>
              <w:jc w:val="center"/>
              <w:rPr>
                <w:rFonts w:ascii="Times New Roman" w:hAnsi="Times New Roman" w:cs="Times New Roman"/>
                <w:noProof/>
                <w:sz w:val="24"/>
                <w:szCs w:val="24"/>
              </w:rPr>
            </w:pPr>
            <w:r w:rsidRPr="009720FF">
              <w:rPr>
                <w:rFonts w:ascii="Times New Roman" w:hAnsi="Times New Roman" w:cs="Times New Roman"/>
                <w:b/>
                <w:noProof/>
                <w:sz w:val="18"/>
                <w:szCs w:val="18"/>
              </w:rPr>
              <w:t>Initial JTF allocation to the programme* per category of region</w:t>
            </w:r>
          </w:p>
        </w:tc>
      </w:tr>
      <w:tr w:rsidR="00F000AD" w:rsidRPr="009720FF" w:rsidTr="00F000AD">
        <w:trPr>
          <w:trHeight w:val="1042"/>
        </w:trPr>
        <w:tc>
          <w:tcPr>
            <w:tcW w:w="3085" w:type="dxa"/>
            <w:vMerge/>
            <w:tcBorders>
              <w:tl2br w:val="single" w:sz="4" w:space="0" w:color="auto"/>
            </w:tcBorders>
          </w:tcPr>
          <w:p w:rsidR="00F000AD" w:rsidRPr="009720FF" w:rsidRDefault="00F000AD" w:rsidP="00F000AD">
            <w:pPr>
              <w:spacing w:before="120" w:after="120"/>
              <w:rPr>
                <w:rFonts w:ascii="Times New Roman" w:hAnsi="Times New Roman" w:cs="Times New Roman"/>
                <w:noProof/>
                <w:sz w:val="24"/>
                <w:szCs w:val="24"/>
              </w:rPr>
            </w:pPr>
          </w:p>
        </w:tc>
        <w:tc>
          <w:tcPr>
            <w:tcW w:w="1985" w:type="dxa"/>
            <w:vAlign w:val="center"/>
          </w:tcPr>
          <w:p w:rsidR="00F000AD" w:rsidRPr="009720FF" w:rsidRDefault="00F000AD" w:rsidP="00F000AD">
            <w:pPr>
              <w:spacing w:before="120" w:after="120"/>
              <w:jc w:val="center"/>
              <w:rPr>
                <w:rFonts w:ascii="Times New Roman" w:hAnsi="Times New Roman" w:cs="Times New Roman"/>
                <w:b/>
                <w:noProof/>
                <w:sz w:val="20"/>
                <w:szCs w:val="20"/>
              </w:rPr>
            </w:pPr>
            <w:r w:rsidRPr="009720FF">
              <w:rPr>
                <w:rFonts w:ascii="Times New Roman" w:hAnsi="Times New Roman" w:cs="Times New Roman"/>
                <w:b/>
                <w:noProof/>
                <w:sz w:val="20"/>
                <w:szCs w:val="20"/>
              </w:rPr>
              <w:t>More developed</w:t>
            </w:r>
          </w:p>
        </w:tc>
        <w:tc>
          <w:tcPr>
            <w:tcW w:w="1896" w:type="dxa"/>
            <w:vAlign w:val="center"/>
          </w:tcPr>
          <w:p w:rsidR="00F000AD" w:rsidRPr="009720FF" w:rsidRDefault="00F000AD" w:rsidP="00F000AD">
            <w:pPr>
              <w:spacing w:before="120" w:after="120"/>
              <w:jc w:val="center"/>
              <w:rPr>
                <w:rFonts w:ascii="Times New Roman" w:hAnsi="Times New Roman" w:cs="Times New Roman"/>
                <w:noProof/>
                <w:sz w:val="20"/>
                <w:szCs w:val="20"/>
              </w:rPr>
            </w:pPr>
            <w:r w:rsidRPr="009720FF">
              <w:rPr>
                <w:rFonts w:ascii="Times New Roman" w:hAnsi="Times New Roman" w:cs="Times New Roman"/>
                <w:b/>
                <w:noProof/>
                <w:sz w:val="20"/>
                <w:szCs w:val="20"/>
              </w:rPr>
              <w:t>Transition</w:t>
            </w:r>
          </w:p>
        </w:tc>
        <w:tc>
          <w:tcPr>
            <w:tcW w:w="2322" w:type="dxa"/>
            <w:vAlign w:val="center"/>
          </w:tcPr>
          <w:p w:rsidR="00F000AD" w:rsidRPr="009720FF" w:rsidRDefault="00F000AD" w:rsidP="00F000AD">
            <w:pPr>
              <w:jc w:val="center"/>
              <w:rPr>
                <w:rFonts w:ascii="Times New Roman" w:hAnsi="Times New Roman" w:cs="Times New Roman"/>
                <w:b/>
                <w:noProof/>
                <w:sz w:val="20"/>
                <w:szCs w:val="20"/>
              </w:rPr>
            </w:pPr>
            <w:r w:rsidRPr="009720FF">
              <w:rPr>
                <w:rFonts w:ascii="Times New Roman" w:eastAsia="Times New Roman" w:hAnsi="Times New Roman" w:cs="Times New Roman"/>
                <w:b/>
                <w:noProof/>
                <w:sz w:val="20"/>
                <w:szCs w:val="20"/>
              </w:rPr>
              <w:t>Less developed</w:t>
            </w:r>
          </w:p>
        </w:tc>
      </w:tr>
      <w:tr w:rsidR="00F000AD" w:rsidRPr="009720FF" w:rsidTr="00F000AD">
        <w:tc>
          <w:tcPr>
            <w:tcW w:w="3085" w:type="dxa"/>
          </w:tcPr>
          <w:p w:rsidR="00F000AD" w:rsidRPr="009720FF" w:rsidRDefault="00F000AD" w:rsidP="00F000AD">
            <w:pPr>
              <w:spacing w:before="120" w:after="120"/>
              <w:rPr>
                <w:rFonts w:ascii="Times New Roman" w:hAnsi="Times New Roman" w:cs="Times New Roman"/>
                <w:noProof/>
                <w:sz w:val="24"/>
                <w:szCs w:val="24"/>
              </w:rPr>
            </w:pPr>
            <w:r w:rsidRPr="009720FF">
              <w:rPr>
                <w:rFonts w:ascii="Times New Roman" w:eastAsia="Times New Roman" w:hAnsi="Times New Roman" w:cs="Times New Roman"/>
                <w:b/>
                <w:noProof/>
                <w:sz w:val="16"/>
                <w:szCs w:val="16"/>
              </w:rPr>
              <w:t>Initial JTF allocation in the programme*</w:t>
            </w:r>
          </w:p>
        </w:tc>
        <w:tc>
          <w:tcPr>
            <w:tcW w:w="1985" w:type="dxa"/>
          </w:tcPr>
          <w:p w:rsidR="00F000AD" w:rsidRPr="009720FF" w:rsidRDefault="00F000AD" w:rsidP="00F000AD">
            <w:pPr>
              <w:spacing w:before="120" w:after="120"/>
              <w:rPr>
                <w:rFonts w:ascii="Times New Roman" w:hAnsi="Times New Roman" w:cs="Times New Roman"/>
                <w:noProof/>
                <w:sz w:val="24"/>
                <w:szCs w:val="24"/>
              </w:rPr>
            </w:pPr>
          </w:p>
        </w:tc>
        <w:tc>
          <w:tcPr>
            <w:tcW w:w="1896" w:type="dxa"/>
          </w:tcPr>
          <w:p w:rsidR="00F000AD" w:rsidRPr="009720FF" w:rsidRDefault="00F000AD" w:rsidP="00F000AD">
            <w:pPr>
              <w:spacing w:before="120" w:after="120"/>
              <w:rPr>
                <w:rFonts w:ascii="Times New Roman" w:hAnsi="Times New Roman" w:cs="Times New Roman"/>
                <w:noProof/>
                <w:sz w:val="24"/>
                <w:szCs w:val="24"/>
              </w:rPr>
            </w:pPr>
          </w:p>
        </w:tc>
        <w:tc>
          <w:tcPr>
            <w:tcW w:w="2322" w:type="dxa"/>
          </w:tcPr>
          <w:p w:rsidR="00F000AD" w:rsidRPr="009720FF" w:rsidRDefault="00F000AD" w:rsidP="00F000AD">
            <w:pPr>
              <w:spacing w:before="120" w:after="120"/>
              <w:rPr>
                <w:rFonts w:ascii="Times New Roman" w:hAnsi="Times New Roman" w:cs="Times New Roman"/>
                <w:noProof/>
                <w:sz w:val="24"/>
                <w:szCs w:val="24"/>
              </w:rPr>
            </w:pPr>
          </w:p>
        </w:tc>
      </w:tr>
    </w:tbl>
    <w:p w:rsidR="00F000AD" w:rsidRPr="009720FF" w:rsidRDefault="00F000AD" w:rsidP="00F000AD">
      <w:pPr>
        <w:spacing w:before="120" w:after="120" w:line="240" w:lineRule="auto"/>
        <w:rPr>
          <w:rFonts w:ascii="Times New Roman" w:hAnsi="Times New Roman" w:cs="Times New Roman"/>
          <w:noProof/>
          <w:sz w:val="20"/>
          <w:szCs w:val="16"/>
          <w:lang w:val="en-GB"/>
        </w:rPr>
      </w:pPr>
      <w:r w:rsidRPr="009720FF">
        <w:rPr>
          <w:rFonts w:ascii="Times New Roman" w:hAnsi="Times New Roman" w:cs="Times New Roman"/>
          <w:noProof/>
          <w:sz w:val="16"/>
          <w:szCs w:val="16"/>
          <w:lang w:val="en-GB"/>
        </w:rPr>
        <w:t>* Programme with the JTF allocation.</w:t>
      </w:r>
    </w:p>
    <w:p w:rsidR="00F000AD" w:rsidRPr="009720FF" w:rsidRDefault="00F000AD" w:rsidP="00F000AD">
      <w:pPr>
        <w:spacing w:before="120" w:after="120" w:line="240" w:lineRule="auto"/>
        <w:rPr>
          <w:rFonts w:ascii="Times New Roman" w:hAnsi="Times New Roman" w:cs="Times New Roman"/>
          <w:noProof/>
          <w:sz w:val="16"/>
          <w:szCs w:val="20"/>
          <w:lang w:val="en-GB"/>
        </w:rPr>
      </w:pPr>
      <w:r w:rsidRPr="009720FF">
        <w:rPr>
          <w:rFonts w:ascii="Times New Roman" w:hAnsi="Times New Roman" w:cs="Times New Roman"/>
          <w:noProof/>
          <w:sz w:val="16"/>
          <w:szCs w:val="20"/>
          <w:vertAlign w:val="superscript"/>
          <w:lang w:val="en-GB"/>
        </w:rPr>
        <w:t>1</w:t>
      </w:r>
      <w:r w:rsidRPr="009720FF">
        <w:rPr>
          <w:rFonts w:ascii="Times New Roman" w:hAnsi="Times New Roman" w:cs="Times New Roman"/>
          <w:noProof/>
          <w:sz w:val="16"/>
          <w:szCs w:val="20"/>
          <w:lang w:val="en-GB"/>
        </w:rPr>
        <w:t xml:space="preserve"> When JTF is the ‘fund concerned’ (basic data on the programme, p.1 of programme template).”</w:t>
      </w:r>
    </w:p>
    <w:p w:rsidR="00F000AD" w:rsidRPr="009720FF" w:rsidRDefault="00F000AD" w:rsidP="00F000AD">
      <w:pPr>
        <w:spacing w:before="120" w:after="120" w:line="240" w:lineRule="auto"/>
        <w:rPr>
          <w:rFonts w:ascii="Times New Roman" w:hAnsi="Times New Roman" w:cs="Times New Roman"/>
          <w:noProof/>
          <w:sz w:val="16"/>
          <w:szCs w:val="16"/>
          <w:lang w:val="en-GB"/>
        </w:rPr>
      </w:pPr>
    </w:p>
    <w:p w:rsidR="00F000AD" w:rsidRPr="009720FF" w:rsidRDefault="00F000AD" w:rsidP="00F000AD">
      <w:pPr>
        <w:rPr>
          <w:rFonts w:ascii="Times New Roman" w:hAnsi="Times New Roman" w:cs="Times New Roman"/>
          <w:noProof/>
          <w:sz w:val="24"/>
          <w:szCs w:val="24"/>
          <w:lang w:val="en-GB"/>
        </w:rPr>
      </w:pPr>
      <w:r w:rsidRPr="009720FF">
        <w:rPr>
          <w:rFonts w:ascii="Times New Roman" w:hAnsi="Times New Roman" w:cs="Times New Roman"/>
          <w:noProof/>
          <w:sz w:val="24"/>
          <w:szCs w:val="24"/>
          <w:lang w:val="en-GB"/>
        </w:rPr>
        <w:t>(5)</w:t>
      </w:r>
      <w:r w:rsidRPr="009720FF">
        <w:rPr>
          <w:rFonts w:ascii="Times New Roman" w:hAnsi="Times New Roman" w:cs="Times New Roman"/>
          <w:noProof/>
          <w:sz w:val="24"/>
          <w:szCs w:val="24"/>
          <w:lang w:val="en-GB"/>
        </w:rPr>
        <w:tab/>
        <w:t>U</w:t>
      </w:r>
      <w:r w:rsidRPr="009720FF">
        <w:rPr>
          <w:rFonts w:ascii="Times New Roman" w:hAnsi="Times New Roman" w:cs="Times New Roman"/>
          <w:noProof/>
          <w:sz w:val="24"/>
          <w:lang w:val="en-GB"/>
        </w:rPr>
        <w:t>nder point 3.A, a</w:t>
      </w:r>
      <w:r w:rsidRPr="009720FF">
        <w:rPr>
          <w:rFonts w:ascii="Times New Roman" w:hAnsi="Times New Roman" w:cs="Times New Roman"/>
          <w:noProof/>
          <w:sz w:val="24"/>
          <w:szCs w:val="24"/>
          <w:lang w:val="en-GB"/>
        </w:rPr>
        <w:t xml:space="preserve"> new ticking box is inserted, after Table 18:</w:t>
      </w:r>
    </w:p>
    <w:p w:rsidR="00F000AD" w:rsidRPr="009720FF" w:rsidRDefault="00F000AD" w:rsidP="00F000AD">
      <w:pPr>
        <w:spacing w:before="120" w:after="120" w:line="240" w:lineRule="auto"/>
        <w:ind w:left="720"/>
        <w:jc w:val="both"/>
        <w:rPr>
          <w:rFonts w:ascii="Times New Roman" w:eastAsia="Calibri" w:hAnsi="Times New Roman" w:cs="Times New Roman"/>
          <w:b/>
          <w:noProof/>
          <w:sz w:val="24"/>
          <w:szCs w:val="24"/>
          <w:lang w:val="en-GB" w:eastAsia="en-GB"/>
        </w:rPr>
      </w:pPr>
      <w:r w:rsidRPr="009720FF">
        <w:rPr>
          <w:rFonts w:ascii="Times New Roman" w:eastAsia="Calibri" w:hAnsi="Times New Roman" w:cs="Times New Roman"/>
          <w:b/>
          <w:noProof/>
          <w:sz w:val="24"/>
          <w:szCs w:val="24"/>
          <w:lang w:val="en-GB" w:eastAsia="en-GB"/>
        </w:rPr>
        <w:t>“Obligatory transfer of ERDF and ESF+ resources as complementary support to the Just Transition Fund</w:t>
      </w:r>
      <w:r w:rsidRPr="009720FF">
        <w:rPr>
          <w:rFonts w:ascii="Times New Roman" w:eastAsia="Calibri" w:hAnsi="Times New Roman" w:cs="Times New Roman"/>
          <w:b/>
          <w:noProof/>
          <w:sz w:val="24"/>
          <w:szCs w:val="24"/>
          <w:vertAlign w:val="superscript"/>
          <w:lang w:val="en-GB" w:eastAsia="en-GB"/>
        </w:rPr>
        <w:t>2</w:t>
      </w:r>
    </w:p>
    <w:tbl>
      <w:tblPr>
        <w:tblStyle w:val="TableGrid1"/>
        <w:tblW w:w="0" w:type="auto"/>
        <w:tblInd w:w="720" w:type="dxa"/>
        <w:tblLook w:val="04A0" w:firstRow="1" w:lastRow="0" w:firstColumn="1" w:lastColumn="0" w:noHBand="0" w:noVBand="1"/>
      </w:tblPr>
      <w:tblGrid>
        <w:gridCol w:w="1656"/>
        <w:gridCol w:w="6912"/>
      </w:tblGrid>
      <w:tr w:rsidR="00F000AD" w:rsidRPr="009720FF" w:rsidTr="00F000AD">
        <w:tc>
          <w:tcPr>
            <w:tcW w:w="1656" w:type="dxa"/>
            <w:vMerge w:val="restart"/>
          </w:tcPr>
          <w:p w:rsidR="00F000AD" w:rsidRPr="009720FF" w:rsidRDefault="00F000AD" w:rsidP="00F000AD">
            <w:pPr>
              <w:contextualSpacing/>
              <w:rPr>
                <w:rFonts w:ascii="Times New Roman" w:hAnsi="Times New Roman" w:cs="Times New Roman"/>
                <w:b/>
                <w:noProof/>
                <w:sz w:val="24"/>
                <w:szCs w:val="24"/>
              </w:rPr>
            </w:pPr>
            <w:r w:rsidRPr="009720FF">
              <w:rPr>
                <w:rFonts w:ascii="Times New Roman" w:hAnsi="Times New Roman" w:cs="Times New Roman"/>
                <w:b/>
                <w:noProof/>
                <w:sz w:val="20"/>
              </w:rPr>
              <w:t>Transfer to JTF</w:t>
            </w:r>
          </w:p>
        </w:tc>
        <w:tc>
          <w:tcPr>
            <w:tcW w:w="6912" w:type="dxa"/>
          </w:tcPr>
          <w:p w:rsidR="00F000AD" w:rsidRPr="009720FF" w:rsidRDefault="00F000AD" w:rsidP="00F000AD">
            <w:pPr>
              <w:contextualSpacing/>
              <w:rPr>
                <w:rFonts w:ascii="Times New Roman" w:hAnsi="Times New Roman" w:cs="Times New Roman"/>
                <w:b/>
                <w:noProof/>
                <w:sz w:val="24"/>
                <w:szCs w:val="24"/>
              </w:rPr>
            </w:pPr>
            <w:r w:rsidRPr="009720FF">
              <w:rPr>
                <w:rFonts w:ascii="Times New Roman" w:hAnsi="Times New Roman" w:cs="Times New Roman"/>
                <w:noProof/>
                <w:sz w:val="20"/>
              </w:rPr>
              <w:fldChar w:fldCharType="begin">
                <w:ffData>
                  <w:name w:val="Check1"/>
                  <w:enabled/>
                  <w:calcOnExit w:val="0"/>
                  <w:checkBox>
                    <w:sizeAuto/>
                    <w:default w:val="0"/>
                  </w:checkBox>
                </w:ffData>
              </w:fldChar>
            </w:r>
            <w:r w:rsidRPr="009720FF">
              <w:rPr>
                <w:rFonts w:ascii="Times New Roman" w:hAnsi="Times New Roman" w:cs="Times New Roman"/>
                <w:noProof/>
                <w:sz w:val="20"/>
              </w:rPr>
              <w:instrText xml:space="preserve"> FORMCHECKBOX </w:instrText>
            </w:r>
            <w:r w:rsidR="00F273D0">
              <w:rPr>
                <w:rFonts w:ascii="Times New Roman" w:hAnsi="Times New Roman" w:cs="Times New Roman"/>
                <w:noProof/>
                <w:sz w:val="20"/>
              </w:rPr>
            </w:r>
            <w:r w:rsidR="00F273D0">
              <w:rPr>
                <w:rFonts w:ascii="Times New Roman" w:hAnsi="Times New Roman" w:cs="Times New Roman"/>
                <w:noProof/>
                <w:sz w:val="20"/>
              </w:rPr>
              <w:fldChar w:fldCharType="separate"/>
            </w:r>
            <w:r w:rsidRPr="009720FF">
              <w:rPr>
                <w:rFonts w:ascii="Times New Roman" w:hAnsi="Times New Roman" w:cs="Times New Roman"/>
                <w:noProof/>
                <w:sz w:val="20"/>
              </w:rPr>
              <w:fldChar w:fldCharType="end"/>
            </w:r>
            <w:r w:rsidRPr="009720FF">
              <w:rPr>
                <w:rFonts w:ascii="Times New Roman" w:hAnsi="Times New Roman" w:cs="Times New Roman"/>
                <w:noProof/>
                <w:sz w:val="20"/>
              </w:rPr>
              <w:t xml:space="preserve"> concerns internal transfers within the programme with JTF allocation (Table 18A)</w:t>
            </w:r>
          </w:p>
        </w:tc>
      </w:tr>
      <w:tr w:rsidR="00F000AD" w:rsidRPr="009720FF" w:rsidTr="00F000AD">
        <w:tc>
          <w:tcPr>
            <w:tcW w:w="1656" w:type="dxa"/>
            <w:vMerge/>
          </w:tcPr>
          <w:p w:rsidR="00F000AD" w:rsidRPr="009720FF" w:rsidRDefault="00F000AD" w:rsidP="00F000AD">
            <w:pPr>
              <w:contextualSpacing/>
              <w:rPr>
                <w:rFonts w:ascii="Times New Roman" w:hAnsi="Times New Roman" w:cs="Times New Roman"/>
                <w:b/>
                <w:noProof/>
                <w:sz w:val="24"/>
                <w:szCs w:val="24"/>
              </w:rPr>
            </w:pPr>
          </w:p>
        </w:tc>
        <w:tc>
          <w:tcPr>
            <w:tcW w:w="6912" w:type="dxa"/>
          </w:tcPr>
          <w:p w:rsidR="00F000AD" w:rsidRPr="009720FF" w:rsidRDefault="00F000AD" w:rsidP="00F000AD">
            <w:pPr>
              <w:contextualSpacing/>
              <w:rPr>
                <w:rFonts w:ascii="Times New Roman" w:hAnsi="Times New Roman" w:cs="Times New Roman"/>
                <w:b/>
                <w:noProof/>
                <w:sz w:val="24"/>
                <w:szCs w:val="24"/>
              </w:rPr>
            </w:pPr>
            <w:r w:rsidRPr="009720FF">
              <w:rPr>
                <w:rFonts w:ascii="Times New Roman" w:hAnsi="Times New Roman" w:cs="Times New Roman"/>
                <w:noProof/>
                <w:sz w:val="20"/>
              </w:rPr>
              <w:fldChar w:fldCharType="begin">
                <w:ffData>
                  <w:name w:val="Check1"/>
                  <w:enabled/>
                  <w:calcOnExit w:val="0"/>
                  <w:checkBox>
                    <w:sizeAuto/>
                    <w:default w:val="0"/>
                  </w:checkBox>
                </w:ffData>
              </w:fldChar>
            </w:r>
            <w:r w:rsidRPr="009720FF">
              <w:rPr>
                <w:rFonts w:ascii="Times New Roman" w:hAnsi="Times New Roman" w:cs="Times New Roman"/>
                <w:noProof/>
                <w:sz w:val="20"/>
              </w:rPr>
              <w:instrText xml:space="preserve"> FORMCHECKBOX </w:instrText>
            </w:r>
            <w:r w:rsidR="00F273D0">
              <w:rPr>
                <w:rFonts w:ascii="Times New Roman" w:hAnsi="Times New Roman" w:cs="Times New Roman"/>
                <w:noProof/>
                <w:sz w:val="20"/>
              </w:rPr>
            </w:r>
            <w:r w:rsidR="00F273D0">
              <w:rPr>
                <w:rFonts w:ascii="Times New Roman" w:hAnsi="Times New Roman" w:cs="Times New Roman"/>
                <w:noProof/>
                <w:sz w:val="20"/>
              </w:rPr>
              <w:fldChar w:fldCharType="separate"/>
            </w:r>
            <w:r w:rsidRPr="009720FF">
              <w:rPr>
                <w:rFonts w:ascii="Times New Roman" w:hAnsi="Times New Roman" w:cs="Times New Roman"/>
                <w:noProof/>
                <w:sz w:val="20"/>
              </w:rPr>
              <w:fldChar w:fldCharType="end"/>
            </w:r>
            <w:r w:rsidRPr="009720FF">
              <w:rPr>
                <w:rFonts w:ascii="Times New Roman" w:hAnsi="Times New Roman" w:cs="Times New Roman"/>
                <w:noProof/>
                <w:sz w:val="20"/>
              </w:rPr>
              <w:t xml:space="preserve"> concerns transfers from other programmes to the programme with JTF allocation  (Table 18B)</w:t>
            </w:r>
          </w:p>
        </w:tc>
      </w:tr>
      <w:tr w:rsidR="00F000AD" w:rsidRPr="009720FF" w:rsidTr="00F000AD">
        <w:tc>
          <w:tcPr>
            <w:tcW w:w="1656" w:type="dxa"/>
          </w:tcPr>
          <w:p w:rsidR="00F000AD" w:rsidRPr="009720FF" w:rsidRDefault="00F000AD" w:rsidP="00F000AD">
            <w:pPr>
              <w:contextualSpacing/>
              <w:rPr>
                <w:rFonts w:ascii="Times New Roman" w:hAnsi="Times New Roman" w:cs="Times New Roman"/>
                <w:b/>
                <w:noProof/>
                <w:sz w:val="24"/>
                <w:szCs w:val="24"/>
              </w:rPr>
            </w:pPr>
          </w:p>
        </w:tc>
        <w:tc>
          <w:tcPr>
            <w:tcW w:w="6912" w:type="dxa"/>
          </w:tcPr>
          <w:p w:rsidR="00F000AD" w:rsidRPr="009720FF" w:rsidRDefault="00F000AD" w:rsidP="00F000AD">
            <w:pPr>
              <w:rPr>
                <w:rFonts w:ascii="Times New Roman" w:hAnsi="Times New Roman" w:cs="Times New Roman"/>
                <w:noProof/>
                <w:sz w:val="20"/>
              </w:rPr>
            </w:pPr>
            <w:r w:rsidRPr="009720FF">
              <w:rPr>
                <w:rFonts w:ascii="Times New Roman" w:hAnsi="Times New Roman" w:cs="Times New Roman"/>
                <w:noProof/>
                <w:sz w:val="20"/>
              </w:rPr>
              <w:fldChar w:fldCharType="begin">
                <w:ffData>
                  <w:name w:val="Check1"/>
                  <w:enabled/>
                  <w:calcOnExit w:val="0"/>
                  <w:checkBox>
                    <w:sizeAuto/>
                    <w:default w:val="0"/>
                  </w:checkBox>
                </w:ffData>
              </w:fldChar>
            </w:r>
            <w:r w:rsidRPr="009720FF">
              <w:rPr>
                <w:rFonts w:ascii="Times New Roman" w:hAnsi="Times New Roman" w:cs="Times New Roman"/>
                <w:noProof/>
                <w:sz w:val="20"/>
              </w:rPr>
              <w:instrText xml:space="preserve"> FORMCHECKBOX </w:instrText>
            </w:r>
            <w:r w:rsidR="00F273D0">
              <w:rPr>
                <w:rFonts w:ascii="Times New Roman" w:hAnsi="Times New Roman" w:cs="Times New Roman"/>
                <w:noProof/>
                <w:sz w:val="20"/>
              </w:rPr>
            </w:r>
            <w:r w:rsidR="00F273D0">
              <w:rPr>
                <w:rFonts w:ascii="Times New Roman" w:hAnsi="Times New Roman" w:cs="Times New Roman"/>
                <w:noProof/>
                <w:sz w:val="20"/>
              </w:rPr>
              <w:fldChar w:fldCharType="separate"/>
            </w:r>
            <w:r w:rsidRPr="009720FF">
              <w:rPr>
                <w:rFonts w:ascii="Times New Roman" w:hAnsi="Times New Roman" w:cs="Times New Roman"/>
                <w:noProof/>
                <w:sz w:val="20"/>
              </w:rPr>
              <w:fldChar w:fldCharType="end"/>
            </w:r>
            <w:r w:rsidRPr="009720FF">
              <w:rPr>
                <w:rFonts w:ascii="Times New Roman" w:hAnsi="Times New Roman" w:cs="Times New Roman"/>
                <w:noProof/>
                <w:sz w:val="20"/>
              </w:rPr>
              <w:t xml:space="preserve"> N/A (ie no support from JTF to the programme)</w:t>
            </w:r>
          </w:p>
        </w:tc>
      </w:tr>
    </w:tbl>
    <w:p w:rsidR="00F000AD" w:rsidRPr="009720FF" w:rsidRDefault="00F000AD" w:rsidP="00F000AD">
      <w:pPr>
        <w:spacing w:before="120" w:after="0" w:line="240" w:lineRule="auto"/>
        <w:rPr>
          <w:rFonts w:ascii="Times New Roman" w:hAnsi="Times New Roman" w:cs="Times New Roman"/>
          <w:noProof/>
          <w:sz w:val="18"/>
          <w:szCs w:val="24"/>
          <w:lang w:val="en-GB"/>
        </w:rPr>
      </w:pPr>
      <w:r w:rsidRPr="009720FF">
        <w:rPr>
          <w:rFonts w:ascii="Times New Roman" w:hAnsi="Times New Roman" w:cs="Times New Roman"/>
          <w:noProof/>
          <w:sz w:val="18"/>
          <w:vertAlign w:val="superscript"/>
          <w:lang w:val="en-GB"/>
        </w:rPr>
        <w:t>2</w:t>
      </w:r>
      <w:r w:rsidRPr="009720FF">
        <w:rPr>
          <w:rFonts w:ascii="Times New Roman" w:hAnsi="Times New Roman" w:cs="Times New Roman"/>
          <w:noProof/>
          <w:sz w:val="18"/>
          <w:lang w:val="en-GB"/>
        </w:rPr>
        <w:t xml:space="preserve"> In case a programme supported by the JTF receives complementary support (cf Article 21a) within the programme and from other programmes both Tables 18A and 18B need to be filled in.</w:t>
      </w:r>
      <w:r w:rsidRPr="009720FF">
        <w:rPr>
          <w:rFonts w:ascii="Times New Roman" w:eastAsia="Times New Roman" w:hAnsi="Times New Roman" w:cs="Times New Roman"/>
          <w:noProof/>
          <w:sz w:val="24"/>
          <w:szCs w:val="16"/>
          <w:lang w:val="en-GB" w:eastAsia="en-GB"/>
        </w:rPr>
        <w:t>”</w:t>
      </w:r>
    </w:p>
    <w:p w:rsidR="00F000AD" w:rsidRPr="009720FF" w:rsidRDefault="00F000AD" w:rsidP="00F000AD">
      <w:pPr>
        <w:spacing w:before="120" w:after="120" w:line="240" w:lineRule="auto"/>
        <w:rPr>
          <w:rFonts w:ascii="Times New Roman" w:hAnsi="Times New Roman" w:cs="Times New Roman"/>
          <w:noProof/>
          <w:sz w:val="24"/>
          <w:szCs w:val="24"/>
          <w:lang w:val="en-GB"/>
        </w:rPr>
      </w:pPr>
    </w:p>
    <w:p w:rsidR="00F000AD" w:rsidRPr="009720FF" w:rsidRDefault="00F000AD" w:rsidP="00F000AD">
      <w:pPr>
        <w:rPr>
          <w:rFonts w:ascii="Times New Roman" w:hAnsi="Times New Roman" w:cs="Times New Roman"/>
          <w:noProof/>
          <w:sz w:val="24"/>
          <w:szCs w:val="24"/>
          <w:lang w:val="en-GB"/>
        </w:rPr>
      </w:pPr>
      <w:r w:rsidRPr="009720FF">
        <w:rPr>
          <w:rFonts w:ascii="Times New Roman" w:hAnsi="Times New Roman" w:cs="Times New Roman"/>
          <w:noProof/>
          <w:sz w:val="24"/>
          <w:szCs w:val="24"/>
          <w:lang w:val="en-GB"/>
        </w:rPr>
        <w:br w:type="page"/>
      </w:r>
    </w:p>
    <w:p w:rsidR="00F000AD" w:rsidRPr="009720FF" w:rsidRDefault="00F000AD" w:rsidP="00F000AD">
      <w:pPr>
        <w:rPr>
          <w:rFonts w:ascii="Times New Roman" w:hAnsi="Times New Roman" w:cs="Times New Roman"/>
          <w:noProof/>
          <w:szCs w:val="24"/>
          <w:lang w:val="en-GB"/>
        </w:rPr>
      </w:pPr>
      <w:r w:rsidRPr="009720FF">
        <w:rPr>
          <w:rFonts w:ascii="Times New Roman" w:hAnsi="Times New Roman" w:cs="Times New Roman"/>
          <w:b/>
          <w:noProof/>
          <w:sz w:val="24"/>
          <w:szCs w:val="24"/>
          <w:lang w:val="en-GB"/>
        </w:rPr>
        <w:lastRenderedPageBreak/>
        <w:t xml:space="preserve"> Table 18A: Transfer of ERDF and ESF+ resources to the Just Transition Fund (JTF) within the programme</w:t>
      </w:r>
    </w:p>
    <w:p w:rsidR="00F000AD" w:rsidRPr="009720FF" w:rsidRDefault="00F000AD" w:rsidP="00F000AD">
      <w:pPr>
        <w:spacing w:before="120" w:after="120" w:line="240" w:lineRule="auto"/>
        <w:rPr>
          <w:rFonts w:ascii="Times New Roman" w:hAnsi="Times New Roman" w:cs="Times New Roman"/>
          <w:noProof/>
          <w:sz w:val="24"/>
          <w:szCs w:val="24"/>
          <w:lang w:val="en-GB"/>
        </w:rPr>
      </w:pPr>
    </w:p>
    <w:tbl>
      <w:tblPr>
        <w:tblStyle w:val="TableGrid1"/>
        <w:tblW w:w="0" w:type="auto"/>
        <w:tblLook w:val="04A0" w:firstRow="1" w:lastRow="0" w:firstColumn="1" w:lastColumn="0" w:noHBand="0" w:noVBand="1"/>
      </w:tblPr>
      <w:tblGrid>
        <w:gridCol w:w="1845"/>
        <w:gridCol w:w="2348"/>
        <w:gridCol w:w="1694"/>
        <w:gridCol w:w="1695"/>
        <w:gridCol w:w="1660"/>
      </w:tblGrid>
      <w:tr w:rsidR="00F000AD" w:rsidRPr="009720FF" w:rsidTr="00F000AD">
        <w:tc>
          <w:tcPr>
            <w:tcW w:w="4193" w:type="dxa"/>
            <w:gridSpan w:val="2"/>
            <w:vMerge w:val="restart"/>
            <w:tcBorders>
              <w:tl2br w:val="single" w:sz="4" w:space="0" w:color="auto"/>
            </w:tcBorders>
          </w:tcPr>
          <w:p w:rsidR="00F000AD" w:rsidRPr="009720FF" w:rsidRDefault="00F000AD" w:rsidP="00F000AD">
            <w:pPr>
              <w:spacing w:before="120" w:after="120"/>
              <w:rPr>
                <w:rFonts w:ascii="Times New Roman" w:hAnsi="Times New Roman" w:cs="Times New Roman"/>
                <w:noProof/>
                <w:sz w:val="20"/>
                <w:szCs w:val="20"/>
              </w:rPr>
            </w:pPr>
          </w:p>
        </w:tc>
        <w:tc>
          <w:tcPr>
            <w:tcW w:w="5049" w:type="dxa"/>
            <w:gridSpan w:val="3"/>
          </w:tcPr>
          <w:p w:rsidR="00F000AD" w:rsidRPr="009720FF" w:rsidRDefault="00F000AD" w:rsidP="00F000AD">
            <w:pPr>
              <w:spacing w:before="120" w:after="120"/>
              <w:rPr>
                <w:rFonts w:ascii="Times New Roman" w:hAnsi="Times New Roman" w:cs="Times New Roman"/>
                <w:b/>
                <w:noProof/>
                <w:sz w:val="20"/>
                <w:szCs w:val="20"/>
              </w:rPr>
            </w:pPr>
            <w:r w:rsidRPr="009720FF">
              <w:rPr>
                <w:rFonts w:ascii="Times New Roman" w:hAnsi="Times New Roman" w:cs="Times New Roman"/>
                <w:b/>
                <w:noProof/>
                <w:sz w:val="18"/>
                <w:szCs w:val="20"/>
              </w:rPr>
              <w:t>JTF allocation in the programme* per category of region</w:t>
            </w:r>
          </w:p>
        </w:tc>
      </w:tr>
      <w:tr w:rsidR="00F000AD" w:rsidRPr="009720FF" w:rsidTr="00F000AD">
        <w:tc>
          <w:tcPr>
            <w:tcW w:w="4193" w:type="dxa"/>
            <w:gridSpan w:val="2"/>
            <w:vMerge/>
            <w:tcBorders>
              <w:tl2br w:val="single" w:sz="4" w:space="0" w:color="auto"/>
            </w:tcBorders>
          </w:tcPr>
          <w:p w:rsidR="00F000AD" w:rsidRPr="009720FF" w:rsidRDefault="00F000AD" w:rsidP="00F000AD">
            <w:pPr>
              <w:spacing w:before="120" w:after="120"/>
              <w:rPr>
                <w:rFonts w:ascii="Times New Roman" w:hAnsi="Times New Roman" w:cs="Times New Roman"/>
                <w:noProof/>
                <w:sz w:val="20"/>
                <w:szCs w:val="20"/>
              </w:rPr>
            </w:pPr>
          </w:p>
        </w:tc>
        <w:tc>
          <w:tcPr>
            <w:tcW w:w="1694" w:type="dxa"/>
          </w:tcPr>
          <w:p w:rsidR="00F000AD" w:rsidRPr="009720FF" w:rsidRDefault="00F000AD" w:rsidP="00F000AD">
            <w:pPr>
              <w:spacing w:before="120" w:after="120"/>
              <w:jc w:val="center"/>
              <w:rPr>
                <w:rFonts w:ascii="Times New Roman" w:hAnsi="Times New Roman" w:cs="Times New Roman"/>
                <w:b/>
                <w:noProof/>
                <w:sz w:val="20"/>
                <w:szCs w:val="20"/>
              </w:rPr>
            </w:pPr>
            <w:r w:rsidRPr="009720FF">
              <w:rPr>
                <w:rFonts w:ascii="Times New Roman" w:hAnsi="Times New Roman" w:cs="Times New Roman"/>
                <w:b/>
                <w:noProof/>
                <w:sz w:val="20"/>
                <w:szCs w:val="20"/>
              </w:rPr>
              <w:t>More developed</w:t>
            </w:r>
          </w:p>
        </w:tc>
        <w:tc>
          <w:tcPr>
            <w:tcW w:w="1695" w:type="dxa"/>
          </w:tcPr>
          <w:p w:rsidR="00F000AD" w:rsidRPr="009720FF" w:rsidRDefault="00F000AD" w:rsidP="00F000AD">
            <w:pPr>
              <w:spacing w:before="120" w:after="120"/>
              <w:jc w:val="center"/>
              <w:rPr>
                <w:rFonts w:ascii="Times New Roman" w:hAnsi="Times New Roman" w:cs="Times New Roman"/>
                <w:b/>
                <w:noProof/>
                <w:sz w:val="20"/>
                <w:szCs w:val="20"/>
              </w:rPr>
            </w:pPr>
            <w:r w:rsidRPr="009720FF">
              <w:rPr>
                <w:rFonts w:ascii="Times New Roman" w:hAnsi="Times New Roman" w:cs="Times New Roman"/>
                <w:b/>
                <w:noProof/>
                <w:sz w:val="20"/>
                <w:szCs w:val="20"/>
              </w:rPr>
              <w:t>Transition</w:t>
            </w:r>
          </w:p>
        </w:tc>
        <w:tc>
          <w:tcPr>
            <w:tcW w:w="1660" w:type="dxa"/>
          </w:tcPr>
          <w:p w:rsidR="00F000AD" w:rsidRPr="009720FF" w:rsidRDefault="00F000AD" w:rsidP="00F000AD">
            <w:pPr>
              <w:spacing w:before="120" w:after="120"/>
              <w:jc w:val="center"/>
              <w:rPr>
                <w:rFonts w:ascii="Times New Roman" w:hAnsi="Times New Roman" w:cs="Times New Roman"/>
                <w:b/>
                <w:noProof/>
                <w:sz w:val="20"/>
                <w:szCs w:val="20"/>
              </w:rPr>
            </w:pPr>
            <w:r w:rsidRPr="009720FF">
              <w:rPr>
                <w:rFonts w:ascii="Times New Roman" w:hAnsi="Times New Roman" w:cs="Times New Roman"/>
                <w:b/>
                <w:noProof/>
                <w:sz w:val="20"/>
                <w:szCs w:val="20"/>
              </w:rPr>
              <w:t>Less developed</w:t>
            </w:r>
          </w:p>
        </w:tc>
      </w:tr>
      <w:tr w:rsidR="00F000AD" w:rsidRPr="009720FF" w:rsidTr="00F000AD">
        <w:tc>
          <w:tcPr>
            <w:tcW w:w="4193" w:type="dxa"/>
            <w:gridSpan w:val="2"/>
          </w:tcPr>
          <w:p w:rsidR="00F000AD" w:rsidRPr="009720FF" w:rsidRDefault="00F000AD" w:rsidP="00F000AD">
            <w:pPr>
              <w:spacing w:before="120" w:after="120"/>
              <w:rPr>
                <w:rFonts w:ascii="Times New Roman" w:hAnsi="Times New Roman" w:cs="Times New Roman"/>
                <w:b/>
                <w:noProof/>
                <w:sz w:val="20"/>
                <w:szCs w:val="20"/>
              </w:rPr>
            </w:pPr>
            <w:r w:rsidRPr="009720FF">
              <w:rPr>
                <w:rFonts w:ascii="Times New Roman" w:eastAsia="Times New Roman" w:hAnsi="Times New Roman" w:cs="Times New Roman"/>
                <w:b/>
                <w:noProof/>
                <w:sz w:val="18"/>
                <w:szCs w:val="20"/>
              </w:rPr>
              <w:t>Transfer within the programme* (complementary support) per category of region</w:t>
            </w:r>
          </w:p>
        </w:tc>
        <w:tc>
          <w:tcPr>
            <w:tcW w:w="1694" w:type="dxa"/>
            <w:shd w:val="clear" w:color="auto" w:fill="BFBFBF" w:themeFill="background1" w:themeFillShade="BF"/>
          </w:tcPr>
          <w:p w:rsidR="00F000AD" w:rsidRPr="009720FF" w:rsidRDefault="00F000AD" w:rsidP="00F000AD">
            <w:pPr>
              <w:spacing w:before="120" w:after="120"/>
              <w:rPr>
                <w:rFonts w:ascii="Times New Roman" w:hAnsi="Times New Roman" w:cs="Times New Roman"/>
                <w:noProof/>
                <w:sz w:val="20"/>
                <w:szCs w:val="20"/>
              </w:rPr>
            </w:pPr>
          </w:p>
        </w:tc>
        <w:tc>
          <w:tcPr>
            <w:tcW w:w="1695" w:type="dxa"/>
            <w:shd w:val="clear" w:color="auto" w:fill="BFBFBF" w:themeFill="background1" w:themeFillShade="BF"/>
          </w:tcPr>
          <w:p w:rsidR="00F000AD" w:rsidRPr="009720FF" w:rsidRDefault="00F000AD" w:rsidP="00F000AD">
            <w:pPr>
              <w:spacing w:before="120" w:after="120"/>
              <w:rPr>
                <w:rFonts w:ascii="Times New Roman" w:hAnsi="Times New Roman" w:cs="Times New Roman"/>
                <w:noProof/>
                <w:sz w:val="20"/>
                <w:szCs w:val="20"/>
              </w:rPr>
            </w:pPr>
          </w:p>
        </w:tc>
        <w:tc>
          <w:tcPr>
            <w:tcW w:w="1660" w:type="dxa"/>
            <w:shd w:val="clear" w:color="auto" w:fill="BFBFBF" w:themeFill="background1" w:themeFillShade="BF"/>
          </w:tcPr>
          <w:p w:rsidR="00F000AD" w:rsidRPr="009720FF" w:rsidRDefault="00F000AD" w:rsidP="00F000AD">
            <w:pPr>
              <w:spacing w:before="120" w:after="120"/>
              <w:rPr>
                <w:rFonts w:ascii="Times New Roman" w:hAnsi="Times New Roman" w:cs="Times New Roman"/>
                <w:noProof/>
                <w:sz w:val="20"/>
                <w:szCs w:val="20"/>
              </w:rPr>
            </w:pPr>
          </w:p>
        </w:tc>
      </w:tr>
      <w:tr w:rsidR="00F000AD" w:rsidRPr="009720FF" w:rsidTr="00F000AD">
        <w:tc>
          <w:tcPr>
            <w:tcW w:w="1845" w:type="dxa"/>
            <w:vMerge w:val="restart"/>
          </w:tcPr>
          <w:p w:rsidR="00F000AD" w:rsidRPr="009720FF" w:rsidRDefault="00F000AD" w:rsidP="00F000AD">
            <w:pPr>
              <w:spacing w:before="120" w:after="120"/>
              <w:rPr>
                <w:rFonts w:ascii="Times New Roman" w:hAnsi="Times New Roman" w:cs="Times New Roman"/>
                <w:b/>
                <w:noProof/>
                <w:sz w:val="20"/>
                <w:szCs w:val="20"/>
              </w:rPr>
            </w:pPr>
            <w:r w:rsidRPr="009720FF">
              <w:rPr>
                <w:rFonts w:ascii="Times New Roman" w:hAnsi="Times New Roman" w:cs="Times New Roman"/>
                <w:b/>
                <w:noProof/>
                <w:sz w:val="20"/>
                <w:szCs w:val="20"/>
              </w:rPr>
              <w:t>ERDF</w:t>
            </w:r>
          </w:p>
        </w:tc>
        <w:tc>
          <w:tcPr>
            <w:tcW w:w="2348" w:type="dxa"/>
          </w:tcPr>
          <w:p w:rsidR="00F000AD" w:rsidRPr="009720FF" w:rsidRDefault="00F000AD" w:rsidP="00F000AD">
            <w:pPr>
              <w:spacing w:before="120" w:after="120"/>
              <w:rPr>
                <w:rFonts w:ascii="Times New Roman" w:hAnsi="Times New Roman" w:cs="Times New Roman"/>
                <w:noProof/>
                <w:sz w:val="18"/>
                <w:szCs w:val="20"/>
              </w:rPr>
            </w:pPr>
            <w:r w:rsidRPr="009720FF">
              <w:rPr>
                <w:rFonts w:ascii="Times New Roman" w:hAnsi="Times New Roman" w:cs="Times New Roman"/>
                <w:noProof/>
                <w:sz w:val="18"/>
                <w:szCs w:val="20"/>
              </w:rPr>
              <w:t>More developed</w:t>
            </w:r>
          </w:p>
        </w:tc>
        <w:tc>
          <w:tcPr>
            <w:tcW w:w="1694" w:type="dxa"/>
          </w:tcPr>
          <w:p w:rsidR="00F000AD" w:rsidRPr="009720FF" w:rsidRDefault="00F000AD" w:rsidP="00F000AD">
            <w:pPr>
              <w:spacing w:before="120" w:after="120"/>
              <w:rPr>
                <w:rFonts w:ascii="Times New Roman" w:hAnsi="Times New Roman" w:cs="Times New Roman"/>
                <w:noProof/>
                <w:sz w:val="20"/>
                <w:szCs w:val="20"/>
              </w:rPr>
            </w:pPr>
          </w:p>
        </w:tc>
        <w:tc>
          <w:tcPr>
            <w:tcW w:w="1695" w:type="dxa"/>
          </w:tcPr>
          <w:p w:rsidR="00F000AD" w:rsidRPr="009720FF" w:rsidRDefault="00F000AD" w:rsidP="00F000AD">
            <w:pPr>
              <w:spacing w:before="120" w:after="120"/>
              <w:rPr>
                <w:rFonts w:ascii="Times New Roman" w:hAnsi="Times New Roman" w:cs="Times New Roman"/>
                <w:noProof/>
                <w:sz w:val="20"/>
                <w:szCs w:val="20"/>
              </w:rPr>
            </w:pPr>
          </w:p>
        </w:tc>
        <w:tc>
          <w:tcPr>
            <w:tcW w:w="1660" w:type="dxa"/>
          </w:tcPr>
          <w:p w:rsidR="00F000AD" w:rsidRPr="009720FF" w:rsidRDefault="00F000AD" w:rsidP="00F000AD">
            <w:pPr>
              <w:spacing w:before="120" w:after="120"/>
              <w:rPr>
                <w:rFonts w:ascii="Times New Roman" w:hAnsi="Times New Roman" w:cs="Times New Roman"/>
                <w:noProof/>
                <w:sz w:val="20"/>
                <w:szCs w:val="20"/>
              </w:rPr>
            </w:pPr>
          </w:p>
        </w:tc>
      </w:tr>
      <w:tr w:rsidR="00F000AD" w:rsidRPr="009720FF" w:rsidTr="00F000AD">
        <w:tc>
          <w:tcPr>
            <w:tcW w:w="1845" w:type="dxa"/>
            <w:vMerge/>
          </w:tcPr>
          <w:p w:rsidR="00F000AD" w:rsidRPr="009720FF" w:rsidRDefault="00F000AD" w:rsidP="00F000AD">
            <w:pPr>
              <w:spacing w:before="120" w:after="120"/>
              <w:rPr>
                <w:rFonts w:ascii="Times New Roman" w:hAnsi="Times New Roman" w:cs="Times New Roman"/>
                <w:noProof/>
                <w:sz w:val="20"/>
                <w:szCs w:val="20"/>
              </w:rPr>
            </w:pPr>
          </w:p>
        </w:tc>
        <w:tc>
          <w:tcPr>
            <w:tcW w:w="2348" w:type="dxa"/>
          </w:tcPr>
          <w:p w:rsidR="00F000AD" w:rsidRPr="009720FF" w:rsidRDefault="00F000AD" w:rsidP="00F000AD">
            <w:pPr>
              <w:spacing w:before="120" w:after="120"/>
              <w:rPr>
                <w:rFonts w:ascii="Times New Roman" w:hAnsi="Times New Roman" w:cs="Times New Roman"/>
                <w:noProof/>
                <w:sz w:val="18"/>
                <w:szCs w:val="20"/>
              </w:rPr>
            </w:pPr>
            <w:r w:rsidRPr="009720FF">
              <w:rPr>
                <w:rFonts w:ascii="Times New Roman" w:hAnsi="Times New Roman" w:cs="Times New Roman"/>
                <w:noProof/>
                <w:sz w:val="18"/>
                <w:szCs w:val="20"/>
              </w:rPr>
              <w:t>Transition</w:t>
            </w:r>
          </w:p>
        </w:tc>
        <w:tc>
          <w:tcPr>
            <w:tcW w:w="1694" w:type="dxa"/>
          </w:tcPr>
          <w:p w:rsidR="00F000AD" w:rsidRPr="009720FF" w:rsidRDefault="00F000AD" w:rsidP="00F000AD">
            <w:pPr>
              <w:spacing w:before="120" w:after="120"/>
              <w:rPr>
                <w:rFonts w:ascii="Times New Roman" w:hAnsi="Times New Roman" w:cs="Times New Roman"/>
                <w:noProof/>
                <w:sz w:val="20"/>
                <w:szCs w:val="20"/>
              </w:rPr>
            </w:pPr>
          </w:p>
        </w:tc>
        <w:tc>
          <w:tcPr>
            <w:tcW w:w="1695" w:type="dxa"/>
          </w:tcPr>
          <w:p w:rsidR="00F000AD" w:rsidRPr="009720FF" w:rsidRDefault="00F000AD" w:rsidP="00F000AD">
            <w:pPr>
              <w:spacing w:before="120" w:after="120"/>
              <w:rPr>
                <w:rFonts w:ascii="Times New Roman" w:hAnsi="Times New Roman" w:cs="Times New Roman"/>
                <w:noProof/>
                <w:sz w:val="20"/>
                <w:szCs w:val="20"/>
              </w:rPr>
            </w:pPr>
          </w:p>
        </w:tc>
        <w:tc>
          <w:tcPr>
            <w:tcW w:w="1660" w:type="dxa"/>
          </w:tcPr>
          <w:p w:rsidR="00F000AD" w:rsidRPr="009720FF" w:rsidRDefault="00F000AD" w:rsidP="00F000AD">
            <w:pPr>
              <w:spacing w:before="120" w:after="120"/>
              <w:rPr>
                <w:rFonts w:ascii="Times New Roman" w:hAnsi="Times New Roman" w:cs="Times New Roman"/>
                <w:noProof/>
                <w:sz w:val="20"/>
                <w:szCs w:val="20"/>
              </w:rPr>
            </w:pPr>
          </w:p>
        </w:tc>
      </w:tr>
      <w:tr w:rsidR="00F000AD" w:rsidRPr="009720FF" w:rsidTr="00F000AD">
        <w:tc>
          <w:tcPr>
            <w:tcW w:w="1845" w:type="dxa"/>
            <w:vMerge/>
          </w:tcPr>
          <w:p w:rsidR="00F000AD" w:rsidRPr="009720FF" w:rsidRDefault="00F000AD" w:rsidP="00F000AD">
            <w:pPr>
              <w:spacing w:before="120" w:after="120"/>
              <w:rPr>
                <w:rFonts w:ascii="Times New Roman" w:hAnsi="Times New Roman" w:cs="Times New Roman"/>
                <w:noProof/>
                <w:sz w:val="20"/>
                <w:szCs w:val="20"/>
              </w:rPr>
            </w:pPr>
          </w:p>
        </w:tc>
        <w:tc>
          <w:tcPr>
            <w:tcW w:w="2348" w:type="dxa"/>
          </w:tcPr>
          <w:p w:rsidR="00F000AD" w:rsidRPr="009720FF" w:rsidRDefault="00F000AD" w:rsidP="00F000AD">
            <w:pPr>
              <w:spacing w:before="120" w:after="120"/>
              <w:rPr>
                <w:rFonts w:ascii="Times New Roman" w:hAnsi="Times New Roman" w:cs="Times New Roman"/>
                <w:noProof/>
                <w:sz w:val="18"/>
                <w:szCs w:val="20"/>
              </w:rPr>
            </w:pPr>
            <w:r w:rsidRPr="009720FF">
              <w:rPr>
                <w:rFonts w:ascii="Times New Roman" w:hAnsi="Times New Roman" w:cs="Times New Roman"/>
                <w:noProof/>
                <w:sz w:val="18"/>
                <w:szCs w:val="20"/>
              </w:rPr>
              <w:t>Less developed</w:t>
            </w:r>
          </w:p>
        </w:tc>
        <w:tc>
          <w:tcPr>
            <w:tcW w:w="1694" w:type="dxa"/>
          </w:tcPr>
          <w:p w:rsidR="00F000AD" w:rsidRPr="009720FF" w:rsidRDefault="00F000AD" w:rsidP="00F000AD">
            <w:pPr>
              <w:spacing w:before="120" w:after="120"/>
              <w:rPr>
                <w:rFonts w:ascii="Times New Roman" w:hAnsi="Times New Roman" w:cs="Times New Roman"/>
                <w:noProof/>
                <w:sz w:val="20"/>
                <w:szCs w:val="20"/>
              </w:rPr>
            </w:pPr>
          </w:p>
        </w:tc>
        <w:tc>
          <w:tcPr>
            <w:tcW w:w="1695" w:type="dxa"/>
          </w:tcPr>
          <w:p w:rsidR="00F000AD" w:rsidRPr="009720FF" w:rsidRDefault="00F000AD" w:rsidP="00F000AD">
            <w:pPr>
              <w:spacing w:before="120" w:after="120"/>
              <w:rPr>
                <w:rFonts w:ascii="Times New Roman" w:hAnsi="Times New Roman" w:cs="Times New Roman"/>
                <w:noProof/>
                <w:sz w:val="20"/>
                <w:szCs w:val="20"/>
              </w:rPr>
            </w:pPr>
          </w:p>
        </w:tc>
        <w:tc>
          <w:tcPr>
            <w:tcW w:w="1660" w:type="dxa"/>
          </w:tcPr>
          <w:p w:rsidR="00F000AD" w:rsidRPr="009720FF" w:rsidRDefault="00F000AD" w:rsidP="00F000AD">
            <w:pPr>
              <w:spacing w:before="120" w:after="120"/>
              <w:rPr>
                <w:rFonts w:ascii="Times New Roman" w:hAnsi="Times New Roman" w:cs="Times New Roman"/>
                <w:noProof/>
                <w:sz w:val="20"/>
                <w:szCs w:val="20"/>
              </w:rPr>
            </w:pPr>
          </w:p>
        </w:tc>
      </w:tr>
      <w:tr w:rsidR="00F000AD" w:rsidRPr="009720FF" w:rsidTr="00F000AD">
        <w:tc>
          <w:tcPr>
            <w:tcW w:w="1845" w:type="dxa"/>
            <w:vMerge/>
          </w:tcPr>
          <w:p w:rsidR="00F000AD" w:rsidRPr="009720FF" w:rsidRDefault="00F000AD" w:rsidP="00F000AD">
            <w:pPr>
              <w:spacing w:before="120" w:after="120"/>
              <w:rPr>
                <w:rFonts w:ascii="Times New Roman" w:hAnsi="Times New Roman" w:cs="Times New Roman"/>
                <w:noProof/>
                <w:sz w:val="20"/>
                <w:szCs w:val="20"/>
              </w:rPr>
            </w:pPr>
          </w:p>
        </w:tc>
        <w:tc>
          <w:tcPr>
            <w:tcW w:w="2348" w:type="dxa"/>
          </w:tcPr>
          <w:p w:rsidR="00F000AD" w:rsidRPr="009720FF" w:rsidRDefault="00F000AD" w:rsidP="00F000AD">
            <w:pPr>
              <w:spacing w:before="120" w:after="120"/>
              <w:rPr>
                <w:rFonts w:ascii="Times New Roman" w:hAnsi="Times New Roman" w:cs="Times New Roman"/>
                <w:noProof/>
                <w:sz w:val="18"/>
                <w:szCs w:val="20"/>
              </w:rPr>
            </w:pPr>
            <w:r w:rsidRPr="009720FF">
              <w:rPr>
                <w:rFonts w:ascii="Times New Roman" w:hAnsi="Times New Roman" w:cs="Times New Roman"/>
                <w:noProof/>
                <w:sz w:val="18"/>
                <w:szCs w:val="20"/>
              </w:rPr>
              <w:t>Outermost and northern sparsely populated</w:t>
            </w:r>
          </w:p>
        </w:tc>
        <w:tc>
          <w:tcPr>
            <w:tcW w:w="1694" w:type="dxa"/>
          </w:tcPr>
          <w:p w:rsidR="00F000AD" w:rsidRPr="009720FF" w:rsidRDefault="00F000AD" w:rsidP="00F000AD">
            <w:pPr>
              <w:spacing w:before="120" w:after="120"/>
              <w:rPr>
                <w:rFonts w:ascii="Times New Roman" w:hAnsi="Times New Roman" w:cs="Times New Roman"/>
                <w:noProof/>
                <w:sz w:val="20"/>
                <w:szCs w:val="20"/>
              </w:rPr>
            </w:pPr>
          </w:p>
        </w:tc>
        <w:tc>
          <w:tcPr>
            <w:tcW w:w="1695" w:type="dxa"/>
          </w:tcPr>
          <w:p w:rsidR="00F000AD" w:rsidRPr="009720FF" w:rsidRDefault="00F000AD" w:rsidP="00F000AD">
            <w:pPr>
              <w:spacing w:before="120" w:after="120"/>
              <w:rPr>
                <w:rFonts w:ascii="Times New Roman" w:hAnsi="Times New Roman" w:cs="Times New Roman"/>
                <w:noProof/>
                <w:sz w:val="20"/>
                <w:szCs w:val="20"/>
              </w:rPr>
            </w:pPr>
          </w:p>
        </w:tc>
        <w:tc>
          <w:tcPr>
            <w:tcW w:w="1660" w:type="dxa"/>
          </w:tcPr>
          <w:p w:rsidR="00F000AD" w:rsidRPr="009720FF" w:rsidRDefault="00F000AD" w:rsidP="00F000AD">
            <w:pPr>
              <w:spacing w:before="120" w:after="120"/>
              <w:rPr>
                <w:rFonts w:ascii="Times New Roman" w:hAnsi="Times New Roman" w:cs="Times New Roman"/>
                <w:noProof/>
                <w:sz w:val="20"/>
                <w:szCs w:val="20"/>
              </w:rPr>
            </w:pPr>
          </w:p>
        </w:tc>
      </w:tr>
      <w:tr w:rsidR="00F000AD" w:rsidRPr="009720FF" w:rsidTr="00F000AD">
        <w:tc>
          <w:tcPr>
            <w:tcW w:w="1845" w:type="dxa"/>
            <w:vMerge w:val="restart"/>
          </w:tcPr>
          <w:p w:rsidR="00F000AD" w:rsidRPr="009720FF" w:rsidRDefault="00F000AD" w:rsidP="00F000AD">
            <w:pPr>
              <w:spacing w:before="120" w:after="120"/>
              <w:rPr>
                <w:rFonts w:ascii="Times New Roman" w:hAnsi="Times New Roman" w:cs="Times New Roman"/>
                <w:b/>
                <w:noProof/>
                <w:sz w:val="20"/>
                <w:szCs w:val="20"/>
              </w:rPr>
            </w:pPr>
            <w:r w:rsidRPr="009720FF">
              <w:rPr>
                <w:rFonts w:ascii="Times New Roman" w:hAnsi="Times New Roman" w:cs="Times New Roman"/>
                <w:b/>
                <w:noProof/>
                <w:sz w:val="20"/>
                <w:szCs w:val="20"/>
              </w:rPr>
              <w:t>ESF+</w:t>
            </w:r>
          </w:p>
        </w:tc>
        <w:tc>
          <w:tcPr>
            <w:tcW w:w="2348" w:type="dxa"/>
          </w:tcPr>
          <w:p w:rsidR="00F000AD" w:rsidRPr="009720FF" w:rsidRDefault="00F000AD" w:rsidP="00F000AD">
            <w:pPr>
              <w:spacing w:before="60" w:after="60"/>
              <w:rPr>
                <w:rFonts w:ascii="Times New Roman" w:eastAsia="Times New Roman" w:hAnsi="Times New Roman" w:cs="Times New Roman"/>
                <w:noProof/>
                <w:sz w:val="18"/>
                <w:szCs w:val="20"/>
              </w:rPr>
            </w:pPr>
            <w:r w:rsidRPr="009720FF">
              <w:rPr>
                <w:rFonts w:ascii="Times New Roman" w:eastAsia="Times New Roman" w:hAnsi="Times New Roman" w:cs="Times New Roman"/>
                <w:noProof/>
                <w:sz w:val="18"/>
                <w:szCs w:val="20"/>
              </w:rPr>
              <w:t>More developed</w:t>
            </w:r>
          </w:p>
        </w:tc>
        <w:tc>
          <w:tcPr>
            <w:tcW w:w="1694" w:type="dxa"/>
          </w:tcPr>
          <w:p w:rsidR="00F000AD" w:rsidRPr="009720FF" w:rsidRDefault="00F000AD" w:rsidP="00F000AD">
            <w:pPr>
              <w:spacing w:before="120" w:after="120"/>
              <w:rPr>
                <w:rFonts w:ascii="Times New Roman" w:hAnsi="Times New Roman" w:cs="Times New Roman"/>
                <w:noProof/>
                <w:sz w:val="20"/>
                <w:szCs w:val="20"/>
              </w:rPr>
            </w:pPr>
          </w:p>
        </w:tc>
        <w:tc>
          <w:tcPr>
            <w:tcW w:w="1695" w:type="dxa"/>
          </w:tcPr>
          <w:p w:rsidR="00F000AD" w:rsidRPr="009720FF" w:rsidRDefault="00F000AD" w:rsidP="00F000AD">
            <w:pPr>
              <w:spacing w:before="120" w:after="120"/>
              <w:rPr>
                <w:rFonts w:ascii="Times New Roman" w:hAnsi="Times New Roman" w:cs="Times New Roman"/>
                <w:noProof/>
                <w:sz w:val="20"/>
                <w:szCs w:val="20"/>
              </w:rPr>
            </w:pPr>
          </w:p>
        </w:tc>
        <w:tc>
          <w:tcPr>
            <w:tcW w:w="1660" w:type="dxa"/>
          </w:tcPr>
          <w:p w:rsidR="00F000AD" w:rsidRPr="009720FF" w:rsidRDefault="00F000AD" w:rsidP="00F000AD">
            <w:pPr>
              <w:spacing w:before="120" w:after="120"/>
              <w:rPr>
                <w:rFonts w:ascii="Times New Roman" w:hAnsi="Times New Roman" w:cs="Times New Roman"/>
                <w:noProof/>
                <w:sz w:val="20"/>
                <w:szCs w:val="20"/>
              </w:rPr>
            </w:pPr>
          </w:p>
        </w:tc>
      </w:tr>
      <w:tr w:rsidR="00F000AD" w:rsidRPr="009720FF" w:rsidTr="00F000AD">
        <w:tc>
          <w:tcPr>
            <w:tcW w:w="1845" w:type="dxa"/>
            <w:vMerge/>
          </w:tcPr>
          <w:p w:rsidR="00F000AD" w:rsidRPr="009720FF" w:rsidRDefault="00F000AD" w:rsidP="00F000AD">
            <w:pPr>
              <w:spacing w:before="120" w:after="120"/>
              <w:rPr>
                <w:rFonts w:ascii="Times New Roman" w:hAnsi="Times New Roman" w:cs="Times New Roman"/>
                <w:noProof/>
                <w:sz w:val="20"/>
                <w:szCs w:val="20"/>
              </w:rPr>
            </w:pPr>
          </w:p>
        </w:tc>
        <w:tc>
          <w:tcPr>
            <w:tcW w:w="2348" w:type="dxa"/>
          </w:tcPr>
          <w:p w:rsidR="00F000AD" w:rsidRPr="009720FF" w:rsidRDefault="00F000AD" w:rsidP="00F000AD">
            <w:pPr>
              <w:spacing w:before="60" w:after="60"/>
              <w:rPr>
                <w:rFonts w:ascii="Times New Roman" w:eastAsia="Times New Roman" w:hAnsi="Times New Roman" w:cs="Times New Roman"/>
                <w:noProof/>
                <w:sz w:val="18"/>
                <w:szCs w:val="20"/>
              </w:rPr>
            </w:pPr>
            <w:r w:rsidRPr="009720FF">
              <w:rPr>
                <w:rFonts w:ascii="Times New Roman" w:hAnsi="Times New Roman" w:cs="Times New Roman"/>
                <w:noProof/>
                <w:sz w:val="18"/>
                <w:szCs w:val="20"/>
              </w:rPr>
              <w:t>Transition</w:t>
            </w:r>
          </w:p>
        </w:tc>
        <w:tc>
          <w:tcPr>
            <w:tcW w:w="1694" w:type="dxa"/>
          </w:tcPr>
          <w:p w:rsidR="00F000AD" w:rsidRPr="009720FF" w:rsidRDefault="00F000AD" w:rsidP="00F000AD">
            <w:pPr>
              <w:spacing w:before="120" w:after="120"/>
              <w:rPr>
                <w:rFonts w:ascii="Times New Roman" w:hAnsi="Times New Roman" w:cs="Times New Roman"/>
                <w:noProof/>
                <w:sz w:val="20"/>
                <w:szCs w:val="20"/>
              </w:rPr>
            </w:pPr>
          </w:p>
        </w:tc>
        <w:tc>
          <w:tcPr>
            <w:tcW w:w="1695" w:type="dxa"/>
          </w:tcPr>
          <w:p w:rsidR="00F000AD" w:rsidRPr="009720FF" w:rsidRDefault="00F000AD" w:rsidP="00F000AD">
            <w:pPr>
              <w:spacing w:before="120" w:after="120"/>
              <w:rPr>
                <w:rFonts w:ascii="Times New Roman" w:hAnsi="Times New Roman" w:cs="Times New Roman"/>
                <w:noProof/>
                <w:sz w:val="20"/>
                <w:szCs w:val="20"/>
              </w:rPr>
            </w:pPr>
          </w:p>
        </w:tc>
        <w:tc>
          <w:tcPr>
            <w:tcW w:w="1660" w:type="dxa"/>
          </w:tcPr>
          <w:p w:rsidR="00F000AD" w:rsidRPr="009720FF" w:rsidRDefault="00F000AD" w:rsidP="00F000AD">
            <w:pPr>
              <w:spacing w:before="120" w:after="120"/>
              <w:rPr>
                <w:rFonts w:ascii="Times New Roman" w:hAnsi="Times New Roman" w:cs="Times New Roman"/>
                <w:noProof/>
                <w:sz w:val="20"/>
                <w:szCs w:val="20"/>
              </w:rPr>
            </w:pPr>
          </w:p>
        </w:tc>
      </w:tr>
      <w:tr w:rsidR="00F000AD" w:rsidRPr="009720FF" w:rsidTr="00F000AD">
        <w:tc>
          <w:tcPr>
            <w:tcW w:w="1845" w:type="dxa"/>
            <w:vMerge/>
          </w:tcPr>
          <w:p w:rsidR="00F000AD" w:rsidRPr="009720FF" w:rsidRDefault="00F000AD" w:rsidP="00F000AD">
            <w:pPr>
              <w:spacing w:before="120" w:after="120"/>
              <w:rPr>
                <w:rFonts w:ascii="Times New Roman" w:hAnsi="Times New Roman" w:cs="Times New Roman"/>
                <w:noProof/>
                <w:sz w:val="20"/>
                <w:szCs w:val="20"/>
              </w:rPr>
            </w:pPr>
          </w:p>
        </w:tc>
        <w:tc>
          <w:tcPr>
            <w:tcW w:w="2348" w:type="dxa"/>
          </w:tcPr>
          <w:p w:rsidR="00F000AD" w:rsidRPr="009720FF" w:rsidRDefault="00F000AD" w:rsidP="00F000AD">
            <w:pPr>
              <w:spacing w:before="60" w:after="60"/>
              <w:rPr>
                <w:rFonts w:ascii="Times New Roman" w:hAnsi="Times New Roman" w:cs="Times New Roman"/>
                <w:noProof/>
                <w:sz w:val="18"/>
                <w:szCs w:val="20"/>
              </w:rPr>
            </w:pPr>
            <w:r w:rsidRPr="009720FF">
              <w:rPr>
                <w:rFonts w:ascii="Times New Roman" w:eastAsia="Times New Roman" w:hAnsi="Times New Roman" w:cs="Times New Roman"/>
                <w:noProof/>
                <w:sz w:val="18"/>
                <w:szCs w:val="20"/>
              </w:rPr>
              <w:t>Less developed</w:t>
            </w:r>
          </w:p>
        </w:tc>
        <w:tc>
          <w:tcPr>
            <w:tcW w:w="1694" w:type="dxa"/>
          </w:tcPr>
          <w:p w:rsidR="00F000AD" w:rsidRPr="009720FF" w:rsidRDefault="00F000AD" w:rsidP="00F000AD">
            <w:pPr>
              <w:spacing w:before="120" w:after="120"/>
              <w:rPr>
                <w:rFonts w:ascii="Times New Roman" w:hAnsi="Times New Roman" w:cs="Times New Roman"/>
                <w:noProof/>
                <w:sz w:val="20"/>
                <w:szCs w:val="20"/>
              </w:rPr>
            </w:pPr>
          </w:p>
        </w:tc>
        <w:tc>
          <w:tcPr>
            <w:tcW w:w="1695" w:type="dxa"/>
          </w:tcPr>
          <w:p w:rsidR="00F000AD" w:rsidRPr="009720FF" w:rsidRDefault="00F000AD" w:rsidP="00F000AD">
            <w:pPr>
              <w:spacing w:before="120" w:after="120"/>
              <w:rPr>
                <w:rFonts w:ascii="Times New Roman" w:hAnsi="Times New Roman" w:cs="Times New Roman"/>
                <w:noProof/>
                <w:sz w:val="20"/>
                <w:szCs w:val="20"/>
              </w:rPr>
            </w:pPr>
          </w:p>
        </w:tc>
        <w:tc>
          <w:tcPr>
            <w:tcW w:w="1660" w:type="dxa"/>
          </w:tcPr>
          <w:p w:rsidR="00F000AD" w:rsidRPr="009720FF" w:rsidRDefault="00F000AD" w:rsidP="00F000AD">
            <w:pPr>
              <w:spacing w:before="120" w:after="120"/>
              <w:rPr>
                <w:rFonts w:ascii="Times New Roman" w:hAnsi="Times New Roman" w:cs="Times New Roman"/>
                <w:noProof/>
                <w:sz w:val="20"/>
                <w:szCs w:val="20"/>
              </w:rPr>
            </w:pPr>
          </w:p>
        </w:tc>
      </w:tr>
      <w:tr w:rsidR="00F000AD" w:rsidRPr="009720FF" w:rsidTr="00F000AD">
        <w:tc>
          <w:tcPr>
            <w:tcW w:w="1845" w:type="dxa"/>
            <w:vMerge/>
          </w:tcPr>
          <w:p w:rsidR="00F000AD" w:rsidRPr="009720FF" w:rsidRDefault="00F000AD" w:rsidP="00F000AD">
            <w:pPr>
              <w:spacing w:before="120" w:after="120"/>
              <w:rPr>
                <w:rFonts w:ascii="Times New Roman" w:hAnsi="Times New Roman" w:cs="Times New Roman"/>
                <w:noProof/>
                <w:sz w:val="20"/>
                <w:szCs w:val="20"/>
              </w:rPr>
            </w:pPr>
          </w:p>
        </w:tc>
        <w:tc>
          <w:tcPr>
            <w:tcW w:w="2348" w:type="dxa"/>
          </w:tcPr>
          <w:p w:rsidR="00F000AD" w:rsidRPr="009720FF" w:rsidRDefault="00F000AD" w:rsidP="00F000AD">
            <w:pPr>
              <w:spacing w:before="60" w:after="60"/>
              <w:rPr>
                <w:rFonts w:ascii="Times New Roman" w:eastAsia="Times New Roman" w:hAnsi="Times New Roman" w:cs="Times New Roman"/>
                <w:noProof/>
                <w:sz w:val="18"/>
                <w:szCs w:val="20"/>
              </w:rPr>
            </w:pPr>
            <w:r w:rsidRPr="009720FF">
              <w:rPr>
                <w:rFonts w:ascii="Times New Roman" w:hAnsi="Times New Roman" w:cs="Times New Roman"/>
                <w:noProof/>
                <w:sz w:val="18"/>
                <w:szCs w:val="20"/>
              </w:rPr>
              <w:t>Outermost and northern sparsely populated</w:t>
            </w:r>
          </w:p>
        </w:tc>
        <w:tc>
          <w:tcPr>
            <w:tcW w:w="1694" w:type="dxa"/>
          </w:tcPr>
          <w:p w:rsidR="00F000AD" w:rsidRPr="009720FF" w:rsidRDefault="00F000AD" w:rsidP="00F000AD">
            <w:pPr>
              <w:spacing w:before="120" w:after="120"/>
              <w:rPr>
                <w:rFonts w:ascii="Times New Roman" w:hAnsi="Times New Roman" w:cs="Times New Roman"/>
                <w:noProof/>
                <w:sz w:val="20"/>
                <w:szCs w:val="20"/>
              </w:rPr>
            </w:pPr>
          </w:p>
        </w:tc>
        <w:tc>
          <w:tcPr>
            <w:tcW w:w="1695" w:type="dxa"/>
          </w:tcPr>
          <w:p w:rsidR="00F000AD" w:rsidRPr="009720FF" w:rsidRDefault="00F000AD" w:rsidP="00F000AD">
            <w:pPr>
              <w:spacing w:before="120" w:after="120"/>
              <w:rPr>
                <w:rFonts w:ascii="Times New Roman" w:hAnsi="Times New Roman" w:cs="Times New Roman"/>
                <w:noProof/>
                <w:sz w:val="20"/>
                <w:szCs w:val="20"/>
              </w:rPr>
            </w:pPr>
          </w:p>
        </w:tc>
        <w:tc>
          <w:tcPr>
            <w:tcW w:w="1660" w:type="dxa"/>
          </w:tcPr>
          <w:p w:rsidR="00F000AD" w:rsidRPr="009720FF" w:rsidRDefault="00F000AD" w:rsidP="00F000AD">
            <w:pPr>
              <w:spacing w:before="120" w:after="120"/>
              <w:rPr>
                <w:rFonts w:ascii="Times New Roman" w:hAnsi="Times New Roman" w:cs="Times New Roman"/>
                <w:noProof/>
                <w:sz w:val="20"/>
                <w:szCs w:val="20"/>
              </w:rPr>
            </w:pPr>
          </w:p>
        </w:tc>
      </w:tr>
      <w:tr w:rsidR="00F000AD" w:rsidRPr="009720FF" w:rsidTr="00F000AD">
        <w:tc>
          <w:tcPr>
            <w:tcW w:w="1845" w:type="dxa"/>
          </w:tcPr>
          <w:p w:rsidR="00F000AD" w:rsidRPr="009720FF" w:rsidRDefault="00F000AD" w:rsidP="00F000AD">
            <w:pPr>
              <w:spacing w:before="120" w:after="120"/>
              <w:rPr>
                <w:rFonts w:ascii="Times New Roman" w:hAnsi="Times New Roman" w:cs="Times New Roman"/>
                <w:b/>
                <w:noProof/>
                <w:sz w:val="20"/>
                <w:szCs w:val="20"/>
              </w:rPr>
            </w:pPr>
            <w:r w:rsidRPr="009720FF">
              <w:rPr>
                <w:rFonts w:ascii="Times New Roman" w:hAnsi="Times New Roman" w:cs="Times New Roman"/>
                <w:b/>
                <w:noProof/>
                <w:sz w:val="20"/>
                <w:szCs w:val="20"/>
              </w:rPr>
              <w:t xml:space="preserve">Total </w:t>
            </w:r>
          </w:p>
        </w:tc>
        <w:tc>
          <w:tcPr>
            <w:tcW w:w="2348" w:type="dxa"/>
          </w:tcPr>
          <w:p w:rsidR="00F000AD" w:rsidRPr="009720FF" w:rsidRDefault="00F000AD" w:rsidP="00F000AD">
            <w:pPr>
              <w:spacing w:before="120" w:after="120"/>
              <w:rPr>
                <w:rFonts w:ascii="Times New Roman" w:hAnsi="Times New Roman" w:cs="Times New Roman"/>
                <w:noProof/>
                <w:sz w:val="18"/>
                <w:szCs w:val="20"/>
              </w:rPr>
            </w:pPr>
            <w:r w:rsidRPr="009720FF">
              <w:rPr>
                <w:rFonts w:ascii="Times New Roman" w:hAnsi="Times New Roman" w:cs="Times New Roman"/>
                <w:noProof/>
                <w:sz w:val="18"/>
                <w:szCs w:val="20"/>
              </w:rPr>
              <w:t>More developed</w:t>
            </w:r>
          </w:p>
        </w:tc>
        <w:tc>
          <w:tcPr>
            <w:tcW w:w="1694" w:type="dxa"/>
          </w:tcPr>
          <w:p w:rsidR="00F000AD" w:rsidRPr="009720FF" w:rsidRDefault="00F000AD" w:rsidP="00F000AD">
            <w:pPr>
              <w:spacing w:before="120" w:after="120"/>
              <w:rPr>
                <w:rFonts w:ascii="Times New Roman" w:hAnsi="Times New Roman" w:cs="Times New Roman"/>
                <w:noProof/>
                <w:sz w:val="20"/>
                <w:szCs w:val="20"/>
              </w:rPr>
            </w:pPr>
          </w:p>
        </w:tc>
        <w:tc>
          <w:tcPr>
            <w:tcW w:w="1695" w:type="dxa"/>
          </w:tcPr>
          <w:p w:rsidR="00F000AD" w:rsidRPr="009720FF" w:rsidRDefault="00F000AD" w:rsidP="00F000AD">
            <w:pPr>
              <w:spacing w:before="120" w:after="120"/>
              <w:rPr>
                <w:rFonts w:ascii="Times New Roman" w:hAnsi="Times New Roman" w:cs="Times New Roman"/>
                <w:noProof/>
                <w:sz w:val="20"/>
                <w:szCs w:val="20"/>
              </w:rPr>
            </w:pPr>
          </w:p>
        </w:tc>
        <w:tc>
          <w:tcPr>
            <w:tcW w:w="1660" w:type="dxa"/>
          </w:tcPr>
          <w:p w:rsidR="00F000AD" w:rsidRPr="009720FF" w:rsidRDefault="00F000AD" w:rsidP="00F000AD">
            <w:pPr>
              <w:spacing w:before="120" w:after="120"/>
              <w:rPr>
                <w:rFonts w:ascii="Times New Roman" w:hAnsi="Times New Roman" w:cs="Times New Roman"/>
                <w:noProof/>
                <w:sz w:val="20"/>
                <w:szCs w:val="20"/>
              </w:rPr>
            </w:pPr>
          </w:p>
        </w:tc>
      </w:tr>
      <w:tr w:rsidR="00F000AD" w:rsidRPr="009720FF" w:rsidTr="00F000AD">
        <w:tc>
          <w:tcPr>
            <w:tcW w:w="1845" w:type="dxa"/>
          </w:tcPr>
          <w:p w:rsidR="00F000AD" w:rsidRPr="009720FF" w:rsidRDefault="00F000AD" w:rsidP="00F000AD">
            <w:pPr>
              <w:spacing w:before="120" w:after="120"/>
              <w:rPr>
                <w:rFonts w:ascii="Times New Roman" w:hAnsi="Times New Roman" w:cs="Times New Roman"/>
                <w:noProof/>
                <w:sz w:val="20"/>
                <w:szCs w:val="20"/>
              </w:rPr>
            </w:pPr>
          </w:p>
        </w:tc>
        <w:tc>
          <w:tcPr>
            <w:tcW w:w="2348" w:type="dxa"/>
          </w:tcPr>
          <w:p w:rsidR="00F000AD" w:rsidRPr="009720FF" w:rsidRDefault="00F000AD" w:rsidP="00F000AD">
            <w:pPr>
              <w:spacing w:before="120" w:after="120"/>
              <w:rPr>
                <w:rFonts w:ascii="Times New Roman" w:hAnsi="Times New Roman" w:cs="Times New Roman"/>
                <w:noProof/>
                <w:sz w:val="18"/>
                <w:szCs w:val="20"/>
              </w:rPr>
            </w:pPr>
            <w:r w:rsidRPr="009720FF">
              <w:rPr>
                <w:rFonts w:ascii="Times New Roman" w:hAnsi="Times New Roman" w:cs="Times New Roman"/>
                <w:noProof/>
                <w:sz w:val="18"/>
                <w:szCs w:val="20"/>
              </w:rPr>
              <w:t>Transition</w:t>
            </w:r>
          </w:p>
        </w:tc>
        <w:tc>
          <w:tcPr>
            <w:tcW w:w="1694" w:type="dxa"/>
          </w:tcPr>
          <w:p w:rsidR="00F000AD" w:rsidRPr="009720FF" w:rsidRDefault="00F000AD" w:rsidP="00F000AD">
            <w:pPr>
              <w:spacing w:before="120" w:after="120"/>
              <w:rPr>
                <w:rFonts w:ascii="Times New Roman" w:hAnsi="Times New Roman" w:cs="Times New Roman"/>
                <w:noProof/>
                <w:sz w:val="20"/>
                <w:szCs w:val="20"/>
              </w:rPr>
            </w:pPr>
          </w:p>
        </w:tc>
        <w:tc>
          <w:tcPr>
            <w:tcW w:w="1695" w:type="dxa"/>
          </w:tcPr>
          <w:p w:rsidR="00F000AD" w:rsidRPr="009720FF" w:rsidRDefault="00F000AD" w:rsidP="00F000AD">
            <w:pPr>
              <w:spacing w:before="120" w:after="120"/>
              <w:rPr>
                <w:rFonts w:ascii="Times New Roman" w:hAnsi="Times New Roman" w:cs="Times New Roman"/>
                <w:noProof/>
                <w:sz w:val="20"/>
                <w:szCs w:val="20"/>
              </w:rPr>
            </w:pPr>
          </w:p>
        </w:tc>
        <w:tc>
          <w:tcPr>
            <w:tcW w:w="1660" w:type="dxa"/>
          </w:tcPr>
          <w:p w:rsidR="00F000AD" w:rsidRPr="009720FF" w:rsidRDefault="00F000AD" w:rsidP="00F000AD">
            <w:pPr>
              <w:spacing w:before="120" w:after="120"/>
              <w:rPr>
                <w:rFonts w:ascii="Times New Roman" w:hAnsi="Times New Roman" w:cs="Times New Roman"/>
                <w:noProof/>
                <w:sz w:val="20"/>
                <w:szCs w:val="20"/>
              </w:rPr>
            </w:pPr>
          </w:p>
        </w:tc>
      </w:tr>
      <w:tr w:rsidR="00F000AD" w:rsidRPr="009720FF" w:rsidTr="00F000AD">
        <w:tc>
          <w:tcPr>
            <w:tcW w:w="1845" w:type="dxa"/>
          </w:tcPr>
          <w:p w:rsidR="00F000AD" w:rsidRPr="009720FF" w:rsidRDefault="00F000AD" w:rsidP="00F000AD">
            <w:pPr>
              <w:spacing w:before="120" w:after="120"/>
              <w:rPr>
                <w:rFonts w:ascii="Times New Roman" w:hAnsi="Times New Roman" w:cs="Times New Roman"/>
                <w:noProof/>
                <w:sz w:val="20"/>
                <w:szCs w:val="20"/>
              </w:rPr>
            </w:pPr>
          </w:p>
        </w:tc>
        <w:tc>
          <w:tcPr>
            <w:tcW w:w="2348" w:type="dxa"/>
          </w:tcPr>
          <w:p w:rsidR="00F000AD" w:rsidRPr="009720FF" w:rsidRDefault="00F000AD" w:rsidP="00F000AD">
            <w:pPr>
              <w:spacing w:before="120" w:after="120"/>
              <w:rPr>
                <w:rFonts w:ascii="Times New Roman" w:hAnsi="Times New Roman" w:cs="Times New Roman"/>
                <w:noProof/>
                <w:sz w:val="18"/>
                <w:szCs w:val="20"/>
              </w:rPr>
            </w:pPr>
            <w:r w:rsidRPr="009720FF">
              <w:rPr>
                <w:rFonts w:ascii="Times New Roman" w:hAnsi="Times New Roman" w:cs="Times New Roman"/>
                <w:noProof/>
                <w:sz w:val="18"/>
                <w:szCs w:val="20"/>
              </w:rPr>
              <w:t>Less developed</w:t>
            </w:r>
          </w:p>
        </w:tc>
        <w:tc>
          <w:tcPr>
            <w:tcW w:w="1694" w:type="dxa"/>
          </w:tcPr>
          <w:p w:rsidR="00F000AD" w:rsidRPr="009720FF" w:rsidRDefault="00F000AD" w:rsidP="00F000AD">
            <w:pPr>
              <w:spacing w:before="120" w:after="120"/>
              <w:rPr>
                <w:rFonts w:ascii="Times New Roman" w:hAnsi="Times New Roman" w:cs="Times New Roman"/>
                <w:noProof/>
                <w:sz w:val="20"/>
                <w:szCs w:val="20"/>
              </w:rPr>
            </w:pPr>
          </w:p>
        </w:tc>
        <w:tc>
          <w:tcPr>
            <w:tcW w:w="1695" w:type="dxa"/>
          </w:tcPr>
          <w:p w:rsidR="00F000AD" w:rsidRPr="009720FF" w:rsidRDefault="00F000AD" w:rsidP="00F000AD">
            <w:pPr>
              <w:spacing w:before="120" w:after="120"/>
              <w:rPr>
                <w:rFonts w:ascii="Times New Roman" w:hAnsi="Times New Roman" w:cs="Times New Roman"/>
                <w:noProof/>
                <w:sz w:val="20"/>
                <w:szCs w:val="20"/>
              </w:rPr>
            </w:pPr>
          </w:p>
        </w:tc>
        <w:tc>
          <w:tcPr>
            <w:tcW w:w="1660" w:type="dxa"/>
          </w:tcPr>
          <w:p w:rsidR="00F000AD" w:rsidRPr="009720FF" w:rsidRDefault="00F000AD" w:rsidP="00F000AD">
            <w:pPr>
              <w:spacing w:before="120" w:after="120"/>
              <w:rPr>
                <w:rFonts w:ascii="Times New Roman" w:hAnsi="Times New Roman" w:cs="Times New Roman"/>
                <w:noProof/>
                <w:sz w:val="20"/>
                <w:szCs w:val="20"/>
              </w:rPr>
            </w:pPr>
          </w:p>
        </w:tc>
      </w:tr>
      <w:tr w:rsidR="00F000AD" w:rsidRPr="009720FF" w:rsidTr="00F000AD">
        <w:tc>
          <w:tcPr>
            <w:tcW w:w="1845" w:type="dxa"/>
          </w:tcPr>
          <w:p w:rsidR="00F000AD" w:rsidRPr="009720FF" w:rsidRDefault="00F000AD" w:rsidP="00F000AD">
            <w:pPr>
              <w:spacing w:before="120" w:after="120"/>
              <w:rPr>
                <w:rFonts w:ascii="Times New Roman" w:hAnsi="Times New Roman" w:cs="Times New Roman"/>
                <w:noProof/>
                <w:sz w:val="20"/>
                <w:szCs w:val="20"/>
              </w:rPr>
            </w:pPr>
          </w:p>
        </w:tc>
        <w:tc>
          <w:tcPr>
            <w:tcW w:w="2348" w:type="dxa"/>
          </w:tcPr>
          <w:p w:rsidR="00F000AD" w:rsidRPr="009720FF" w:rsidRDefault="00F000AD" w:rsidP="00F000AD">
            <w:pPr>
              <w:spacing w:before="120" w:after="120"/>
              <w:rPr>
                <w:rFonts w:ascii="Times New Roman" w:hAnsi="Times New Roman" w:cs="Times New Roman"/>
                <w:noProof/>
                <w:sz w:val="18"/>
                <w:szCs w:val="20"/>
              </w:rPr>
            </w:pPr>
            <w:r w:rsidRPr="009720FF">
              <w:rPr>
                <w:rFonts w:ascii="Times New Roman" w:hAnsi="Times New Roman" w:cs="Times New Roman"/>
                <w:noProof/>
                <w:sz w:val="18"/>
                <w:szCs w:val="20"/>
              </w:rPr>
              <w:t>Outermost and northern sparsely populated</w:t>
            </w:r>
          </w:p>
        </w:tc>
        <w:tc>
          <w:tcPr>
            <w:tcW w:w="1694" w:type="dxa"/>
          </w:tcPr>
          <w:p w:rsidR="00F000AD" w:rsidRPr="009720FF" w:rsidRDefault="00F000AD" w:rsidP="00F000AD">
            <w:pPr>
              <w:spacing w:before="120" w:after="120"/>
              <w:rPr>
                <w:rFonts w:ascii="Times New Roman" w:hAnsi="Times New Roman" w:cs="Times New Roman"/>
                <w:noProof/>
                <w:sz w:val="20"/>
                <w:szCs w:val="20"/>
              </w:rPr>
            </w:pPr>
          </w:p>
        </w:tc>
        <w:tc>
          <w:tcPr>
            <w:tcW w:w="1695" w:type="dxa"/>
          </w:tcPr>
          <w:p w:rsidR="00F000AD" w:rsidRPr="009720FF" w:rsidRDefault="00F000AD" w:rsidP="00F000AD">
            <w:pPr>
              <w:spacing w:before="120" w:after="120"/>
              <w:rPr>
                <w:rFonts w:ascii="Times New Roman" w:hAnsi="Times New Roman" w:cs="Times New Roman"/>
                <w:noProof/>
                <w:sz w:val="20"/>
                <w:szCs w:val="20"/>
              </w:rPr>
            </w:pPr>
          </w:p>
        </w:tc>
        <w:tc>
          <w:tcPr>
            <w:tcW w:w="1660" w:type="dxa"/>
          </w:tcPr>
          <w:p w:rsidR="00F000AD" w:rsidRPr="009720FF" w:rsidRDefault="00F000AD" w:rsidP="00F000AD">
            <w:pPr>
              <w:spacing w:before="120" w:after="120"/>
              <w:rPr>
                <w:rFonts w:ascii="Times New Roman" w:hAnsi="Times New Roman" w:cs="Times New Roman"/>
                <w:noProof/>
                <w:sz w:val="20"/>
                <w:szCs w:val="20"/>
              </w:rPr>
            </w:pPr>
          </w:p>
        </w:tc>
      </w:tr>
    </w:tbl>
    <w:p w:rsidR="00F000AD" w:rsidRPr="009720FF" w:rsidRDefault="00F000AD" w:rsidP="00F000AD">
      <w:pPr>
        <w:spacing w:after="160" w:line="259" w:lineRule="auto"/>
        <w:rPr>
          <w:rFonts w:ascii="Times New Roman" w:hAnsi="Times New Roman" w:cs="Times New Roman"/>
          <w:b/>
          <w:noProof/>
          <w:sz w:val="24"/>
          <w:szCs w:val="24"/>
          <w:lang w:val="en-GB"/>
        </w:rPr>
      </w:pPr>
      <w:r w:rsidRPr="009720FF">
        <w:rPr>
          <w:rFonts w:ascii="Times New Roman" w:hAnsi="Times New Roman" w:cs="Times New Roman"/>
          <w:noProof/>
          <w:sz w:val="20"/>
          <w:szCs w:val="20"/>
          <w:lang w:val="en-GB"/>
        </w:rPr>
        <w:t>* Programme with the JTF allocation.”</w:t>
      </w:r>
    </w:p>
    <w:p w:rsidR="00F000AD" w:rsidRPr="009720FF" w:rsidRDefault="00F000AD" w:rsidP="00F000AD">
      <w:pPr>
        <w:rPr>
          <w:rFonts w:ascii="Times New Roman" w:hAnsi="Times New Roman" w:cs="Times New Roman"/>
          <w:noProof/>
          <w:sz w:val="24"/>
          <w:szCs w:val="24"/>
          <w:lang w:val="en-GB"/>
        </w:rPr>
      </w:pPr>
      <w:r w:rsidRPr="009720FF">
        <w:rPr>
          <w:rFonts w:ascii="Times New Roman" w:hAnsi="Times New Roman" w:cs="Times New Roman"/>
          <w:noProof/>
          <w:sz w:val="24"/>
          <w:szCs w:val="24"/>
          <w:lang w:val="en-GB"/>
        </w:rPr>
        <w:lastRenderedPageBreak/>
        <w:t xml:space="preserve"> </w:t>
      </w:r>
    </w:p>
    <w:p w:rsidR="00F000AD" w:rsidRPr="009720FF" w:rsidRDefault="00F000AD" w:rsidP="00435C1D">
      <w:pPr>
        <w:rPr>
          <w:rFonts w:ascii="Times New Roman" w:eastAsia="Calibri" w:hAnsi="Times New Roman" w:cs="Times New Roman"/>
          <w:b/>
          <w:noProof/>
          <w:sz w:val="24"/>
          <w:szCs w:val="24"/>
          <w:lang w:val="en-GB" w:eastAsia="en-GB"/>
        </w:rPr>
      </w:pPr>
      <w:r w:rsidRPr="009720FF">
        <w:rPr>
          <w:rFonts w:ascii="Times New Roman" w:eastAsia="Calibri" w:hAnsi="Times New Roman" w:cs="Times New Roman"/>
          <w:b/>
          <w:noProof/>
          <w:sz w:val="24"/>
          <w:szCs w:val="24"/>
          <w:lang w:val="en-GB" w:eastAsia="en-GB"/>
        </w:rPr>
        <w:t>Table 18B: Transfer of ERDF and ESF+ resources from other programme(s) to the Just Transition Fund (JTF) in this programme</w:t>
      </w:r>
    </w:p>
    <w:tbl>
      <w:tblPr>
        <w:tblStyle w:val="TableGrid1"/>
        <w:tblW w:w="0" w:type="auto"/>
        <w:tblLook w:val="04A0" w:firstRow="1" w:lastRow="0" w:firstColumn="1" w:lastColumn="0" w:noHBand="0" w:noVBand="1"/>
      </w:tblPr>
      <w:tblGrid>
        <w:gridCol w:w="1857"/>
        <w:gridCol w:w="2362"/>
        <w:gridCol w:w="1701"/>
        <w:gridCol w:w="1701"/>
        <w:gridCol w:w="1667"/>
      </w:tblGrid>
      <w:tr w:rsidR="00F000AD" w:rsidRPr="009720FF" w:rsidTr="00F000AD">
        <w:tc>
          <w:tcPr>
            <w:tcW w:w="4219" w:type="dxa"/>
            <w:gridSpan w:val="2"/>
            <w:vMerge w:val="restart"/>
            <w:tcBorders>
              <w:tl2br w:val="single" w:sz="4" w:space="0" w:color="auto"/>
            </w:tcBorders>
          </w:tcPr>
          <w:p w:rsidR="00F000AD" w:rsidRPr="009720FF" w:rsidRDefault="00F000AD" w:rsidP="00F000AD">
            <w:pPr>
              <w:spacing w:before="120" w:after="120"/>
              <w:rPr>
                <w:rFonts w:ascii="Times New Roman" w:hAnsi="Times New Roman" w:cs="Times New Roman"/>
                <w:noProof/>
                <w:sz w:val="20"/>
                <w:szCs w:val="20"/>
              </w:rPr>
            </w:pPr>
          </w:p>
        </w:tc>
        <w:tc>
          <w:tcPr>
            <w:tcW w:w="5069" w:type="dxa"/>
            <w:gridSpan w:val="3"/>
          </w:tcPr>
          <w:p w:rsidR="00F000AD" w:rsidRPr="009720FF" w:rsidRDefault="00F000AD" w:rsidP="00F000AD">
            <w:pPr>
              <w:spacing w:before="120" w:after="120"/>
              <w:rPr>
                <w:rFonts w:ascii="Times New Roman" w:hAnsi="Times New Roman" w:cs="Times New Roman"/>
                <w:b/>
                <w:noProof/>
                <w:sz w:val="20"/>
                <w:szCs w:val="20"/>
              </w:rPr>
            </w:pPr>
            <w:r w:rsidRPr="009720FF">
              <w:rPr>
                <w:rFonts w:ascii="Times New Roman" w:hAnsi="Times New Roman" w:cs="Times New Roman"/>
                <w:b/>
                <w:noProof/>
                <w:sz w:val="20"/>
                <w:szCs w:val="20"/>
              </w:rPr>
              <w:t>Complementary support to the JTF in this programme (CCI number)* per category of region</w:t>
            </w:r>
          </w:p>
        </w:tc>
      </w:tr>
      <w:tr w:rsidR="00F000AD" w:rsidRPr="009720FF" w:rsidTr="00F000AD">
        <w:tc>
          <w:tcPr>
            <w:tcW w:w="4219" w:type="dxa"/>
            <w:gridSpan w:val="2"/>
            <w:vMerge/>
            <w:tcBorders>
              <w:tl2br w:val="single" w:sz="4" w:space="0" w:color="auto"/>
            </w:tcBorders>
          </w:tcPr>
          <w:p w:rsidR="00F000AD" w:rsidRPr="009720FF" w:rsidRDefault="00F000AD" w:rsidP="00F000AD">
            <w:pPr>
              <w:spacing w:before="120" w:after="120"/>
              <w:rPr>
                <w:rFonts w:ascii="Times New Roman" w:hAnsi="Times New Roman" w:cs="Times New Roman"/>
                <w:noProof/>
                <w:sz w:val="20"/>
                <w:szCs w:val="20"/>
              </w:rPr>
            </w:pPr>
          </w:p>
        </w:tc>
        <w:tc>
          <w:tcPr>
            <w:tcW w:w="1701" w:type="dxa"/>
          </w:tcPr>
          <w:p w:rsidR="00F000AD" w:rsidRPr="009720FF" w:rsidRDefault="00F000AD" w:rsidP="00F000AD">
            <w:pPr>
              <w:spacing w:before="120" w:after="120"/>
              <w:jc w:val="center"/>
              <w:rPr>
                <w:rFonts w:ascii="Times New Roman" w:hAnsi="Times New Roman" w:cs="Times New Roman"/>
                <w:b/>
                <w:noProof/>
                <w:sz w:val="20"/>
                <w:szCs w:val="20"/>
              </w:rPr>
            </w:pPr>
            <w:r w:rsidRPr="009720FF">
              <w:rPr>
                <w:rFonts w:ascii="Times New Roman" w:hAnsi="Times New Roman" w:cs="Times New Roman"/>
                <w:b/>
                <w:noProof/>
                <w:sz w:val="20"/>
                <w:szCs w:val="20"/>
              </w:rPr>
              <w:t>More developed</w:t>
            </w:r>
          </w:p>
        </w:tc>
        <w:tc>
          <w:tcPr>
            <w:tcW w:w="1701" w:type="dxa"/>
          </w:tcPr>
          <w:p w:rsidR="00F000AD" w:rsidRPr="009720FF" w:rsidRDefault="00F000AD" w:rsidP="00F000AD">
            <w:pPr>
              <w:spacing w:before="120" w:after="120"/>
              <w:jc w:val="center"/>
              <w:rPr>
                <w:rFonts w:ascii="Times New Roman" w:hAnsi="Times New Roman" w:cs="Times New Roman"/>
                <w:b/>
                <w:noProof/>
                <w:sz w:val="20"/>
                <w:szCs w:val="20"/>
              </w:rPr>
            </w:pPr>
            <w:r w:rsidRPr="009720FF">
              <w:rPr>
                <w:rFonts w:ascii="Times New Roman" w:hAnsi="Times New Roman" w:cs="Times New Roman"/>
                <w:b/>
                <w:noProof/>
                <w:sz w:val="20"/>
                <w:szCs w:val="20"/>
              </w:rPr>
              <w:t>Transition</w:t>
            </w:r>
          </w:p>
        </w:tc>
        <w:tc>
          <w:tcPr>
            <w:tcW w:w="1667" w:type="dxa"/>
          </w:tcPr>
          <w:p w:rsidR="00F000AD" w:rsidRPr="009720FF" w:rsidRDefault="00F000AD" w:rsidP="00F000AD">
            <w:pPr>
              <w:spacing w:before="120" w:after="120"/>
              <w:jc w:val="center"/>
              <w:rPr>
                <w:rFonts w:ascii="Times New Roman" w:hAnsi="Times New Roman" w:cs="Times New Roman"/>
                <w:b/>
                <w:noProof/>
                <w:sz w:val="20"/>
                <w:szCs w:val="20"/>
              </w:rPr>
            </w:pPr>
            <w:r w:rsidRPr="009720FF">
              <w:rPr>
                <w:rFonts w:ascii="Times New Roman" w:hAnsi="Times New Roman" w:cs="Times New Roman"/>
                <w:b/>
                <w:noProof/>
                <w:sz w:val="20"/>
                <w:szCs w:val="20"/>
              </w:rPr>
              <w:t>Less developed</w:t>
            </w:r>
          </w:p>
        </w:tc>
      </w:tr>
      <w:tr w:rsidR="00F000AD" w:rsidRPr="009720FF" w:rsidTr="00F000AD">
        <w:tc>
          <w:tcPr>
            <w:tcW w:w="4219" w:type="dxa"/>
            <w:gridSpan w:val="2"/>
          </w:tcPr>
          <w:p w:rsidR="00F000AD" w:rsidRPr="009720FF" w:rsidRDefault="00F000AD" w:rsidP="00F000AD">
            <w:pPr>
              <w:spacing w:before="120" w:after="120"/>
              <w:rPr>
                <w:rFonts w:ascii="Times New Roman" w:hAnsi="Times New Roman" w:cs="Times New Roman"/>
                <w:b/>
                <w:noProof/>
                <w:sz w:val="20"/>
                <w:szCs w:val="20"/>
              </w:rPr>
            </w:pPr>
            <w:r w:rsidRPr="009720FF">
              <w:rPr>
                <w:rFonts w:ascii="Times New Roman" w:hAnsi="Times New Roman" w:cs="Times New Roman"/>
                <w:b/>
                <w:noProof/>
                <w:sz w:val="20"/>
                <w:szCs w:val="20"/>
              </w:rPr>
              <w:t>Transfer(s) from other programme(s)** per category of region</w:t>
            </w:r>
          </w:p>
        </w:tc>
        <w:tc>
          <w:tcPr>
            <w:tcW w:w="1701" w:type="dxa"/>
            <w:shd w:val="clear" w:color="auto" w:fill="BFBFBF" w:themeFill="background1" w:themeFillShade="BF"/>
          </w:tcPr>
          <w:p w:rsidR="00F000AD" w:rsidRPr="009720FF" w:rsidRDefault="00F000AD" w:rsidP="00F000AD">
            <w:pPr>
              <w:spacing w:before="120" w:after="120"/>
              <w:rPr>
                <w:rFonts w:ascii="Times New Roman" w:hAnsi="Times New Roman" w:cs="Times New Roman"/>
                <w:noProof/>
                <w:sz w:val="20"/>
                <w:szCs w:val="20"/>
              </w:rPr>
            </w:pPr>
          </w:p>
        </w:tc>
        <w:tc>
          <w:tcPr>
            <w:tcW w:w="1701" w:type="dxa"/>
            <w:shd w:val="clear" w:color="auto" w:fill="BFBFBF" w:themeFill="background1" w:themeFillShade="BF"/>
          </w:tcPr>
          <w:p w:rsidR="00F000AD" w:rsidRPr="009720FF" w:rsidRDefault="00F000AD" w:rsidP="00F000AD">
            <w:pPr>
              <w:spacing w:before="120" w:after="120"/>
              <w:rPr>
                <w:rFonts w:ascii="Times New Roman" w:hAnsi="Times New Roman" w:cs="Times New Roman"/>
                <w:noProof/>
                <w:sz w:val="20"/>
                <w:szCs w:val="20"/>
              </w:rPr>
            </w:pPr>
          </w:p>
        </w:tc>
        <w:tc>
          <w:tcPr>
            <w:tcW w:w="1667" w:type="dxa"/>
            <w:shd w:val="clear" w:color="auto" w:fill="BFBFBF" w:themeFill="background1" w:themeFillShade="BF"/>
          </w:tcPr>
          <w:p w:rsidR="00F000AD" w:rsidRPr="009720FF" w:rsidRDefault="00F000AD" w:rsidP="00F000AD">
            <w:pPr>
              <w:spacing w:before="120" w:after="120"/>
              <w:rPr>
                <w:rFonts w:ascii="Times New Roman" w:hAnsi="Times New Roman" w:cs="Times New Roman"/>
                <w:noProof/>
                <w:sz w:val="20"/>
                <w:szCs w:val="20"/>
              </w:rPr>
            </w:pPr>
          </w:p>
        </w:tc>
      </w:tr>
      <w:tr w:rsidR="00F000AD" w:rsidRPr="009720FF" w:rsidTr="00F000AD">
        <w:tc>
          <w:tcPr>
            <w:tcW w:w="4219" w:type="dxa"/>
            <w:gridSpan w:val="2"/>
          </w:tcPr>
          <w:p w:rsidR="00F000AD" w:rsidRPr="009720FF" w:rsidRDefault="00F000AD" w:rsidP="00F000AD">
            <w:pPr>
              <w:spacing w:before="120" w:after="120"/>
              <w:rPr>
                <w:rFonts w:ascii="Times New Roman" w:hAnsi="Times New Roman" w:cs="Times New Roman"/>
                <w:b/>
                <w:noProof/>
                <w:sz w:val="20"/>
                <w:szCs w:val="20"/>
              </w:rPr>
            </w:pPr>
            <w:r w:rsidRPr="009720FF">
              <w:rPr>
                <w:rFonts w:ascii="Times New Roman" w:hAnsi="Times New Roman" w:cs="Times New Roman"/>
                <w:b/>
                <w:noProof/>
                <w:sz w:val="20"/>
                <w:szCs w:val="20"/>
              </w:rPr>
              <w:t>Programme 1 (CCI number)</w:t>
            </w:r>
          </w:p>
        </w:tc>
        <w:tc>
          <w:tcPr>
            <w:tcW w:w="1701" w:type="dxa"/>
            <w:shd w:val="clear" w:color="auto" w:fill="BFBFBF" w:themeFill="background1" w:themeFillShade="BF"/>
          </w:tcPr>
          <w:p w:rsidR="00F000AD" w:rsidRPr="009720FF" w:rsidRDefault="00F000AD" w:rsidP="00F000AD">
            <w:pPr>
              <w:spacing w:before="120" w:after="120"/>
              <w:rPr>
                <w:rFonts w:ascii="Times New Roman" w:hAnsi="Times New Roman" w:cs="Times New Roman"/>
                <w:noProof/>
                <w:sz w:val="20"/>
                <w:szCs w:val="20"/>
              </w:rPr>
            </w:pPr>
          </w:p>
        </w:tc>
        <w:tc>
          <w:tcPr>
            <w:tcW w:w="1701" w:type="dxa"/>
            <w:shd w:val="clear" w:color="auto" w:fill="BFBFBF" w:themeFill="background1" w:themeFillShade="BF"/>
          </w:tcPr>
          <w:p w:rsidR="00F000AD" w:rsidRPr="009720FF" w:rsidRDefault="00F000AD" w:rsidP="00F000AD">
            <w:pPr>
              <w:spacing w:before="120" w:after="120"/>
              <w:rPr>
                <w:rFonts w:ascii="Times New Roman" w:hAnsi="Times New Roman" w:cs="Times New Roman"/>
                <w:noProof/>
                <w:sz w:val="20"/>
                <w:szCs w:val="20"/>
              </w:rPr>
            </w:pPr>
          </w:p>
        </w:tc>
        <w:tc>
          <w:tcPr>
            <w:tcW w:w="1667" w:type="dxa"/>
            <w:shd w:val="clear" w:color="auto" w:fill="BFBFBF" w:themeFill="background1" w:themeFillShade="BF"/>
          </w:tcPr>
          <w:p w:rsidR="00F000AD" w:rsidRPr="009720FF" w:rsidRDefault="00F000AD" w:rsidP="00F000AD">
            <w:pPr>
              <w:spacing w:before="120" w:after="120"/>
              <w:rPr>
                <w:rFonts w:ascii="Times New Roman" w:hAnsi="Times New Roman" w:cs="Times New Roman"/>
                <w:noProof/>
                <w:sz w:val="20"/>
                <w:szCs w:val="20"/>
              </w:rPr>
            </w:pPr>
          </w:p>
        </w:tc>
      </w:tr>
      <w:tr w:rsidR="00F000AD" w:rsidRPr="009720FF" w:rsidTr="00F000AD">
        <w:tc>
          <w:tcPr>
            <w:tcW w:w="1857" w:type="dxa"/>
          </w:tcPr>
          <w:p w:rsidR="00F000AD" w:rsidRPr="009720FF" w:rsidRDefault="00F000AD" w:rsidP="00F000AD">
            <w:pPr>
              <w:spacing w:before="120" w:after="120"/>
              <w:rPr>
                <w:rFonts w:ascii="Times New Roman" w:hAnsi="Times New Roman" w:cs="Times New Roman"/>
                <w:b/>
                <w:noProof/>
                <w:sz w:val="20"/>
                <w:szCs w:val="20"/>
              </w:rPr>
            </w:pPr>
            <w:r w:rsidRPr="009720FF">
              <w:rPr>
                <w:rFonts w:ascii="Times New Roman" w:hAnsi="Times New Roman" w:cs="Times New Roman"/>
                <w:b/>
                <w:noProof/>
                <w:sz w:val="20"/>
                <w:szCs w:val="20"/>
              </w:rPr>
              <w:t>ERDF</w:t>
            </w:r>
          </w:p>
        </w:tc>
        <w:tc>
          <w:tcPr>
            <w:tcW w:w="2362" w:type="dxa"/>
          </w:tcPr>
          <w:p w:rsidR="00F000AD" w:rsidRPr="009720FF" w:rsidRDefault="00F000AD" w:rsidP="00F000AD">
            <w:pPr>
              <w:spacing w:before="120" w:after="120"/>
              <w:rPr>
                <w:rFonts w:ascii="Times New Roman" w:hAnsi="Times New Roman" w:cs="Times New Roman"/>
                <w:noProof/>
                <w:sz w:val="20"/>
                <w:szCs w:val="20"/>
              </w:rPr>
            </w:pPr>
            <w:r w:rsidRPr="009720FF">
              <w:rPr>
                <w:rFonts w:ascii="Times New Roman" w:hAnsi="Times New Roman" w:cs="Times New Roman"/>
                <w:noProof/>
                <w:sz w:val="20"/>
                <w:szCs w:val="20"/>
              </w:rPr>
              <w:t>More developed</w:t>
            </w:r>
          </w:p>
        </w:tc>
        <w:tc>
          <w:tcPr>
            <w:tcW w:w="1701" w:type="dxa"/>
          </w:tcPr>
          <w:p w:rsidR="00F000AD" w:rsidRPr="009720FF" w:rsidRDefault="00F000AD" w:rsidP="00F000AD">
            <w:pPr>
              <w:spacing w:before="120" w:after="120"/>
              <w:rPr>
                <w:rFonts w:ascii="Times New Roman" w:hAnsi="Times New Roman" w:cs="Times New Roman"/>
                <w:noProof/>
                <w:sz w:val="20"/>
                <w:szCs w:val="20"/>
              </w:rPr>
            </w:pPr>
          </w:p>
        </w:tc>
        <w:tc>
          <w:tcPr>
            <w:tcW w:w="1701" w:type="dxa"/>
          </w:tcPr>
          <w:p w:rsidR="00F000AD" w:rsidRPr="009720FF" w:rsidRDefault="00F000AD" w:rsidP="00F000AD">
            <w:pPr>
              <w:spacing w:before="120" w:after="120"/>
              <w:rPr>
                <w:rFonts w:ascii="Times New Roman" w:hAnsi="Times New Roman" w:cs="Times New Roman"/>
                <w:noProof/>
                <w:sz w:val="20"/>
                <w:szCs w:val="20"/>
              </w:rPr>
            </w:pPr>
          </w:p>
        </w:tc>
        <w:tc>
          <w:tcPr>
            <w:tcW w:w="1667" w:type="dxa"/>
          </w:tcPr>
          <w:p w:rsidR="00F000AD" w:rsidRPr="009720FF" w:rsidRDefault="00F000AD" w:rsidP="00F000AD">
            <w:pPr>
              <w:spacing w:before="120" w:after="120"/>
              <w:rPr>
                <w:rFonts w:ascii="Times New Roman" w:hAnsi="Times New Roman" w:cs="Times New Roman"/>
                <w:noProof/>
                <w:sz w:val="20"/>
                <w:szCs w:val="20"/>
              </w:rPr>
            </w:pPr>
          </w:p>
        </w:tc>
      </w:tr>
      <w:tr w:rsidR="00F000AD" w:rsidRPr="009720FF" w:rsidTr="00F000AD">
        <w:tc>
          <w:tcPr>
            <w:tcW w:w="1857" w:type="dxa"/>
          </w:tcPr>
          <w:p w:rsidR="00F000AD" w:rsidRPr="009720FF" w:rsidRDefault="00F000AD" w:rsidP="00F000AD">
            <w:pPr>
              <w:spacing w:before="120" w:after="120"/>
              <w:rPr>
                <w:rFonts w:ascii="Times New Roman" w:hAnsi="Times New Roman" w:cs="Times New Roman"/>
                <w:noProof/>
                <w:sz w:val="20"/>
                <w:szCs w:val="20"/>
              </w:rPr>
            </w:pPr>
          </w:p>
        </w:tc>
        <w:tc>
          <w:tcPr>
            <w:tcW w:w="2362" w:type="dxa"/>
          </w:tcPr>
          <w:p w:rsidR="00F000AD" w:rsidRPr="009720FF" w:rsidRDefault="00F000AD" w:rsidP="00F000AD">
            <w:pPr>
              <w:spacing w:before="120" w:after="120"/>
              <w:rPr>
                <w:rFonts w:ascii="Times New Roman" w:hAnsi="Times New Roman" w:cs="Times New Roman"/>
                <w:noProof/>
                <w:sz w:val="20"/>
                <w:szCs w:val="20"/>
              </w:rPr>
            </w:pPr>
            <w:r w:rsidRPr="009720FF">
              <w:rPr>
                <w:rFonts w:ascii="Times New Roman" w:hAnsi="Times New Roman" w:cs="Times New Roman"/>
                <w:noProof/>
                <w:sz w:val="20"/>
                <w:szCs w:val="20"/>
              </w:rPr>
              <w:t>Transition</w:t>
            </w:r>
          </w:p>
        </w:tc>
        <w:tc>
          <w:tcPr>
            <w:tcW w:w="1701" w:type="dxa"/>
          </w:tcPr>
          <w:p w:rsidR="00F000AD" w:rsidRPr="009720FF" w:rsidRDefault="00F000AD" w:rsidP="00F000AD">
            <w:pPr>
              <w:spacing w:before="120" w:after="120"/>
              <w:rPr>
                <w:rFonts w:ascii="Times New Roman" w:hAnsi="Times New Roman" w:cs="Times New Roman"/>
                <w:noProof/>
                <w:sz w:val="20"/>
                <w:szCs w:val="20"/>
              </w:rPr>
            </w:pPr>
          </w:p>
        </w:tc>
        <w:tc>
          <w:tcPr>
            <w:tcW w:w="1701" w:type="dxa"/>
          </w:tcPr>
          <w:p w:rsidR="00F000AD" w:rsidRPr="009720FF" w:rsidRDefault="00F000AD" w:rsidP="00F000AD">
            <w:pPr>
              <w:spacing w:before="120" w:after="120"/>
              <w:rPr>
                <w:rFonts w:ascii="Times New Roman" w:hAnsi="Times New Roman" w:cs="Times New Roman"/>
                <w:noProof/>
                <w:sz w:val="20"/>
                <w:szCs w:val="20"/>
              </w:rPr>
            </w:pPr>
          </w:p>
        </w:tc>
        <w:tc>
          <w:tcPr>
            <w:tcW w:w="1667" w:type="dxa"/>
          </w:tcPr>
          <w:p w:rsidR="00F000AD" w:rsidRPr="009720FF" w:rsidRDefault="00F000AD" w:rsidP="00F000AD">
            <w:pPr>
              <w:spacing w:before="120" w:after="120"/>
              <w:rPr>
                <w:rFonts w:ascii="Times New Roman" w:hAnsi="Times New Roman" w:cs="Times New Roman"/>
                <w:noProof/>
                <w:sz w:val="20"/>
                <w:szCs w:val="20"/>
              </w:rPr>
            </w:pPr>
          </w:p>
        </w:tc>
      </w:tr>
      <w:tr w:rsidR="00F000AD" w:rsidRPr="009720FF" w:rsidTr="00F000AD">
        <w:tc>
          <w:tcPr>
            <w:tcW w:w="1857" w:type="dxa"/>
          </w:tcPr>
          <w:p w:rsidR="00F000AD" w:rsidRPr="009720FF" w:rsidRDefault="00F000AD" w:rsidP="00F000AD">
            <w:pPr>
              <w:spacing w:before="120" w:after="120"/>
              <w:rPr>
                <w:rFonts w:ascii="Times New Roman" w:hAnsi="Times New Roman" w:cs="Times New Roman"/>
                <w:noProof/>
                <w:sz w:val="20"/>
                <w:szCs w:val="20"/>
              </w:rPr>
            </w:pPr>
          </w:p>
        </w:tc>
        <w:tc>
          <w:tcPr>
            <w:tcW w:w="2362" w:type="dxa"/>
          </w:tcPr>
          <w:p w:rsidR="00F000AD" w:rsidRPr="009720FF" w:rsidRDefault="00F000AD" w:rsidP="00F000AD">
            <w:pPr>
              <w:spacing w:before="120" w:after="120"/>
              <w:rPr>
                <w:rFonts w:ascii="Times New Roman" w:hAnsi="Times New Roman" w:cs="Times New Roman"/>
                <w:noProof/>
                <w:sz w:val="20"/>
                <w:szCs w:val="20"/>
              </w:rPr>
            </w:pPr>
            <w:r w:rsidRPr="009720FF">
              <w:rPr>
                <w:rFonts w:ascii="Times New Roman" w:hAnsi="Times New Roman" w:cs="Times New Roman"/>
                <w:noProof/>
                <w:sz w:val="20"/>
                <w:szCs w:val="20"/>
              </w:rPr>
              <w:t>Less developed</w:t>
            </w:r>
          </w:p>
        </w:tc>
        <w:tc>
          <w:tcPr>
            <w:tcW w:w="1701" w:type="dxa"/>
          </w:tcPr>
          <w:p w:rsidR="00F000AD" w:rsidRPr="009720FF" w:rsidRDefault="00F000AD" w:rsidP="00F000AD">
            <w:pPr>
              <w:spacing w:before="120" w:after="120"/>
              <w:rPr>
                <w:rFonts w:ascii="Times New Roman" w:hAnsi="Times New Roman" w:cs="Times New Roman"/>
                <w:noProof/>
                <w:sz w:val="20"/>
                <w:szCs w:val="20"/>
              </w:rPr>
            </w:pPr>
          </w:p>
        </w:tc>
        <w:tc>
          <w:tcPr>
            <w:tcW w:w="1701" w:type="dxa"/>
          </w:tcPr>
          <w:p w:rsidR="00F000AD" w:rsidRPr="009720FF" w:rsidRDefault="00F000AD" w:rsidP="00F000AD">
            <w:pPr>
              <w:spacing w:before="120" w:after="120"/>
              <w:rPr>
                <w:rFonts w:ascii="Times New Roman" w:hAnsi="Times New Roman" w:cs="Times New Roman"/>
                <w:noProof/>
                <w:sz w:val="20"/>
                <w:szCs w:val="20"/>
              </w:rPr>
            </w:pPr>
          </w:p>
        </w:tc>
        <w:tc>
          <w:tcPr>
            <w:tcW w:w="1667" w:type="dxa"/>
          </w:tcPr>
          <w:p w:rsidR="00F000AD" w:rsidRPr="009720FF" w:rsidRDefault="00F000AD" w:rsidP="00F000AD">
            <w:pPr>
              <w:spacing w:before="120" w:after="120"/>
              <w:rPr>
                <w:rFonts w:ascii="Times New Roman" w:hAnsi="Times New Roman" w:cs="Times New Roman"/>
                <w:noProof/>
                <w:sz w:val="20"/>
                <w:szCs w:val="20"/>
              </w:rPr>
            </w:pPr>
          </w:p>
        </w:tc>
      </w:tr>
      <w:tr w:rsidR="00F000AD" w:rsidRPr="009720FF" w:rsidTr="00F000AD">
        <w:tc>
          <w:tcPr>
            <w:tcW w:w="1857" w:type="dxa"/>
          </w:tcPr>
          <w:p w:rsidR="00F000AD" w:rsidRPr="009720FF" w:rsidRDefault="00F000AD" w:rsidP="00F000AD">
            <w:pPr>
              <w:spacing w:before="120" w:after="120"/>
              <w:rPr>
                <w:rFonts w:ascii="Times New Roman" w:hAnsi="Times New Roman" w:cs="Times New Roman"/>
                <w:noProof/>
                <w:sz w:val="20"/>
                <w:szCs w:val="20"/>
              </w:rPr>
            </w:pPr>
          </w:p>
        </w:tc>
        <w:tc>
          <w:tcPr>
            <w:tcW w:w="2362" w:type="dxa"/>
          </w:tcPr>
          <w:p w:rsidR="00F000AD" w:rsidRPr="009720FF" w:rsidRDefault="00F000AD" w:rsidP="00F000AD">
            <w:pPr>
              <w:spacing w:before="120" w:after="120"/>
              <w:rPr>
                <w:rFonts w:ascii="Times New Roman" w:hAnsi="Times New Roman" w:cs="Times New Roman"/>
                <w:noProof/>
                <w:sz w:val="20"/>
                <w:szCs w:val="20"/>
              </w:rPr>
            </w:pPr>
            <w:r w:rsidRPr="009720FF">
              <w:rPr>
                <w:rFonts w:ascii="Times New Roman" w:hAnsi="Times New Roman" w:cs="Times New Roman"/>
                <w:noProof/>
                <w:sz w:val="20"/>
                <w:szCs w:val="20"/>
              </w:rPr>
              <w:t>Outermost and northern sparsely populated</w:t>
            </w:r>
          </w:p>
        </w:tc>
        <w:tc>
          <w:tcPr>
            <w:tcW w:w="1701" w:type="dxa"/>
          </w:tcPr>
          <w:p w:rsidR="00F000AD" w:rsidRPr="009720FF" w:rsidRDefault="00F000AD" w:rsidP="00F000AD">
            <w:pPr>
              <w:spacing w:before="120" w:after="120"/>
              <w:rPr>
                <w:rFonts w:ascii="Times New Roman" w:hAnsi="Times New Roman" w:cs="Times New Roman"/>
                <w:noProof/>
                <w:sz w:val="20"/>
                <w:szCs w:val="20"/>
              </w:rPr>
            </w:pPr>
          </w:p>
        </w:tc>
        <w:tc>
          <w:tcPr>
            <w:tcW w:w="1701" w:type="dxa"/>
          </w:tcPr>
          <w:p w:rsidR="00F000AD" w:rsidRPr="009720FF" w:rsidRDefault="00F000AD" w:rsidP="00F000AD">
            <w:pPr>
              <w:spacing w:before="120" w:after="120"/>
              <w:rPr>
                <w:rFonts w:ascii="Times New Roman" w:hAnsi="Times New Roman" w:cs="Times New Roman"/>
                <w:noProof/>
                <w:sz w:val="20"/>
                <w:szCs w:val="20"/>
              </w:rPr>
            </w:pPr>
          </w:p>
        </w:tc>
        <w:tc>
          <w:tcPr>
            <w:tcW w:w="1667" w:type="dxa"/>
          </w:tcPr>
          <w:p w:rsidR="00F000AD" w:rsidRPr="009720FF" w:rsidRDefault="00F000AD" w:rsidP="00F000AD">
            <w:pPr>
              <w:spacing w:before="120" w:after="120"/>
              <w:rPr>
                <w:rFonts w:ascii="Times New Roman" w:hAnsi="Times New Roman" w:cs="Times New Roman"/>
                <w:noProof/>
                <w:sz w:val="20"/>
                <w:szCs w:val="20"/>
              </w:rPr>
            </w:pPr>
          </w:p>
        </w:tc>
      </w:tr>
      <w:tr w:rsidR="00F000AD" w:rsidRPr="009720FF" w:rsidTr="00F000AD">
        <w:tc>
          <w:tcPr>
            <w:tcW w:w="1857" w:type="dxa"/>
          </w:tcPr>
          <w:p w:rsidR="00F000AD" w:rsidRPr="009720FF" w:rsidRDefault="00F000AD" w:rsidP="00F000AD">
            <w:pPr>
              <w:spacing w:before="120" w:after="120"/>
              <w:rPr>
                <w:rFonts w:ascii="Times New Roman" w:hAnsi="Times New Roman" w:cs="Times New Roman"/>
                <w:b/>
                <w:noProof/>
                <w:sz w:val="20"/>
                <w:szCs w:val="20"/>
              </w:rPr>
            </w:pPr>
            <w:r w:rsidRPr="009720FF">
              <w:rPr>
                <w:rFonts w:ascii="Times New Roman" w:hAnsi="Times New Roman" w:cs="Times New Roman"/>
                <w:b/>
                <w:noProof/>
                <w:sz w:val="20"/>
                <w:szCs w:val="20"/>
              </w:rPr>
              <w:t>ESF+</w:t>
            </w:r>
          </w:p>
        </w:tc>
        <w:tc>
          <w:tcPr>
            <w:tcW w:w="2362" w:type="dxa"/>
          </w:tcPr>
          <w:p w:rsidR="00F000AD" w:rsidRPr="009720FF" w:rsidRDefault="00F000AD" w:rsidP="00F000AD">
            <w:pPr>
              <w:spacing w:before="60" w:after="60"/>
              <w:rPr>
                <w:rFonts w:ascii="Times New Roman" w:eastAsia="Times New Roman" w:hAnsi="Times New Roman" w:cs="Times New Roman"/>
                <w:noProof/>
                <w:sz w:val="18"/>
                <w:szCs w:val="20"/>
              </w:rPr>
            </w:pPr>
            <w:r w:rsidRPr="009720FF">
              <w:rPr>
                <w:rFonts w:ascii="Times New Roman" w:eastAsia="Times New Roman" w:hAnsi="Times New Roman" w:cs="Times New Roman"/>
                <w:noProof/>
                <w:sz w:val="18"/>
                <w:szCs w:val="20"/>
              </w:rPr>
              <w:t>More developed</w:t>
            </w:r>
          </w:p>
        </w:tc>
        <w:tc>
          <w:tcPr>
            <w:tcW w:w="1701" w:type="dxa"/>
          </w:tcPr>
          <w:p w:rsidR="00F000AD" w:rsidRPr="009720FF" w:rsidRDefault="00F000AD" w:rsidP="00F000AD">
            <w:pPr>
              <w:spacing w:before="120" w:after="120"/>
              <w:rPr>
                <w:rFonts w:ascii="Times New Roman" w:hAnsi="Times New Roman" w:cs="Times New Roman"/>
                <w:noProof/>
                <w:sz w:val="20"/>
                <w:szCs w:val="20"/>
              </w:rPr>
            </w:pPr>
          </w:p>
        </w:tc>
        <w:tc>
          <w:tcPr>
            <w:tcW w:w="1701" w:type="dxa"/>
          </w:tcPr>
          <w:p w:rsidR="00F000AD" w:rsidRPr="009720FF" w:rsidRDefault="00F000AD" w:rsidP="00F000AD">
            <w:pPr>
              <w:spacing w:before="120" w:after="120"/>
              <w:rPr>
                <w:rFonts w:ascii="Times New Roman" w:hAnsi="Times New Roman" w:cs="Times New Roman"/>
                <w:noProof/>
                <w:sz w:val="20"/>
                <w:szCs w:val="20"/>
              </w:rPr>
            </w:pPr>
          </w:p>
        </w:tc>
        <w:tc>
          <w:tcPr>
            <w:tcW w:w="1667" w:type="dxa"/>
          </w:tcPr>
          <w:p w:rsidR="00F000AD" w:rsidRPr="009720FF" w:rsidRDefault="00F000AD" w:rsidP="00F000AD">
            <w:pPr>
              <w:spacing w:before="120" w:after="120"/>
              <w:rPr>
                <w:rFonts w:ascii="Times New Roman" w:hAnsi="Times New Roman" w:cs="Times New Roman"/>
                <w:noProof/>
                <w:sz w:val="20"/>
                <w:szCs w:val="20"/>
              </w:rPr>
            </w:pPr>
          </w:p>
        </w:tc>
      </w:tr>
      <w:tr w:rsidR="00F000AD" w:rsidRPr="009720FF" w:rsidTr="00F000AD">
        <w:tc>
          <w:tcPr>
            <w:tcW w:w="1857" w:type="dxa"/>
          </w:tcPr>
          <w:p w:rsidR="00F000AD" w:rsidRPr="009720FF" w:rsidRDefault="00F000AD" w:rsidP="00F000AD">
            <w:pPr>
              <w:spacing w:before="120" w:after="120"/>
              <w:rPr>
                <w:rFonts w:ascii="Times New Roman" w:hAnsi="Times New Roman" w:cs="Times New Roman"/>
                <w:noProof/>
                <w:sz w:val="20"/>
                <w:szCs w:val="20"/>
              </w:rPr>
            </w:pPr>
          </w:p>
        </w:tc>
        <w:tc>
          <w:tcPr>
            <w:tcW w:w="2362" w:type="dxa"/>
          </w:tcPr>
          <w:p w:rsidR="00F000AD" w:rsidRPr="009720FF" w:rsidRDefault="00F000AD" w:rsidP="00F000AD">
            <w:pPr>
              <w:spacing w:before="60" w:after="60"/>
              <w:rPr>
                <w:rFonts w:ascii="Times New Roman" w:eastAsia="Times New Roman" w:hAnsi="Times New Roman" w:cs="Times New Roman"/>
                <w:noProof/>
                <w:sz w:val="18"/>
                <w:szCs w:val="20"/>
              </w:rPr>
            </w:pPr>
            <w:r w:rsidRPr="009720FF">
              <w:rPr>
                <w:rFonts w:ascii="Times New Roman" w:hAnsi="Times New Roman" w:cs="Times New Roman"/>
                <w:noProof/>
                <w:sz w:val="18"/>
                <w:szCs w:val="20"/>
              </w:rPr>
              <w:t>Transition</w:t>
            </w:r>
          </w:p>
        </w:tc>
        <w:tc>
          <w:tcPr>
            <w:tcW w:w="1701" w:type="dxa"/>
          </w:tcPr>
          <w:p w:rsidR="00F000AD" w:rsidRPr="009720FF" w:rsidRDefault="00F000AD" w:rsidP="00F000AD">
            <w:pPr>
              <w:spacing w:before="120" w:after="120"/>
              <w:rPr>
                <w:rFonts w:ascii="Times New Roman" w:hAnsi="Times New Roman" w:cs="Times New Roman"/>
                <w:noProof/>
                <w:sz w:val="20"/>
                <w:szCs w:val="20"/>
              </w:rPr>
            </w:pPr>
          </w:p>
        </w:tc>
        <w:tc>
          <w:tcPr>
            <w:tcW w:w="1701" w:type="dxa"/>
          </w:tcPr>
          <w:p w:rsidR="00F000AD" w:rsidRPr="009720FF" w:rsidRDefault="00F000AD" w:rsidP="00F000AD">
            <w:pPr>
              <w:spacing w:before="120" w:after="120"/>
              <w:rPr>
                <w:rFonts w:ascii="Times New Roman" w:hAnsi="Times New Roman" w:cs="Times New Roman"/>
                <w:noProof/>
                <w:sz w:val="20"/>
                <w:szCs w:val="20"/>
              </w:rPr>
            </w:pPr>
          </w:p>
        </w:tc>
        <w:tc>
          <w:tcPr>
            <w:tcW w:w="1667" w:type="dxa"/>
          </w:tcPr>
          <w:p w:rsidR="00F000AD" w:rsidRPr="009720FF" w:rsidRDefault="00F000AD" w:rsidP="00F000AD">
            <w:pPr>
              <w:spacing w:before="120" w:after="120"/>
              <w:rPr>
                <w:rFonts w:ascii="Times New Roman" w:hAnsi="Times New Roman" w:cs="Times New Roman"/>
                <w:noProof/>
                <w:sz w:val="20"/>
                <w:szCs w:val="20"/>
              </w:rPr>
            </w:pPr>
          </w:p>
        </w:tc>
      </w:tr>
      <w:tr w:rsidR="00F000AD" w:rsidRPr="009720FF" w:rsidTr="00F000AD">
        <w:tc>
          <w:tcPr>
            <w:tcW w:w="1857" w:type="dxa"/>
          </w:tcPr>
          <w:p w:rsidR="00F000AD" w:rsidRPr="009720FF" w:rsidRDefault="00F000AD" w:rsidP="00F000AD">
            <w:pPr>
              <w:spacing w:before="120" w:after="120"/>
              <w:rPr>
                <w:rFonts w:ascii="Times New Roman" w:hAnsi="Times New Roman" w:cs="Times New Roman"/>
                <w:noProof/>
                <w:sz w:val="20"/>
                <w:szCs w:val="20"/>
              </w:rPr>
            </w:pPr>
          </w:p>
        </w:tc>
        <w:tc>
          <w:tcPr>
            <w:tcW w:w="2362" w:type="dxa"/>
          </w:tcPr>
          <w:p w:rsidR="00F000AD" w:rsidRPr="009720FF" w:rsidRDefault="00F000AD" w:rsidP="00F000AD">
            <w:pPr>
              <w:spacing w:before="60" w:after="60"/>
              <w:rPr>
                <w:rFonts w:ascii="Times New Roman" w:hAnsi="Times New Roman" w:cs="Times New Roman"/>
                <w:noProof/>
                <w:sz w:val="18"/>
                <w:szCs w:val="20"/>
              </w:rPr>
            </w:pPr>
            <w:r w:rsidRPr="009720FF">
              <w:rPr>
                <w:rFonts w:ascii="Times New Roman" w:eastAsia="Times New Roman" w:hAnsi="Times New Roman" w:cs="Times New Roman"/>
                <w:noProof/>
                <w:sz w:val="18"/>
                <w:szCs w:val="20"/>
              </w:rPr>
              <w:t>Less developed</w:t>
            </w:r>
          </w:p>
        </w:tc>
        <w:tc>
          <w:tcPr>
            <w:tcW w:w="1701" w:type="dxa"/>
          </w:tcPr>
          <w:p w:rsidR="00F000AD" w:rsidRPr="009720FF" w:rsidRDefault="00F000AD" w:rsidP="00F000AD">
            <w:pPr>
              <w:spacing w:before="120" w:after="120"/>
              <w:rPr>
                <w:rFonts w:ascii="Times New Roman" w:hAnsi="Times New Roman" w:cs="Times New Roman"/>
                <w:noProof/>
                <w:sz w:val="20"/>
                <w:szCs w:val="20"/>
              </w:rPr>
            </w:pPr>
          </w:p>
        </w:tc>
        <w:tc>
          <w:tcPr>
            <w:tcW w:w="1701" w:type="dxa"/>
          </w:tcPr>
          <w:p w:rsidR="00F000AD" w:rsidRPr="009720FF" w:rsidRDefault="00F000AD" w:rsidP="00F000AD">
            <w:pPr>
              <w:spacing w:before="120" w:after="120"/>
              <w:rPr>
                <w:rFonts w:ascii="Times New Roman" w:hAnsi="Times New Roman" w:cs="Times New Roman"/>
                <w:noProof/>
                <w:sz w:val="20"/>
                <w:szCs w:val="20"/>
              </w:rPr>
            </w:pPr>
          </w:p>
        </w:tc>
        <w:tc>
          <w:tcPr>
            <w:tcW w:w="1667" w:type="dxa"/>
          </w:tcPr>
          <w:p w:rsidR="00F000AD" w:rsidRPr="009720FF" w:rsidRDefault="00F000AD" w:rsidP="00F000AD">
            <w:pPr>
              <w:spacing w:before="120" w:after="120"/>
              <w:rPr>
                <w:rFonts w:ascii="Times New Roman" w:hAnsi="Times New Roman" w:cs="Times New Roman"/>
                <w:noProof/>
                <w:sz w:val="20"/>
                <w:szCs w:val="20"/>
              </w:rPr>
            </w:pPr>
          </w:p>
        </w:tc>
      </w:tr>
      <w:tr w:rsidR="00F000AD" w:rsidRPr="009720FF" w:rsidTr="00F000AD">
        <w:tc>
          <w:tcPr>
            <w:tcW w:w="1857" w:type="dxa"/>
          </w:tcPr>
          <w:p w:rsidR="00F000AD" w:rsidRPr="009720FF" w:rsidRDefault="00F000AD" w:rsidP="00F000AD">
            <w:pPr>
              <w:spacing w:before="120" w:after="120"/>
              <w:rPr>
                <w:rFonts w:ascii="Times New Roman" w:hAnsi="Times New Roman" w:cs="Times New Roman"/>
                <w:noProof/>
                <w:sz w:val="20"/>
                <w:szCs w:val="20"/>
              </w:rPr>
            </w:pPr>
          </w:p>
        </w:tc>
        <w:tc>
          <w:tcPr>
            <w:tcW w:w="2362" w:type="dxa"/>
          </w:tcPr>
          <w:p w:rsidR="00F000AD" w:rsidRPr="009720FF" w:rsidRDefault="00F000AD" w:rsidP="00F000AD">
            <w:pPr>
              <w:spacing w:before="60" w:after="60"/>
              <w:rPr>
                <w:rFonts w:ascii="Times New Roman" w:eastAsia="Times New Roman" w:hAnsi="Times New Roman" w:cs="Times New Roman"/>
                <w:noProof/>
                <w:sz w:val="18"/>
                <w:szCs w:val="20"/>
              </w:rPr>
            </w:pPr>
            <w:r w:rsidRPr="009720FF">
              <w:rPr>
                <w:rFonts w:ascii="Times New Roman" w:hAnsi="Times New Roman" w:cs="Times New Roman"/>
                <w:noProof/>
                <w:sz w:val="18"/>
                <w:szCs w:val="20"/>
              </w:rPr>
              <w:t>Outermost and northern sparsely populated</w:t>
            </w:r>
          </w:p>
        </w:tc>
        <w:tc>
          <w:tcPr>
            <w:tcW w:w="1701" w:type="dxa"/>
          </w:tcPr>
          <w:p w:rsidR="00F000AD" w:rsidRPr="009720FF" w:rsidRDefault="00F000AD" w:rsidP="00F000AD">
            <w:pPr>
              <w:spacing w:before="120" w:after="120"/>
              <w:rPr>
                <w:rFonts w:ascii="Times New Roman" w:hAnsi="Times New Roman" w:cs="Times New Roman"/>
                <w:noProof/>
                <w:sz w:val="20"/>
                <w:szCs w:val="20"/>
              </w:rPr>
            </w:pPr>
          </w:p>
        </w:tc>
        <w:tc>
          <w:tcPr>
            <w:tcW w:w="1701" w:type="dxa"/>
          </w:tcPr>
          <w:p w:rsidR="00F000AD" w:rsidRPr="009720FF" w:rsidRDefault="00F000AD" w:rsidP="00F000AD">
            <w:pPr>
              <w:spacing w:before="120" w:after="120"/>
              <w:rPr>
                <w:rFonts w:ascii="Times New Roman" w:hAnsi="Times New Roman" w:cs="Times New Roman"/>
                <w:noProof/>
                <w:sz w:val="20"/>
                <w:szCs w:val="20"/>
              </w:rPr>
            </w:pPr>
          </w:p>
        </w:tc>
        <w:tc>
          <w:tcPr>
            <w:tcW w:w="1667" w:type="dxa"/>
          </w:tcPr>
          <w:p w:rsidR="00F000AD" w:rsidRPr="009720FF" w:rsidRDefault="00F000AD" w:rsidP="00F000AD">
            <w:pPr>
              <w:spacing w:before="120" w:after="120"/>
              <w:rPr>
                <w:rFonts w:ascii="Times New Roman" w:hAnsi="Times New Roman" w:cs="Times New Roman"/>
                <w:noProof/>
                <w:sz w:val="20"/>
                <w:szCs w:val="20"/>
              </w:rPr>
            </w:pPr>
          </w:p>
        </w:tc>
      </w:tr>
      <w:tr w:rsidR="00F000AD" w:rsidRPr="009720FF" w:rsidTr="00F000AD">
        <w:tc>
          <w:tcPr>
            <w:tcW w:w="4219" w:type="dxa"/>
            <w:gridSpan w:val="2"/>
          </w:tcPr>
          <w:p w:rsidR="00F000AD" w:rsidRPr="009720FF" w:rsidRDefault="00F000AD" w:rsidP="00F000AD">
            <w:pPr>
              <w:spacing w:before="120" w:after="120"/>
              <w:rPr>
                <w:rFonts w:ascii="Times New Roman" w:hAnsi="Times New Roman" w:cs="Times New Roman"/>
                <w:b/>
                <w:noProof/>
                <w:sz w:val="20"/>
                <w:szCs w:val="20"/>
              </w:rPr>
            </w:pPr>
            <w:r w:rsidRPr="009720FF">
              <w:rPr>
                <w:rFonts w:ascii="Times New Roman" w:hAnsi="Times New Roman" w:cs="Times New Roman"/>
                <w:b/>
                <w:noProof/>
                <w:sz w:val="20"/>
                <w:szCs w:val="20"/>
              </w:rPr>
              <w:t>Programme 2 (CCI number)</w:t>
            </w:r>
          </w:p>
        </w:tc>
        <w:tc>
          <w:tcPr>
            <w:tcW w:w="1701" w:type="dxa"/>
            <w:shd w:val="clear" w:color="auto" w:fill="BFBFBF" w:themeFill="background1" w:themeFillShade="BF"/>
          </w:tcPr>
          <w:p w:rsidR="00F000AD" w:rsidRPr="009720FF" w:rsidRDefault="00F000AD" w:rsidP="00F000AD">
            <w:pPr>
              <w:spacing w:before="120" w:after="120"/>
              <w:rPr>
                <w:rFonts w:ascii="Times New Roman" w:hAnsi="Times New Roman" w:cs="Times New Roman"/>
                <w:noProof/>
                <w:sz w:val="20"/>
                <w:szCs w:val="20"/>
              </w:rPr>
            </w:pPr>
          </w:p>
        </w:tc>
        <w:tc>
          <w:tcPr>
            <w:tcW w:w="1701" w:type="dxa"/>
            <w:shd w:val="clear" w:color="auto" w:fill="BFBFBF" w:themeFill="background1" w:themeFillShade="BF"/>
          </w:tcPr>
          <w:p w:rsidR="00F000AD" w:rsidRPr="009720FF" w:rsidRDefault="00F000AD" w:rsidP="00F000AD">
            <w:pPr>
              <w:spacing w:before="120" w:after="120"/>
              <w:rPr>
                <w:rFonts w:ascii="Times New Roman" w:hAnsi="Times New Roman" w:cs="Times New Roman"/>
                <w:noProof/>
                <w:sz w:val="20"/>
                <w:szCs w:val="20"/>
              </w:rPr>
            </w:pPr>
          </w:p>
        </w:tc>
        <w:tc>
          <w:tcPr>
            <w:tcW w:w="1667" w:type="dxa"/>
            <w:shd w:val="clear" w:color="auto" w:fill="BFBFBF" w:themeFill="background1" w:themeFillShade="BF"/>
          </w:tcPr>
          <w:p w:rsidR="00F000AD" w:rsidRPr="009720FF" w:rsidRDefault="00F000AD" w:rsidP="00F000AD">
            <w:pPr>
              <w:spacing w:before="120" w:after="120"/>
              <w:rPr>
                <w:rFonts w:ascii="Times New Roman" w:hAnsi="Times New Roman" w:cs="Times New Roman"/>
                <w:noProof/>
                <w:sz w:val="20"/>
                <w:szCs w:val="20"/>
              </w:rPr>
            </w:pPr>
          </w:p>
        </w:tc>
      </w:tr>
      <w:tr w:rsidR="00F000AD" w:rsidRPr="009720FF" w:rsidTr="00F000AD">
        <w:tc>
          <w:tcPr>
            <w:tcW w:w="4219" w:type="dxa"/>
            <w:gridSpan w:val="2"/>
          </w:tcPr>
          <w:p w:rsidR="00F000AD" w:rsidRPr="009720FF" w:rsidRDefault="00F000AD" w:rsidP="00F000AD">
            <w:pPr>
              <w:spacing w:before="120" w:after="120"/>
              <w:rPr>
                <w:rFonts w:ascii="Times New Roman" w:hAnsi="Times New Roman" w:cs="Times New Roman"/>
                <w:noProof/>
                <w:sz w:val="20"/>
                <w:szCs w:val="20"/>
              </w:rPr>
            </w:pPr>
            <w:r w:rsidRPr="009720FF">
              <w:rPr>
                <w:rFonts w:ascii="Times New Roman" w:hAnsi="Times New Roman" w:cs="Times New Roman"/>
                <w:b/>
                <w:noProof/>
                <w:sz w:val="20"/>
                <w:szCs w:val="20"/>
              </w:rPr>
              <w:t>Programme 3 (CCI number)</w:t>
            </w:r>
          </w:p>
        </w:tc>
        <w:tc>
          <w:tcPr>
            <w:tcW w:w="1701" w:type="dxa"/>
            <w:shd w:val="clear" w:color="auto" w:fill="BFBFBF" w:themeFill="background1" w:themeFillShade="BF"/>
          </w:tcPr>
          <w:p w:rsidR="00F000AD" w:rsidRPr="009720FF" w:rsidRDefault="00F000AD" w:rsidP="00F000AD">
            <w:pPr>
              <w:spacing w:before="120" w:after="120"/>
              <w:rPr>
                <w:rFonts w:ascii="Times New Roman" w:hAnsi="Times New Roman" w:cs="Times New Roman"/>
                <w:noProof/>
                <w:sz w:val="20"/>
                <w:szCs w:val="20"/>
              </w:rPr>
            </w:pPr>
          </w:p>
        </w:tc>
        <w:tc>
          <w:tcPr>
            <w:tcW w:w="1701" w:type="dxa"/>
            <w:shd w:val="clear" w:color="auto" w:fill="BFBFBF" w:themeFill="background1" w:themeFillShade="BF"/>
          </w:tcPr>
          <w:p w:rsidR="00F000AD" w:rsidRPr="009720FF" w:rsidRDefault="00F000AD" w:rsidP="00F000AD">
            <w:pPr>
              <w:spacing w:before="120" w:after="120"/>
              <w:rPr>
                <w:rFonts w:ascii="Times New Roman" w:hAnsi="Times New Roman" w:cs="Times New Roman"/>
                <w:noProof/>
                <w:sz w:val="20"/>
                <w:szCs w:val="20"/>
              </w:rPr>
            </w:pPr>
          </w:p>
        </w:tc>
        <w:tc>
          <w:tcPr>
            <w:tcW w:w="1667" w:type="dxa"/>
            <w:shd w:val="clear" w:color="auto" w:fill="BFBFBF" w:themeFill="background1" w:themeFillShade="BF"/>
          </w:tcPr>
          <w:p w:rsidR="00F000AD" w:rsidRPr="009720FF" w:rsidRDefault="00F000AD" w:rsidP="00F000AD">
            <w:pPr>
              <w:spacing w:before="120" w:after="120"/>
              <w:rPr>
                <w:rFonts w:ascii="Times New Roman" w:hAnsi="Times New Roman" w:cs="Times New Roman"/>
                <w:noProof/>
                <w:sz w:val="20"/>
                <w:szCs w:val="20"/>
              </w:rPr>
            </w:pPr>
          </w:p>
        </w:tc>
      </w:tr>
      <w:tr w:rsidR="00F000AD" w:rsidRPr="009720FF" w:rsidTr="00F000AD">
        <w:tc>
          <w:tcPr>
            <w:tcW w:w="1857" w:type="dxa"/>
          </w:tcPr>
          <w:p w:rsidR="00F000AD" w:rsidRPr="009720FF" w:rsidRDefault="00F000AD" w:rsidP="00F000AD">
            <w:pPr>
              <w:spacing w:before="120" w:after="120"/>
              <w:rPr>
                <w:rFonts w:ascii="Times New Roman" w:hAnsi="Times New Roman" w:cs="Times New Roman"/>
                <w:b/>
                <w:noProof/>
                <w:sz w:val="20"/>
                <w:szCs w:val="20"/>
              </w:rPr>
            </w:pPr>
            <w:r w:rsidRPr="009720FF">
              <w:rPr>
                <w:rFonts w:ascii="Times New Roman" w:hAnsi="Times New Roman" w:cs="Times New Roman"/>
                <w:b/>
                <w:noProof/>
                <w:sz w:val="20"/>
                <w:szCs w:val="20"/>
              </w:rPr>
              <w:t>Total ERDF</w:t>
            </w:r>
          </w:p>
        </w:tc>
        <w:tc>
          <w:tcPr>
            <w:tcW w:w="2362" w:type="dxa"/>
          </w:tcPr>
          <w:p w:rsidR="00F000AD" w:rsidRPr="009720FF" w:rsidRDefault="00F000AD" w:rsidP="00F000AD">
            <w:pPr>
              <w:spacing w:before="120" w:after="120"/>
              <w:rPr>
                <w:rFonts w:ascii="Times New Roman" w:hAnsi="Times New Roman" w:cs="Times New Roman"/>
                <w:noProof/>
                <w:sz w:val="20"/>
                <w:szCs w:val="20"/>
              </w:rPr>
            </w:pPr>
            <w:r w:rsidRPr="009720FF">
              <w:rPr>
                <w:rFonts w:ascii="Times New Roman" w:hAnsi="Times New Roman" w:cs="Times New Roman"/>
                <w:noProof/>
                <w:sz w:val="20"/>
                <w:szCs w:val="20"/>
              </w:rPr>
              <w:t>More developed</w:t>
            </w:r>
          </w:p>
        </w:tc>
        <w:tc>
          <w:tcPr>
            <w:tcW w:w="1701" w:type="dxa"/>
          </w:tcPr>
          <w:p w:rsidR="00F000AD" w:rsidRPr="009720FF" w:rsidRDefault="00F000AD" w:rsidP="00F000AD">
            <w:pPr>
              <w:spacing w:before="120" w:after="120"/>
              <w:rPr>
                <w:rFonts w:ascii="Times New Roman" w:hAnsi="Times New Roman" w:cs="Times New Roman"/>
                <w:noProof/>
                <w:sz w:val="20"/>
                <w:szCs w:val="20"/>
              </w:rPr>
            </w:pPr>
          </w:p>
        </w:tc>
        <w:tc>
          <w:tcPr>
            <w:tcW w:w="1701" w:type="dxa"/>
          </w:tcPr>
          <w:p w:rsidR="00F000AD" w:rsidRPr="009720FF" w:rsidRDefault="00F000AD" w:rsidP="00F000AD">
            <w:pPr>
              <w:spacing w:before="120" w:after="120"/>
              <w:rPr>
                <w:rFonts w:ascii="Times New Roman" w:hAnsi="Times New Roman" w:cs="Times New Roman"/>
                <w:noProof/>
                <w:sz w:val="20"/>
                <w:szCs w:val="20"/>
              </w:rPr>
            </w:pPr>
          </w:p>
        </w:tc>
        <w:tc>
          <w:tcPr>
            <w:tcW w:w="1667" w:type="dxa"/>
          </w:tcPr>
          <w:p w:rsidR="00F000AD" w:rsidRPr="009720FF" w:rsidRDefault="00F000AD" w:rsidP="00F000AD">
            <w:pPr>
              <w:spacing w:before="120" w:after="120"/>
              <w:rPr>
                <w:rFonts w:ascii="Times New Roman" w:hAnsi="Times New Roman" w:cs="Times New Roman"/>
                <w:noProof/>
                <w:sz w:val="20"/>
                <w:szCs w:val="20"/>
              </w:rPr>
            </w:pPr>
          </w:p>
        </w:tc>
      </w:tr>
      <w:tr w:rsidR="00F000AD" w:rsidRPr="009720FF" w:rsidTr="00F000AD">
        <w:tc>
          <w:tcPr>
            <w:tcW w:w="1857" w:type="dxa"/>
          </w:tcPr>
          <w:p w:rsidR="00F000AD" w:rsidRPr="009720FF" w:rsidRDefault="00F000AD" w:rsidP="00F000AD">
            <w:pPr>
              <w:spacing w:before="120" w:after="120"/>
              <w:rPr>
                <w:rFonts w:ascii="Times New Roman" w:hAnsi="Times New Roman" w:cs="Times New Roman"/>
                <w:noProof/>
                <w:sz w:val="20"/>
                <w:szCs w:val="20"/>
              </w:rPr>
            </w:pPr>
          </w:p>
        </w:tc>
        <w:tc>
          <w:tcPr>
            <w:tcW w:w="2362" w:type="dxa"/>
          </w:tcPr>
          <w:p w:rsidR="00F000AD" w:rsidRPr="009720FF" w:rsidRDefault="00F000AD" w:rsidP="00F000AD">
            <w:pPr>
              <w:spacing w:before="120" w:after="120"/>
              <w:rPr>
                <w:rFonts w:ascii="Times New Roman" w:hAnsi="Times New Roman" w:cs="Times New Roman"/>
                <w:noProof/>
                <w:sz w:val="20"/>
                <w:szCs w:val="20"/>
              </w:rPr>
            </w:pPr>
            <w:r w:rsidRPr="009720FF">
              <w:rPr>
                <w:rFonts w:ascii="Times New Roman" w:hAnsi="Times New Roman" w:cs="Times New Roman"/>
                <w:noProof/>
                <w:sz w:val="20"/>
                <w:szCs w:val="20"/>
              </w:rPr>
              <w:t>Transition</w:t>
            </w:r>
          </w:p>
        </w:tc>
        <w:tc>
          <w:tcPr>
            <w:tcW w:w="1701" w:type="dxa"/>
          </w:tcPr>
          <w:p w:rsidR="00F000AD" w:rsidRPr="009720FF" w:rsidRDefault="00F000AD" w:rsidP="00F000AD">
            <w:pPr>
              <w:spacing w:before="120" w:after="120"/>
              <w:rPr>
                <w:rFonts w:ascii="Times New Roman" w:hAnsi="Times New Roman" w:cs="Times New Roman"/>
                <w:noProof/>
                <w:sz w:val="20"/>
                <w:szCs w:val="20"/>
              </w:rPr>
            </w:pPr>
          </w:p>
        </w:tc>
        <w:tc>
          <w:tcPr>
            <w:tcW w:w="1701" w:type="dxa"/>
          </w:tcPr>
          <w:p w:rsidR="00F000AD" w:rsidRPr="009720FF" w:rsidRDefault="00F000AD" w:rsidP="00F000AD">
            <w:pPr>
              <w:spacing w:before="120" w:after="120"/>
              <w:rPr>
                <w:rFonts w:ascii="Times New Roman" w:hAnsi="Times New Roman" w:cs="Times New Roman"/>
                <w:noProof/>
                <w:sz w:val="20"/>
                <w:szCs w:val="20"/>
              </w:rPr>
            </w:pPr>
          </w:p>
        </w:tc>
        <w:tc>
          <w:tcPr>
            <w:tcW w:w="1667" w:type="dxa"/>
          </w:tcPr>
          <w:p w:rsidR="00F000AD" w:rsidRPr="009720FF" w:rsidRDefault="00F000AD" w:rsidP="00F000AD">
            <w:pPr>
              <w:spacing w:before="120" w:after="120"/>
              <w:rPr>
                <w:rFonts w:ascii="Times New Roman" w:hAnsi="Times New Roman" w:cs="Times New Roman"/>
                <w:noProof/>
                <w:sz w:val="20"/>
                <w:szCs w:val="20"/>
              </w:rPr>
            </w:pPr>
          </w:p>
        </w:tc>
      </w:tr>
      <w:tr w:rsidR="00F000AD" w:rsidRPr="009720FF" w:rsidTr="00F000AD">
        <w:tc>
          <w:tcPr>
            <w:tcW w:w="1857" w:type="dxa"/>
          </w:tcPr>
          <w:p w:rsidR="00F000AD" w:rsidRPr="009720FF" w:rsidRDefault="00F000AD" w:rsidP="00F000AD">
            <w:pPr>
              <w:spacing w:before="120" w:after="120"/>
              <w:rPr>
                <w:rFonts w:ascii="Times New Roman" w:hAnsi="Times New Roman" w:cs="Times New Roman"/>
                <w:noProof/>
                <w:sz w:val="20"/>
                <w:szCs w:val="20"/>
              </w:rPr>
            </w:pPr>
          </w:p>
        </w:tc>
        <w:tc>
          <w:tcPr>
            <w:tcW w:w="2362" w:type="dxa"/>
          </w:tcPr>
          <w:p w:rsidR="00F000AD" w:rsidRPr="009720FF" w:rsidRDefault="00F000AD" w:rsidP="00F000AD">
            <w:pPr>
              <w:spacing w:before="120" w:after="120"/>
              <w:rPr>
                <w:rFonts w:ascii="Times New Roman" w:hAnsi="Times New Roman" w:cs="Times New Roman"/>
                <w:noProof/>
                <w:sz w:val="20"/>
                <w:szCs w:val="20"/>
              </w:rPr>
            </w:pPr>
            <w:r w:rsidRPr="009720FF">
              <w:rPr>
                <w:rFonts w:ascii="Times New Roman" w:hAnsi="Times New Roman" w:cs="Times New Roman"/>
                <w:noProof/>
                <w:sz w:val="20"/>
                <w:szCs w:val="20"/>
              </w:rPr>
              <w:t>Less developed</w:t>
            </w:r>
          </w:p>
        </w:tc>
        <w:tc>
          <w:tcPr>
            <w:tcW w:w="1701" w:type="dxa"/>
          </w:tcPr>
          <w:p w:rsidR="00F000AD" w:rsidRPr="009720FF" w:rsidRDefault="00F000AD" w:rsidP="00F000AD">
            <w:pPr>
              <w:spacing w:before="120" w:after="120"/>
              <w:rPr>
                <w:rFonts w:ascii="Times New Roman" w:hAnsi="Times New Roman" w:cs="Times New Roman"/>
                <w:noProof/>
                <w:sz w:val="20"/>
                <w:szCs w:val="20"/>
              </w:rPr>
            </w:pPr>
          </w:p>
        </w:tc>
        <w:tc>
          <w:tcPr>
            <w:tcW w:w="1701" w:type="dxa"/>
          </w:tcPr>
          <w:p w:rsidR="00F000AD" w:rsidRPr="009720FF" w:rsidRDefault="00F000AD" w:rsidP="00F000AD">
            <w:pPr>
              <w:spacing w:before="120" w:after="120"/>
              <w:rPr>
                <w:rFonts w:ascii="Times New Roman" w:hAnsi="Times New Roman" w:cs="Times New Roman"/>
                <w:noProof/>
                <w:sz w:val="20"/>
                <w:szCs w:val="20"/>
              </w:rPr>
            </w:pPr>
          </w:p>
        </w:tc>
        <w:tc>
          <w:tcPr>
            <w:tcW w:w="1667" w:type="dxa"/>
          </w:tcPr>
          <w:p w:rsidR="00F000AD" w:rsidRPr="009720FF" w:rsidRDefault="00F000AD" w:rsidP="00F000AD">
            <w:pPr>
              <w:spacing w:before="120" w:after="120"/>
              <w:rPr>
                <w:rFonts w:ascii="Times New Roman" w:hAnsi="Times New Roman" w:cs="Times New Roman"/>
                <w:noProof/>
                <w:sz w:val="20"/>
                <w:szCs w:val="20"/>
              </w:rPr>
            </w:pPr>
          </w:p>
        </w:tc>
      </w:tr>
      <w:tr w:rsidR="00F000AD" w:rsidRPr="009720FF" w:rsidTr="00F000AD">
        <w:tc>
          <w:tcPr>
            <w:tcW w:w="1857" w:type="dxa"/>
          </w:tcPr>
          <w:p w:rsidR="00F000AD" w:rsidRPr="009720FF" w:rsidRDefault="00F000AD" w:rsidP="00F000AD">
            <w:pPr>
              <w:spacing w:before="120" w:after="120"/>
              <w:rPr>
                <w:rFonts w:ascii="Times New Roman" w:hAnsi="Times New Roman" w:cs="Times New Roman"/>
                <w:noProof/>
                <w:sz w:val="20"/>
                <w:szCs w:val="20"/>
              </w:rPr>
            </w:pPr>
          </w:p>
        </w:tc>
        <w:tc>
          <w:tcPr>
            <w:tcW w:w="2362" w:type="dxa"/>
          </w:tcPr>
          <w:p w:rsidR="00F000AD" w:rsidRPr="009720FF" w:rsidRDefault="00F000AD" w:rsidP="00F000AD">
            <w:pPr>
              <w:spacing w:before="120" w:after="120"/>
              <w:rPr>
                <w:rFonts w:ascii="Times New Roman" w:hAnsi="Times New Roman" w:cs="Times New Roman"/>
                <w:noProof/>
                <w:sz w:val="20"/>
                <w:szCs w:val="20"/>
              </w:rPr>
            </w:pPr>
            <w:r w:rsidRPr="009720FF">
              <w:rPr>
                <w:rFonts w:ascii="Times New Roman" w:hAnsi="Times New Roman" w:cs="Times New Roman"/>
                <w:noProof/>
                <w:sz w:val="20"/>
                <w:szCs w:val="20"/>
              </w:rPr>
              <w:t>Outermost and northern sparsely populated</w:t>
            </w:r>
          </w:p>
        </w:tc>
        <w:tc>
          <w:tcPr>
            <w:tcW w:w="1701" w:type="dxa"/>
          </w:tcPr>
          <w:p w:rsidR="00F000AD" w:rsidRPr="009720FF" w:rsidRDefault="00F000AD" w:rsidP="00F000AD">
            <w:pPr>
              <w:spacing w:before="120" w:after="120"/>
              <w:rPr>
                <w:rFonts w:ascii="Times New Roman" w:hAnsi="Times New Roman" w:cs="Times New Roman"/>
                <w:noProof/>
                <w:sz w:val="20"/>
                <w:szCs w:val="20"/>
              </w:rPr>
            </w:pPr>
          </w:p>
        </w:tc>
        <w:tc>
          <w:tcPr>
            <w:tcW w:w="1701" w:type="dxa"/>
          </w:tcPr>
          <w:p w:rsidR="00F000AD" w:rsidRPr="009720FF" w:rsidRDefault="00F000AD" w:rsidP="00F000AD">
            <w:pPr>
              <w:spacing w:before="120" w:after="120"/>
              <w:rPr>
                <w:rFonts w:ascii="Times New Roman" w:hAnsi="Times New Roman" w:cs="Times New Roman"/>
                <w:noProof/>
                <w:sz w:val="20"/>
                <w:szCs w:val="20"/>
              </w:rPr>
            </w:pPr>
          </w:p>
        </w:tc>
        <w:tc>
          <w:tcPr>
            <w:tcW w:w="1667" w:type="dxa"/>
          </w:tcPr>
          <w:p w:rsidR="00F000AD" w:rsidRPr="009720FF" w:rsidRDefault="00F000AD" w:rsidP="00F000AD">
            <w:pPr>
              <w:spacing w:before="120" w:after="120"/>
              <w:rPr>
                <w:rFonts w:ascii="Times New Roman" w:hAnsi="Times New Roman" w:cs="Times New Roman"/>
                <w:noProof/>
                <w:sz w:val="20"/>
                <w:szCs w:val="20"/>
              </w:rPr>
            </w:pPr>
          </w:p>
        </w:tc>
      </w:tr>
      <w:tr w:rsidR="00F000AD" w:rsidRPr="009720FF" w:rsidTr="00F000AD">
        <w:tc>
          <w:tcPr>
            <w:tcW w:w="1857" w:type="dxa"/>
          </w:tcPr>
          <w:p w:rsidR="00F000AD" w:rsidRPr="009720FF" w:rsidRDefault="00F000AD" w:rsidP="00F000AD">
            <w:pPr>
              <w:spacing w:before="120" w:after="120"/>
              <w:rPr>
                <w:rFonts w:ascii="Times New Roman" w:hAnsi="Times New Roman" w:cs="Times New Roman"/>
                <w:b/>
                <w:noProof/>
                <w:sz w:val="20"/>
                <w:szCs w:val="20"/>
              </w:rPr>
            </w:pPr>
            <w:r w:rsidRPr="009720FF">
              <w:rPr>
                <w:rFonts w:ascii="Times New Roman" w:hAnsi="Times New Roman" w:cs="Times New Roman"/>
                <w:b/>
                <w:noProof/>
                <w:sz w:val="20"/>
                <w:szCs w:val="20"/>
              </w:rPr>
              <w:t>Total ESF+</w:t>
            </w:r>
          </w:p>
        </w:tc>
        <w:tc>
          <w:tcPr>
            <w:tcW w:w="2362" w:type="dxa"/>
          </w:tcPr>
          <w:p w:rsidR="00F000AD" w:rsidRPr="009720FF" w:rsidRDefault="00F000AD" w:rsidP="00F000AD">
            <w:pPr>
              <w:spacing w:before="60" w:after="60"/>
              <w:rPr>
                <w:rFonts w:ascii="Times New Roman" w:eastAsia="Times New Roman" w:hAnsi="Times New Roman" w:cs="Times New Roman"/>
                <w:noProof/>
                <w:sz w:val="18"/>
                <w:szCs w:val="20"/>
              </w:rPr>
            </w:pPr>
            <w:r w:rsidRPr="009720FF">
              <w:rPr>
                <w:rFonts w:ascii="Times New Roman" w:eastAsia="Times New Roman" w:hAnsi="Times New Roman" w:cs="Times New Roman"/>
                <w:noProof/>
                <w:sz w:val="18"/>
                <w:szCs w:val="20"/>
              </w:rPr>
              <w:t>More developed</w:t>
            </w:r>
          </w:p>
        </w:tc>
        <w:tc>
          <w:tcPr>
            <w:tcW w:w="1701" w:type="dxa"/>
          </w:tcPr>
          <w:p w:rsidR="00F000AD" w:rsidRPr="009720FF" w:rsidRDefault="00F000AD" w:rsidP="00F000AD">
            <w:pPr>
              <w:spacing w:before="120" w:after="120"/>
              <w:rPr>
                <w:rFonts w:ascii="Times New Roman" w:hAnsi="Times New Roman" w:cs="Times New Roman"/>
                <w:noProof/>
                <w:sz w:val="20"/>
                <w:szCs w:val="20"/>
              </w:rPr>
            </w:pPr>
          </w:p>
        </w:tc>
        <w:tc>
          <w:tcPr>
            <w:tcW w:w="1701" w:type="dxa"/>
          </w:tcPr>
          <w:p w:rsidR="00F000AD" w:rsidRPr="009720FF" w:rsidRDefault="00F000AD" w:rsidP="00F000AD">
            <w:pPr>
              <w:spacing w:before="120" w:after="120"/>
              <w:rPr>
                <w:rFonts w:ascii="Times New Roman" w:hAnsi="Times New Roman" w:cs="Times New Roman"/>
                <w:noProof/>
                <w:sz w:val="20"/>
                <w:szCs w:val="20"/>
              </w:rPr>
            </w:pPr>
          </w:p>
        </w:tc>
        <w:tc>
          <w:tcPr>
            <w:tcW w:w="1667" w:type="dxa"/>
          </w:tcPr>
          <w:p w:rsidR="00F000AD" w:rsidRPr="009720FF" w:rsidRDefault="00F000AD" w:rsidP="00F000AD">
            <w:pPr>
              <w:spacing w:before="120" w:after="120"/>
              <w:rPr>
                <w:rFonts w:ascii="Times New Roman" w:hAnsi="Times New Roman" w:cs="Times New Roman"/>
                <w:noProof/>
                <w:sz w:val="20"/>
                <w:szCs w:val="20"/>
              </w:rPr>
            </w:pPr>
          </w:p>
        </w:tc>
      </w:tr>
      <w:tr w:rsidR="00F000AD" w:rsidRPr="009720FF" w:rsidTr="00F000AD">
        <w:tc>
          <w:tcPr>
            <w:tcW w:w="1857" w:type="dxa"/>
          </w:tcPr>
          <w:p w:rsidR="00F000AD" w:rsidRPr="009720FF" w:rsidRDefault="00F000AD" w:rsidP="00F000AD">
            <w:pPr>
              <w:spacing w:before="120" w:after="120"/>
              <w:rPr>
                <w:rFonts w:ascii="Times New Roman" w:hAnsi="Times New Roman" w:cs="Times New Roman"/>
                <w:noProof/>
                <w:sz w:val="20"/>
                <w:szCs w:val="20"/>
              </w:rPr>
            </w:pPr>
          </w:p>
        </w:tc>
        <w:tc>
          <w:tcPr>
            <w:tcW w:w="2362" w:type="dxa"/>
          </w:tcPr>
          <w:p w:rsidR="00F000AD" w:rsidRPr="009720FF" w:rsidRDefault="00F000AD" w:rsidP="00F000AD">
            <w:pPr>
              <w:spacing w:before="60" w:after="60"/>
              <w:rPr>
                <w:rFonts w:ascii="Times New Roman" w:eastAsia="Times New Roman" w:hAnsi="Times New Roman" w:cs="Times New Roman"/>
                <w:noProof/>
                <w:sz w:val="18"/>
                <w:szCs w:val="20"/>
              </w:rPr>
            </w:pPr>
            <w:r w:rsidRPr="009720FF">
              <w:rPr>
                <w:rFonts w:ascii="Times New Roman" w:hAnsi="Times New Roman" w:cs="Times New Roman"/>
                <w:noProof/>
                <w:sz w:val="18"/>
                <w:szCs w:val="20"/>
              </w:rPr>
              <w:t>Transition</w:t>
            </w:r>
          </w:p>
        </w:tc>
        <w:tc>
          <w:tcPr>
            <w:tcW w:w="1701" w:type="dxa"/>
          </w:tcPr>
          <w:p w:rsidR="00F000AD" w:rsidRPr="009720FF" w:rsidRDefault="00F000AD" w:rsidP="00F000AD">
            <w:pPr>
              <w:spacing w:before="120" w:after="120"/>
              <w:rPr>
                <w:rFonts w:ascii="Times New Roman" w:hAnsi="Times New Roman" w:cs="Times New Roman"/>
                <w:noProof/>
                <w:sz w:val="20"/>
                <w:szCs w:val="20"/>
              </w:rPr>
            </w:pPr>
          </w:p>
        </w:tc>
        <w:tc>
          <w:tcPr>
            <w:tcW w:w="1701" w:type="dxa"/>
          </w:tcPr>
          <w:p w:rsidR="00F000AD" w:rsidRPr="009720FF" w:rsidRDefault="00F000AD" w:rsidP="00F000AD">
            <w:pPr>
              <w:spacing w:before="120" w:after="120"/>
              <w:rPr>
                <w:rFonts w:ascii="Times New Roman" w:hAnsi="Times New Roman" w:cs="Times New Roman"/>
                <w:noProof/>
                <w:sz w:val="20"/>
                <w:szCs w:val="20"/>
              </w:rPr>
            </w:pPr>
          </w:p>
        </w:tc>
        <w:tc>
          <w:tcPr>
            <w:tcW w:w="1667" w:type="dxa"/>
          </w:tcPr>
          <w:p w:rsidR="00F000AD" w:rsidRPr="009720FF" w:rsidRDefault="00F000AD" w:rsidP="00F000AD">
            <w:pPr>
              <w:spacing w:before="120" w:after="120"/>
              <w:rPr>
                <w:rFonts w:ascii="Times New Roman" w:hAnsi="Times New Roman" w:cs="Times New Roman"/>
                <w:noProof/>
                <w:sz w:val="20"/>
                <w:szCs w:val="20"/>
              </w:rPr>
            </w:pPr>
          </w:p>
        </w:tc>
      </w:tr>
      <w:tr w:rsidR="00F000AD" w:rsidRPr="009720FF" w:rsidTr="00F000AD">
        <w:tc>
          <w:tcPr>
            <w:tcW w:w="1857" w:type="dxa"/>
          </w:tcPr>
          <w:p w:rsidR="00F000AD" w:rsidRPr="009720FF" w:rsidRDefault="00F000AD" w:rsidP="00F000AD">
            <w:pPr>
              <w:spacing w:before="120" w:after="120"/>
              <w:rPr>
                <w:rFonts w:ascii="Times New Roman" w:hAnsi="Times New Roman" w:cs="Times New Roman"/>
                <w:noProof/>
                <w:sz w:val="20"/>
                <w:szCs w:val="20"/>
              </w:rPr>
            </w:pPr>
          </w:p>
        </w:tc>
        <w:tc>
          <w:tcPr>
            <w:tcW w:w="2362" w:type="dxa"/>
          </w:tcPr>
          <w:p w:rsidR="00F000AD" w:rsidRPr="009720FF" w:rsidRDefault="00F000AD" w:rsidP="00F000AD">
            <w:pPr>
              <w:spacing w:before="60" w:after="60"/>
              <w:rPr>
                <w:rFonts w:ascii="Times New Roman" w:hAnsi="Times New Roman" w:cs="Times New Roman"/>
                <w:noProof/>
                <w:sz w:val="18"/>
                <w:szCs w:val="20"/>
              </w:rPr>
            </w:pPr>
            <w:r w:rsidRPr="009720FF">
              <w:rPr>
                <w:rFonts w:ascii="Times New Roman" w:eastAsia="Times New Roman" w:hAnsi="Times New Roman" w:cs="Times New Roman"/>
                <w:noProof/>
                <w:sz w:val="18"/>
                <w:szCs w:val="20"/>
              </w:rPr>
              <w:t>Less developed</w:t>
            </w:r>
          </w:p>
        </w:tc>
        <w:tc>
          <w:tcPr>
            <w:tcW w:w="1701" w:type="dxa"/>
          </w:tcPr>
          <w:p w:rsidR="00F000AD" w:rsidRPr="009720FF" w:rsidRDefault="00F000AD" w:rsidP="00F000AD">
            <w:pPr>
              <w:spacing w:before="120" w:after="120"/>
              <w:rPr>
                <w:rFonts w:ascii="Times New Roman" w:hAnsi="Times New Roman" w:cs="Times New Roman"/>
                <w:noProof/>
                <w:sz w:val="20"/>
                <w:szCs w:val="20"/>
              </w:rPr>
            </w:pPr>
          </w:p>
        </w:tc>
        <w:tc>
          <w:tcPr>
            <w:tcW w:w="1701" w:type="dxa"/>
          </w:tcPr>
          <w:p w:rsidR="00F000AD" w:rsidRPr="009720FF" w:rsidRDefault="00F000AD" w:rsidP="00F000AD">
            <w:pPr>
              <w:spacing w:before="120" w:after="120"/>
              <w:rPr>
                <w:rFonts w:ascii="Times New Roman" w:hAnsi="Times New Roman" w:cs="Times New Roman"/>
                <w:noProof/>
                <w:sz w:val="20"/>
                <w:szCs w:val="20"/>
              </w:rPr>
            </w:pPr>
          </w:p>
        </w:tc>
        <w:tc>
          <w:tcPr>
            <w:tcW w:w="1667" w:type="dxa"/>
          </w:tcPr>
          <w:p w:rsidR="00F000AD" w:rsidRPr="009720FF" w:rsidRDefault="00F000AD" w:rsidP="00F000AD">
            <w:pPr>
              <w:spacing w:before="120" w:after="120"/>
              <w:rPr>
                <w:rFonts w:ascii="Times New Roman" w:hAnsi="Times New Roman" w:cs="Times New Roman"/>
                <w:noProof/>
                <w:sz w:val="20"/>
                <w:szCs w:val="20"/>
              </w:rPr>
            </w:pPr>
          </w:p>
        </w:tc>
      </w:tr>
      <w:tr w:rsidR="00F000AD" w:rsidRPr="009720FF" w:rsidTr="00F000AD">
        <w:tc>
          <w:tcPr>
            <w:tcW w:w="1857" w:type="dxa"/>
          </w:tcPr>
          <w:p w:rsidR="00F000AD" w:rsidRPr="009720FF" w:rsidRDefault="00F000AD" w:rsidP="00F000AD">
            <w:pPr>
              <w:spacing w:before="120" w:after="120"/>
              <w:rPr>
                <w:rFonts w:ascii="Times New Roman" w:hAnsi="Times New Roman" w:cs="Times New Roman"/>
                <w:noProof/>
                <w:sz w:val="20"/>
                <w:szCs w:val="20"/>
              </w:rPr>
            </w:pPr>
          </w:p>
        </w:tc>
        <w:tc>
          <w:tcPr>
            <w:tcW w:w="2362" w:type="dxa"/>
          </w:tcPr>
          <w:p w:rsidR="00F000AD" w:rsidRPr="009720FF" w:rsidRDefault="00F000AD" w:rsidP="00F000AD">
            <w:pPr>
              <w:spacing w:before="60" w:after="60"/>
              <w:rPr>
                <w:rFonts w:ascii="Times New Roman" w:eastAsia="Times New Roman" w:hAnsi="Times New Roman" w:cs="Times New Roman"/>
                <w:noProof/>
                <w:sz w:val="18"/>
                <w:szCs w:val="20"/>
              </w:rPr>
            </w:pPr>
            <w:r w:rsidRPr="009720FF">
              <w:rPr>
                <w:rFonts w:ascii="Times New Roman" w:hAnsi="Times New Roman" w:cs="Times New Roman"/>
                <w:noProof/>
                <w:sz w:val="18"/>
                <w:szCs w:val="20"/>
              </w:rPr>
              <w:t xml:space="preserve">Outermost </w:t>
            </w:r>
          </w:p>
        </w:tc>
        <w:tc>
          <w:tcPr>
            <w:tcW w:w="1701" w:type="dxa"/>
          </w:tcPr>
          <w:p w:rsidR="00F000AD" w:rsidRPr="009720FF" w:rsidRDefault="00F000AD" w:rsidP="00F000AD">
            <w:pPr>
              <w:spacing w:before="120" w:after="120"/>
              <w:rPr>
                <w:rFonts w:ascii="Times New Roman" w:hAnsi="Times New Roman" w:cs="Times New Roman"/>
                <w:noProof/>
                <w:sz w:val="20"/>
                <w:szCs w:val="20"/>
              </w:rPr>
            </w:pPr>
          </w:p>
        </w:tc>
        <w:tc>
          <w:tcPr>
            <w:tcW w:w="1701" w:type="dxa"/>
          </w:tcPr>
          <w:p w:rsidR="00F000AD" w:rsidRPr="009720FF" w:rsidRDefault="00F000AD" w:rsidP="00F000AD">
            <w:pPr>
              <w:spacing w:before="120" w:after="120"/>
              <w:rPr>
                <w:rFonts w:ascii="Times New Roman" w:hAnsi="Times New Roman" w:cs="Times New Roman"/>
                <w:noProof/>
                <w:sz w:val="20"/>
                <w:szCs w:val="20"/>
              </w:rPr>
            </w:pPr>
          </w:p>
        </w:tc>
        <w:tc>
          <w:tcPr>
            <w:tcW w:w="1667" w:type="dxa"/>
          </w:tcPr>
          <w:p w:rsidR="00F000AD" w:rsidRPr="009720FF" w:rsidRDefault="00F000AD" w:rsidP="00F000AD">
            <w:pPr>
              <w:spacing w:before="120" w:after="120"/>
              <w:rPr>
                <w:rFonts w:ascii="Times New Roman" w:hAnsi="Times New Roman" w:cs="Times New Roman"/>
                <w:noProof/>
                <w:sz w:val="20"/>
                <w:szCs w:val="20"/>
              </w:rPr>
            </w:pPr>
          </w:p>
        </w:tc>
      </w:tr>
      <w:tr w:rsidR="00F000AD" w:rsidRPr="009720FF" w:rsidTr="00F000AD">
        <w:tc>
          <w:tcPr>
            <w:tcW w:w="4219" w:type="dxa"/>
            <w:gridSpan w:val="2"/>
          </w:tcPr>
          <w:p w:rsidR="00F000AD" w:rsidRPr="009720FF" w:rsidRDefault="00F000AD" w:rsidP="00F000AD">
            <w:pPr>
              <w:spacing w:before="120" w:after="120"/>
              <w:rPr>
                <w:rFonts w:ascii="Times New Roman" w:hAnsi="Times New Roman" w:cs="Times New Roman"/>
                <w:b/>
                <w:noProof/>
                <w:sz w:val="20"/>
                <w:szCs w:val="20"/>
              </w:rPr>
            </w:pPr>
            <w:r w:rsidRPr="009720FF">
              <w:rPr>
                <w:rFonts w:ascii="Times New Roman" w:hAnsi="Times New Roman" w:cs="Times New Roman"/>
                <w:b/>
                <w:noProof/>
                <w:sz w:val="20"/>
                <w:szCs w:val="20"/>
              </w:rPr>
              <w:t>Total</w:t>
            </w:r>
          </w:p>
        </w:tc>
        <w:tc>
          <w:tcPr>
            <w:tcW w:w="1701" w:type="dxa"/>
          </w:tcPr>
          <w:p w:rsidR="00F000AD" w:rsidRPr="009720FF" w:rsidRDefault="00F000AD" w:rsidP="00F000AD">
            <w:pPr>
              <w:spacing w:before="120" w:after="120"/>
              <w:rPr>
                <w:rFonts w:ascii="Times New Roman" w:hAnsi="Times New Roman" w:cs="Times New Roman"/>
                <w:noProof/>
                <w:sz w:val="20"/>
                <w:szCs w:val="20"/>
              </w:rPr>
            </w:pPr>
          </w:p>
        </w:tc>
        <w:tc>
          <w:tcPr>
            <w:tcW w:w="1701" w:type="dxa"/>
          </w:tcPr>
          <w:p w:rsidR="00F000AD" w:rsidRPr="009720FF" w:rsidRDefault="00F000AD" w:rsidP="00F000AD">
            <w:pPr>
              <w:spacing w:before="120" w:after="120"/>
              <w:rPr>
                <w:rFonts w:ascii="Times New Roman" w:hAnsi="Times New Roman" w:cs="Times New Roman"/>
                <w:noProof/>
                <w:sz w:val="20"/>
                <w:szCs w:val="20"/>
              </w:rPr>
            </w:pPr>
          </w:p>
        </w:tc>
        <w:tc>
          <w:tcPr>
            <w:tcW w:w="1667" w:type="dxa"/>
          </w:tcPr>
          <w:p w:rsidR="00F000AD" w:rsidRPr="009720FF" w:rsidRDefault="00F000AD" w:rsidP="00F000AD">
            <w:pPr>
              <w:spacing w:before="120" w:after="120"/>
              <w:rPr>
                <w:rFonts w:ascii="Times New Roman" w:hAnsi="Times New Roman" w:cs="Times New Roman"/>
                <w:noProof/>
                <w:sz w:val="20"/>
                <w:szCs w:val="20"/>
              </w:rPr>
            </w:pPr>
          </w:p>
        </w:tc>
      </w:tr>
    </w:tbl>
    <w:p w:rsidR="00F000AD" w:rsidRPr="009720FF" w:rsidRDefault="00F000AD" w:rsidP="00F000AD">
      <w:pPr>
        <w:spacing w:before="120" w:after="0" w:line="240" w:lineRule="auto"/>
        <w:rPr>
          <w:rFonts w:ascii="Times New Roman" w:hAnsi="Times New Roman" w:cs="Times New Roman"/>
          <w:noProof/>
          <w:sz w:val="18"/>
          <w:szCs w:val="24"/>
          <w:lang w:val="en-GB"/>
        </w:rPr>
      </w:pPr>
      <w:r w:rsidRPr="009720FF">
        <w:rPr>
          <w:rFonts w:ascii="Times New Roman" w:hAnsi="Times New Roman" w:cs="Times New Roman"/>
          <w:noProof/>
          <w:sz w:val="18"/>
          <w:szCs w:val="24"/>
          <w:lang w:val="en-GB"/>
        </w:rPr>
        <w:t>* programme with JTF allocation, which receives complementary support from the ERDF and ESF+.</w:t>
      </w:r>
    </w:p>
    <w:p w:rsidR="00F000AD" w:rsidRPr="009720FF" w:rsidRDefault="00F000AD" w:rsidP="00F000AD">
      <w:pPr>
        <w:spacing w:after="120" w:line="240" w:lineRule="auto"/>
        <w:rPr>
          <w:rFonts w:ascii="Times New Roman" w:hAnsi="Times New Roman" w:cs="Times New Roman"/>
          <w:noProof/>
          <w:sz w:val="18"/>
          <w:szCs w:val="24"/>
          <w:lang w:val="en-GB"/>
        </w:rPr>
      </w:pPr>
      <w:r w:rsidRPr="009720FF">
        <w:rPr>
          <w:rFonts w:ascii="Times New Roman" w:hAnsi="Times New Roman" w:cs="Times New Roman"/>
          <w:noProof/>
          <w:sz w:val="18"/>
          <w:szCs w:val="24"/>
          <w:lang w:val="en-GB"/>
        </w:rPr>
        <w:t>** programme providing the complementary support from the ERDF and ESF+ (source).”</w:t>
      </w:r>
    </w:p>
    <w:p w:rsidR="001A17A2" w:rsidRPr="001A17A2" w:rsidRDefault="001A17A2" w:rsidP="001A17A2">
      <w:pPr>
        <w:spacing w:before="240" w:after="240" w:line="240" w:lineRule="auto"/>
        <w:jc w:val="both"/>
        <w:rPr>
          <w:rFonts w:ascii="Times New Roman" w:eastAsia="Times New Roman" w:hAnsi="Times New Roman" w:cs="Times New Roman"/>
          <w:b/>
          <w:iCs/>
          <w:noProof/>
          <w:sz w:val="24"/>
          <w:szCs w:val="24"/>
          <w:lang w:val="en-GB"/>
        </w:rPr>
      </w:pPr>
      <w:r w:rsidRPr="001A17A2">
        <w:rPr>
          <w:rFonts w:ascii="Times New Roman" w:eastAsia="Times New Roman" w:hAnsi="Times New Roman" w:cs="Times New Roman"/>
          <w:b/>
          <w:iCs/>
          <w:noProof/>
          <w:sz w:val="24"/>
          <w:szCs w:val="24"/>
          <w:lang w:val="en-GB"/>
        </w:rPr>
        <w:t>3.1 Financial appropriations by year</w:t>
      </w:r>
    </w:p>
    <w:p w:rsidR="001A17A2" w:rsidRPr="001A17A2" w:rsidRDefault="001A17A2" w:rsidP="001A17A2">
      <w:pPr>
        <w:spacing w:before="240" w:after="240" w:line="240" w:lineRule="auto"/>
        <w:rPr>
          <w:rFonts w:ascii="Times New Roman" w:eastAsia="Times New Roman" w:hAnsi="Times New Roman" w:cs="Times New Roman"/>
          <w:b/>
          <w:iCs/>
          <w:noProof/>
          <w:sz w:val="24"/>
          <w:szCs w:val="24"/>
          <w:lang w:val="en-GB"/>
        </w:rPr>
      </w:pPr>
      <w:r w:rsidRPr="001A17A2">
        <w:rPr>
          <w:rFonts w:ascii="Times New Roman" w:eastAsia="Times New Roman" w:hAnsi="Times New Roman" w:cs="Times New Roman"/>
          <w:i/>
          <w:noProof/>
          <w:sz w:val="24"/>
          <w:szCs w:val="24"/>
          <w:lang w:val="en-GB"/>
        </w:rPr>
        <w:t>Reference: Article 17(3)(f)(i)</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
        <w:gridCol w:w="1378"/>
        <w:gridCol w:w="795"/>
        <w:gridCol w:w="868"/>
        <w:gridCol w:w="877"/>
        <w:gridCol w:w="753"/>
        <w:gridCol w:w="801"/>
        <w:gridCol w:w="878"/>
        <w:gridCol w:w="952"/>
        <w:gridCol w:w="2185"/>
      </w:tblGrid>
      <w:tr w:rsidR="001A17A2" w:rsidRPr="001A17A2" w:rsidTr="004F32B2">
        <w:trPr>
          <w:trHeight w:val="509"/>
        </w:trPr>
        <w:tc>
          <w:tcPr>
            <w:tcW w:w="969" w:type="dxa"/>
            <w:vMerge w:val="restart"/>
            <w:tcBorders>
              <w:top w:val="single" w:sz="4" w:space="0" w:color="auto"/>
              <w:left w:val="single" w:sz="4" w:space="0" w:color="auto"/>
              <w:bottom w:val="single" w:sz="4" w:space="0" w:color="auto"/>
              <w:right w:val="single" w:sz="4" w:space="0" w:color="auto"/>
            </w:tcBorders>
            <w:hideMark/>
          </w:tcPr>
          <w:p w:rsidR="001A17A2" w:rsidRPr="001A17A2" w:rsidRDefault="001A17A2" w:rsidP="001A17A2">
            <w:pPr>
              <w:spacing w:before="120" w:after="0" w:line="240" w:lineRule="auto"/>
              <w:rPr>
                <w:rFonts w:ascii="Times New Roman" w:hAnsi="Times New Roman" w:cs="Times New Roman"/>
                <w:b/>
                <w:noProof/>
                <w:sz w:val="18"/>
                <w:szCs w:val="18"/>
                <w:lang w:val="en-US"/>
              </w:rPr>
            </w:pPr>
            <w:r w:rsidRPr="001A17A2">
              <w:rPr>
                <w:rFonts w:ascii="Times New Roman" w:hAnsi="Times New Roman" w:cs="Times New Roman"/>
                <w:b/>
                <w:noProof/>
                <w:sz w:val="18"/>
                <w:szCs w:val="18"/>
                <w:lang w:val="en-US"/>
              </w:rPr>
              <w:t>Fund</w:t>
            </w:r>
          </w:p>
        </w:tc>
        <w:tc>
          <w:tcPr>
            <w:tcW w:w="1378" w:type="dxa"/>
            <w:vMerge w:val="restart"/>
            <w:tcBorders>
              <w:top w:val="single" w:sz="4" w:space="0" w:color="auto"/>
              <w:left w:val="single" w:sz="4" w:space="0" w:color="auto"/>
              <w:bottom w:val="single" w:sz="4" w:space="0" w:color="auto"/>
              <w:right w:val="single" w:sz="4" w:space="0" w:color="auto"/>
            </w:tcBorders>
            <w:hideMark/>
          </w:tcPr>
          <w:p w:rsidR="001A17A2" w:rsidRPr="001A17A2" w:rsidRDefault="001A17A2" w:rsidP="001A17A2">
            <w:pPr>
              <w:spacing w:before="120" w:after="0" w:line="240" w:lineRule="auto"/>
              <w:rPr>
                <w:rFonts w:ascii="Times New Roman" w:hAnsi="Times New Roman" w:cs="Times New Roman"/>
                <w:b/>
                <w:noProof/>
                <w:sz w:val="18"/>
                <w:szCs w:val="18"/>
                <w:lang w:val="en-US"/>
              </w:rPr>
            </w:pPr>
            <w:r w:rsidRPr="001A17A2">
              <w:rPr>
                <w:rFonts w:ascii="Times New Roman" w:hAnsi="Times New Roman" w:cs="Times New Roman"/>
                <w:b/>
                <w:noProof/>
                <w:sz w:val="18"/>
                <w:szCs w:val="18"/>
                <w:lang w:val="en-US"/>
              </w:rPr>
              <w:t>Category of region</w:t>
            </w:r>
          </w:p>
        </w:tc>
        <w:tc>
          <w:tcPr>
            <w:tcW w:w="795" w:type="dxa"/>
            <w:vMerge w:val="restart"/>
            <w:tcBorders>
              <w:top w:val="single" w:sz="4" w:space="0" w:color="auto"/>
              <w:left w:val="single" w:sz="4" w:space="0" w:color="auto"/>
              <w:bottom w:val="single" w:sz="4" w:space="0" w:color="auto"/>
              <w:right w:val="single" w:sz="4" w:space="0" w:color="auto"/>
            </w:tcBorders>
            <w:hideMark/>
          </w:tcPr>
          <w:p w:rsidR="001A17A2" w:rsidRPr="001A17A2" w:rsidRDefault="001A17A2" w:rsidP="001A17A2">
            <w:pPr>
              <w:spacing w:before="120" w:after="0" w:line="240" w:lineRule="auto"/>
              <w:rPr>
                <w:rFonts w:ascii="Times New Roman" w:hAnsi="Times New Roman" w:cs="Times New Roman"/>
                <w:b/>
                <w:noProof/>
                <w:sz w:val="18"/>
                <w:szCs w:val="18"/>
                <w:lang w:val="en-US"/>
              </w:rPr>
            </w:pPr>
            <w:r w:rsidRPr="001A17A2">
              <w:rPr>
                <w:rFonts w:ascii="Times New Roman" w:hAnsi="Times New Roman" w:cs="Times New Roman"/>
                <w:b/>
                <w:noProof/>
                <w:sz w:val="18"/>
                <w:szCs w:val="18"/>
                <w:lang w:val="en-US"/>
              </w:rPr>
              <w:t>2021</w:t>
            </w:r>
          </w:p>
        </w:tc>
        <w:tc>
          <w:tcPr>
            <w:tcW w:w="868" w:type="dxa"/>
            <w:vMerge w:val="restart"/>
            <w:tcBorders>
              <w:top w:val="single" w:sz="4" w:space="0" w:color="auto"/>
              <w:left w:val="single" w:sz="4" w:space="0" w:color="auto"/>
              <w:bottom w:val="single" w:sz="4" w:space="0" w:color="auto"/>
              <w:right w:val="single" w:sz="4" w:space="0" w:color="auto"/>
            </w:tcBorders>
            <w:hideMark/>
          </w:tcPr>
          <w:p w:rsidR="001A17A2" w:rsidRPr="001A17A2" w:rsidRDefault="001A17A2" w:rsidP="001A17A2">
            <w:pPr>
              <w:spacing w:before="120" w:after="0" w:line="240" w:lineRule="auto"/>
              <w:rPr>
                <w:rFonts w:ascii="Times New Roman" w:hAnsi="Times New Roman" w:cs="Times New Roman"/>
                <w:b/>
                <w:noProof/>
                <w:sz w:val="18"/>
                <w:szCs w:val="18"/>
                <w:lang w:val="en-US"/>
              </w:rPr>
            </w:pPr>
            <w:r w:rsidRPr="001A17A2">
              <w:rPr>
                <w:rFonts w:ascii="Times New Roman" w:hAnsi="Times New Roman" w:cs="Times New Roman"/>
                <w:b/>
                <w:noProof/>
                <w:sz w:val="18"/>
                <w:szCs w:val="18"/>
                <w:lang w:val="en-US"/>
              </w:rPr>
              <w:t>2022</w:t>
            </w:r>
          </w:p>
        </w:tc>
        <w:tc>
          <w:tcPr>
            <w:tcW w:w="877" w:type="dxa"/>
            <w:vMerge w:val="restart"/>
            <w:tcBorders>
              <w:top w:val="single" w:sz="4" w:space="0" w:color="auto"/>
              <w:left w:val="single" w:sz="4" w:space="0" w:color="auto"/>
              <w:bottom w:val="single" w:sz="4" w:space="0" w:color="auto"/>
              <w:right w:val="single" w:sz="4" w:space="0" w:color="auto"/>
            </w:tcBorders>
            <w:hideMark/>
          </w:tcPr>
          <w:p w:rsidR="001A17A2" w:rsidRPr="001A17A2" w:rsidRDefault="001A17A2" w:rsidP="001A17A2">
            <w:pPr>
              <w:spacing w:before="120" w:after="0" w:line="240" w:lineRule="auto"/>
              <w:rPr>
                <w:rFonts w:ascii="Times New Roman" w:hAnsi="Times New Roman" w:cs="Times New Roman"/>
                <w:b/>
                <w:noProof/>
                <w:sz w:val="18"/>
                <w:szCs w:val="18"/>
                <w:lang w:val="en-US"/>
              </w:rPr>
            </w:pPr>
            <w:r w:rsidRPr="001A17A2">
              <w:rPr>
                <w:rFonts w:ascii="Times New Roman" w:hAnsi="Times New Roman" w:cs="Times New Roman"/>
                <w:b/>
                <w:noProof/>
                <w:sz w:val="18"/>
                <w:szCs w:val="18"/>
                <w:lang w:val="en-US"/>
              </w:rPr>
              <w:t>2023</w:t>
            </w:r>
          </w:p>
        </w:tc>
        <w:tc>
          <w:tcPr>
            <w:tcW w:w="753" w:type="dxa"/>
            <w:vMerge w:val="restart"/>
            <w:tcBorders>
              <w:top w:val="single" w:sz="4" w:space="0" w:color="auto"/>
              <w:left w:val="single" w:sz="4" w:space="0" w:color="auto"/>
              <w:bottom w:val="single" w:sz="4" w:space="0" w:color="auto"/>
              <w:right w:val="single" w:sz="4" w:space="0" w:color="auto"/>
            </w:tcBorders>
            <w:hideMark/>
          </w:tcPr>
          <w:p w:rsidR="001A17A2" w:rsidRPr="001A17A2" w:rsidRDefault="001A17A2" w:rsidP="001A17A2">
            <w:pPr>
              <w:spacing w:before="120" w:after="0" w:line="240" w:lineRule="auto"/>
              <w:rPr>
                <w:rFonts w:ascii="Times New Roman" w:hAnsi="Times New Roman" w:cs="Times New Roman"/>
                <w:b/>
                <w:noProof/>
                <w:sz w:val="18"/>
                <w:szCs w:val="18"/>
                <w:lang w:val="en-US"/>
              </w:rPr>
            </w:pPr>
            <w:r w:rsidRPr="001A17A2">
              <w:rPr>
                <w:rFonts w:ascii="Times New Roman" w:hAnsi="Times New Roman" w:cs="Times New Roman"/>
                <w:b/>
                <w:noProof/>
                <w:sz w:val="18"/>
                <w:szCs w:val="18"/>
                <w:lang w:val="en-US"/>
              </w:rPr>
              <w:t>2024</w:t>
            </w:r>
          </w:p>
        </w:tc>
        <w:tc>
          <w:tcPr>
            <w:tcW w:w="801" w:type="dxa"/>
            <w:vMerge w:val="restart"/>
            <w:tcBorders>
              <w:top w:val="single" w:sz="4" w:space="0" w:color="auto"/>
              <w:left w:val="single" w:sz="4" w:space="0" w:color="auto"/>
              <w:bottom w:val="single" w:sz="4" w:space="0" w:color="auto"/>
              <w:right w:val="single" w:sz="4" w:space="0" w:color="auto"/>
            </w:tcBorders>
            <w:hideMark/>
          </w:tcPr>
          <w:p w:rsidR="001A17A2" w:rsidRPr="001A17A2" w:rsidRDefault="001A17A2" w:rsidP="001A17A2">
            <w:pPr>
              <w:spacing w:before="120" w:after="0" w:line="240" w:lineRule="auto"/>
              <w:jc w:val="center"/>
              <w:rPr>
                <w:rFonts w:ascii="Times New Roman" w:hAnsi="Times New Roman" w:cs="Times New Roman"/>
                <w:b/>
                <w:noProof/>
                <w:sz w:val="18"/>
                <w:szCs w:val="18"/>
                <w:lang w:val="en-US"/>
              </w:rPr>
            </w:pPr>
            <w:r w:rsidRPr="001A17A2">
              <w:rPr>
                <w:rFonts w:ascii="Times New Roman" w:hAnsi="Times New Roman" w:cs="Times New Roman"/>
                <w:b/>
                <w:noProof/>
                <w:sz w:val="18"/>
                <w:szCs w:val="18"/>
                <w:lang w:val="en-US"/>
              </w:rPr>
              <w:t>2025</w:t>
            </w:r>
          </w:p>
        </w:tc>
        <w:tc>
          <w:tcPr>
            <w:tcW w:w="878" w:type="dxa"/>
            <w:vMerge w:val="restart"/>
            <w:tcBorders>
              <w:top w:val="single" w:sz="4" w:space="0" w:color="auto"/>
              <w:left w:val="single" w:sz="4" w:space="0" w:color="auto"/>
              <w:bottom w:val="single" w:sz="4" w:space="0" w:color="auto"/>
              <w:right w:val="single" w:sz="4" w:space="0" w:color="auto"/>
            </w:tcBorders>
            <w:hideMark/>
          </w:tcPr>
          <w:p w:rsidR="001A17A2" w:rsidRPr="001A17A2" w:rsidRDefault="001A17A2" w:rsidP="001A17A2">
            <w:pPr>
              <w:spacing w:before="120" w:after="0" w:line="240" w:lineRule="auto"/>
              <w:jc w:val="center"/>
              <w:rPr>
                <w:rFonts w:ascii="Times New Roman" w:hAnsi="Times New Roman" w:cs="Times New Roman"/>
                <w:b/>
                <w:noProof/>
                <w:sz w:val="18"/>
                <w:szCs w:val="18"/>
                <w:lang w:val="en-US"/>
              </w:rPr>
            </w:pPr>
            <w:r w:rsidRPr="001A17A2">
              <w:rPr>
                <w:rFonts w:ascii="Times New Roman" w:hAnsi="Times New Roman" w:cs="Times New Roman"/>
                <w:b/>
                <w:noProof/>
                <w:sz w:val="18"/>
                <w:szCs w:val="18"/>
                <w:lang w:val="en-US"/>
              </w:rPr>
              <w:t>2026</w:t>
            </w:r>
          </w:p>
        </w:tc>
        <w:tc>
          <w:tcPr>
            <w:tcW w:w="952" w:type="dxa"/>
            <w:vMerge w:val="restart"/>
            <w:tcBorders>
              <w:top w:val="single" w:sz="4" w:space="0" w:color="auto"/>
              <w:left w:val="single" w:sz="4" w:space="0" w:color="auto"/>
              <w:bottom w:val="single" w:sz="4" w:space="0" w:color="auto"/>
              <w:right w:val="single" w:sz="4" w:space="0" w:color="auto"/>
            </w:tcBorders>
            <w:hideMark/>
          </w:tcPr>
          <w:p w:rsidR="001A17A2" w:rsidRPr="001A17A2" w:rsidRDefault="001A17A2" w:rsidP="001A17A2">
            <w:pPr>
              <w:spacing w:before="120" w:after="0" w:line="240" w:lineRule="auto"/>
              <w:rPr>
                <w:rFonts w:ascii="Times New Roman" w:hAnsi="Times New Roman" w:cs="Times New Roman"/>
                <w:b/>
                <w:noProof/>
                <w:sz w:val="18"/>
                <w:szCs w:val="18"/>
                <w:lang w:val="en-US"/>
              </w:rPr>
            </w:pPr>
            <w:r w:rsidRPr="001A17A2">
              <w:rPr>
                <w:rFonts w:ascii="Times New Roman" w:hAnsi="Times New Roman" w:cs="Times New Roman"/>
                <w:b/>
                <w:noProof/>
                <w:sz w:val="18"/>
                <w:szCs w:val="18"/>
                <w:lang w:val="en-US"/>
              </w:rPr>
              <w:t>2027</w:t>
            </w:r>
          </w:p>
        </w:tc>
        <w:tc>
          <w:tcPr>
            <w:tcW w:w="2185" w:type="dxa"/>
            <w:vMerge w:val="restart"/>
            <w:tcBorders>
              <w:top w:val="single" w:sz="4" w:space="0" w:color="auto"/>
              <w:left w:val="single" w:sz="4" w:space="0" w:color="auto"/>
              <w:bottom w:val="single" w:sz="4" w:space="0" w:color="auto"/>
              <w:right w:val="single" w:sz="4" w:space="0" w:color="auto"/>
            </w:tcBorders>
            <w:hideMark/>
          </w:tcPr>
          <w:p w:rsidR="001A17A2" w:rsidRPr="001A17A2" w:rsidRDefault="001A17A2" w:rsidP="001A17A2">
            <w:pPr>
              <w:spacing w:before="120" w:after="0" w:line="240" w:lineRule="auto"/>
              <w:rPr>
                <w:rFonts w:ascii="Times New Roman" w:hAnsi="Times New Roman" w:cs="Times New Roman"/>
                <w:b/>
                <w:noProof/>
                <w:sz w:val="18"/>
                <w:szCs w:val="18"/>
                <w:lang w:val="en-US"/>
              </w:rPr>
            </w:pPr>
            <w:r w:rsidRPr="001A17A2">
              <w:rPr>
                <w:rFonts w:ascii="Times New Roman" w:hAnsi="Times New Roman" w:cs="Times New Roman"/>
                <w:b/>
                <w:noProof/>
                <w:sz w:val="18"/>
                <w:szCs w:val="18"/>
                <w:lang w:val="en-US"/>
              </w:rPr>
              <w:t xml:space="preserve">Total </w:t>
            </w:r>
          </w:p>
        </w:tc>
      </w:tr>
      <w:tr w:rsidR="001A17A2" w:rsidRPr="001A17A2" w:rsidTr="004F32B2">
        <w:trPr>
          <w:trHeight w:val="5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A17A2" w:rsidRPr="001A17A2" w:rsidRDefault="001A17A2" w:rsidP="001A17A2">
            <w:pPr>
              <w:spacing w:after="0"/>
              <w:rPr>
                <w:rFonts w:ascii="Times New Roman" w:hAnsi="Times New Roman" w:cs="Times New Roman"/>
                <w:b/>
                <w:noProof/>
                <w:sz w:val="18"/>
                <w:szCs w:val="18"/>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A17A2" w:rsidRPr="001A17A2" w:rsidRDefault="001A17A2" w:rsidP="001A17A2">
            <w:pPr>
              <w:spacing w:after="0"/>
              <w:rPr>
                <w:rFonts w:ascii="Times New Roman" w:hAnsi="Times New Roman" w:cs="Times New Roman"/>
                <w:b/>
                <w:noProof/>
                <w:sz w:val="18"/>
                <w:szCs w:val="18"/>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A17A2" w:rsidRPr="001A17A2" w:rsidRDefault="001A17A2" w:rsidP="001A17A2">
            <w:pPr>
              <w:spacing w:after="0"/>
              <w:rPr>
                <w:rFonts w:ascii="Times New Roman" w:hAnsi="Times New Roman" w:cs="Times New Roman"/>
                <w:b/>
                <w:noProof/>
                <w:sz w:val="18"/>
                <w:szCs w:val="18"/>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A17A2" w:rsidRPr="001A17A2" w:rsidRDefault="001A17A2" w:rsidP="001A17A2">
            <w:pPr>
              <w:spacing w:after="0"/>
              <w:rPr>
                <w:rFonts w:ascii="Times New Roman" w:hAnsi="Times New Roman" w:cs="Times New Roman"/>
                <w:b/>
                <w:noProof/>
                <w:sz w:val="18"/>
                <w:szCs w:val="18"/>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A17A2" w:rsidRPr="001A17A2" w:rsidRDefault="001A17A2" w:rsidP="001A17A2">
            <w:pPr>
              <w:spacing w:after="0"/>
              <w:rPr>
                <w:rFonts w:ascii="Times New Roman" w:hAnsi="Times New Roman" w:cs="Times New Roman"/>
                <w:b/>
                <w:noProof/>
                <w:sz w:val="18"/>
                <w:szCs w:val="18"/>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A17A2" w:rsidRPr="001A17A2" w:rsidRDefault="001A17A2" w:rsidP="001A17A2">
            <w:pPr>
              <w:spacing w:after="0"/>
              <w:rPr>
                <w:rFonts w:ascii="Times New Roman" w:hAnsi="Times New Roman" w:cs="Times New Roman"/>
                <w:b/>
                <w:noProof/>
                <w:sz w:val="18"/>
                <w:szCs w:val="18"/>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A17A2" w:rsidRPr="001A17A2" w:rsidRDefault="001A17A2" w:rsidP="001A17A2">
            <w:pPr>
              <w:spacing w:after="0"/>
              <w:rPr>
                <w:rFonts w:ascii="Times New Roman" w:hAnsi="Times New Roman" w:cs="Times New Roman"/>
                <w:b/>
                <w:noProof/>
                <w:sz w:val="18"/>
                <w:szCs w:val="18"/>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A17A2" w:rsidRPr="001A17A2" w:rsidRDefault="001A17A2" w:rsidP="001A17A2">
            <w:pPr>
              <w:spacing w:after="0"/>
              <w:rPr>
                <w:rFonts w:ascii="Times New Roman" w:hAnsi="Times New Roman" w:cs="Times New Roman"/>
                <w:b/>
                <w:noProof/>
                <w:sz w:val="18"/>
                <w:szCs w:val="18"/>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A17A2" w:rsidRPr="001A17A2" w:rsidRDefault="001A17A2" w:rsidP="001A17A2">
            <w:pPr>
              <w:spacing w:after="0"/>
              <w:rPr>
                <w:rFonts w:ascii="Times New Roman" w:hAnsi="Times New Roman" w:cs="Times New Roman"/>
                <w:b/>
                <w:noProof/>
                <w:sz w:val="18"/>
                <w:szCs w:val="18"/>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A17A2" w:rsidRPr="001A17A2" w:rsidRDefault="001A17A2" w:rsidP="001A17A2">
            <w:pPr>
              <w:spacing w:after="0"/>
              <w:rPr>
                <w:rFonts w:ascii="Times New Roman" w:hAnsi="Times New Roman" w:cs="Times New Roman"/>
                <w:b/>
                <w:noProof/>
                <w:sz w:val="18"/>
                <w:szCs w:val="18"/>
                <w:lang w:val="en-US"/>
              </w:rPr>
            </w:pPr>
          </w:p>
        </w:tc>
      </w:tr>
      <w:tr w:rsidR="001A17A2" w:rsidRPr="001A17A2" w:rsidTr="004F32B2">
        <w:tc>
          <w:tcPr>
            <w:tcW w:w="969" w:type="dxa"/>
            <w:vMerge w:val="restart"/>
            <w:tcBorders>
              <w:top w:val="single" w:sz="4" w:space="0" w:color="auto"/>
              <w:left w:val="single" w:sz="4" w:space="0" w:color="auto"/>
              <w:bottom w:val="single" w:sz="4" w:space="0" w:color="auto"/>
              <w:right w:val="single" w:sz="4" w:space="0" w:color="auto"/>
            </w:tcBorders>
            <w:hideMark/>
          </w:tcPr>
          <w:p w:rsidR="001A17A2" w:rsidRPr="001A17A2" w:rsidRDefault="001A17A2" w:rsidP="001A17A2">
            <w:pPr>
              <w:spacing w:before="120" w:after="120"/>
              <w:rPr>
                <w:rFonts w:ascii="Times New Roman" w:hAnsi="Times New Roman" w:cs="Times New Roman"/>
                <w:noProof/>
                <w:sz w:val="18"/>
                <w:szCs w:val="18"/>
                <w:lang w:val="en-US"/>
              </w:rPr>
            </w:pPr>
            <w:r w:rsidRPr="001A17A2">
              <w:rPr>
                <w:rFonts w:ascii="Times New Roman" w:hAnsi="Times New Roman" w:cs="Times New Roman"/>
                <w:noProof/>
                <w:sz w:val="18"/>
                <w:szCs w:val="18"/>
                <w:lang w:val="en-US"/>
              </w:rPr>
              <w:t>ERDF</w:t>
            </w:r>
          </w:p>
        </w:tc>
        <w:tc>
          <w:tcPr>
            <w:tcW w:w="1378" w:type="dxa"/>
            <w:tcBorders>
              <w:top w:val="single" w:sz="4" w:space="0" w:color="auto"/>
              <w:left w:val="single" w:sz="4" w:space="0" w:color="auto"/>
              <w:bottom w:val="single" w:sz="4" w:space="0" w:color="auto"/>
              <w:right w:val="single" w:sz="4" w:space="0" w:color="auto"/>
            </w:tcBorders>
            <w:hideMark/>
          </w:tcPr>
          <w:p w:rsidR="001A17A2" w:rsidRPr="001A17A2" w:rsidRDefault="001A17A2" w:rsidP="001A17A2">
            <w:pPr>
              <w:spacing w:before="120" w:after="120"/>
              <w:rPr>
                <w:rFonts w:ascii="Times New Roman" w:hAnsi="Times New Roman" w:cs="Times New Roman"/>
                <w:noProof/>
                <w:sz w:val="18"/>
                <w:szCs w:val="18"/>
                <w:lang w:val="en-US"/>
              </w:rPr>
            </w:pPr>
            <w:r w:rsidRPr="001A17A2">
              <w:rPr>
                <w:rFonts w:ascii="Times New Roman" w:hAnsi="Times New Roman" w:cs="Times New Roman"/>
                <w:noProof/>
                <w:sz w:val="18"/>
                <w:szCs w:val="18"/>
                <w:lang w:val="en-US"/>
              </w:rPr>
              <w:t>More developed</w:t>
            </w:r>
          </w:p>
        </w:tc>
        <w:tc>
          <w:tcPr>
            <w:tcW w:w="795"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868"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877"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753"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801"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8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A17A2" w:rsidRPr="001A17A2" w:rsidRDefault="001A17A2" w:rsidP="001A17A2">
            <w:pPr>
              <w:spacing w:before="120" w:after="120"/>
              <w:rPr>
                <w:rFonts w:ascii="Times New Roman" w:hAnsi="Times New Roman" w:cs="Times New Roman"/>
                <w:noProof/>
                <w:sz w:val="18"/>
                <w:szCs w:val="18"/>
                <w:lang w:val="en-US"/>
              </w:rPr>
            </w:pPr>
          </w:p>
        </w:tc>
        <w:tc>
          <w:tcPr>
            <w:tcW w:w="9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A17A2" w:rsidRPr="001A17A2" w:rsidRDefault="001A17A2" w:rsidP="001A17A2">
            <w:pPr>
              <w:spacing w:before="120" w:after="120"/>
              <w:rPr>
                <w:rFonts w:ascii="Times New Roman" w:hAnsi="Times New Roman" w:cs="Times New Roman"/>
                <w:noProof/>
                <w:sz w:val="18"/>
                <w:szCs w:val="18"/>
                <w:lang w:val="en-US"/>
              </w:rPr>
            </w:pPr>
          </w:p>
        </w:tc>
        <w:tc>
          <w:tcPr>
            <w:tcW w:w="2185"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r>
      <w:tr w:rsidR="001A17A2" w:rsidRPr="001A17A2" w:rsidTr="004F32B2">
        <w:tc>
          <w:tcPr>
            <w:tcW w:w="0" w:type="auto"/>
            <w:vMerge/>
            <w:tcBorders>
              <w:top w:val="single" w:sz="4" w:space="0" w:color="auto"/>
              <w:left w:val="single" w:sz="4" w:space="0" w:color="auto"/>
              <w:bottom w:val="single" w:sz="4" w:space="0" w:color="auto"/>
              <w:right w:val="single" w:sz="4" w:space="0" w:color="auto"/>
            </w:tcBorders>
            <w:vAlign w:val="center"/>
            <w:hideMark/>
          </w:tcPr>
          <w:p w:rsidR="001A17A2" w:rsidRPr="001A17A2" w:rsidRDefault="001A17A2" w:rsidP="001A17A2">
            <w:pPr>
              <w:spacing w:after="0"/>
              <w:rPr>
                <w:rFonts w:ascii="Times New Roman" w:hAnsi="Times New Roman" w:cs="Times New Roman"/>
                <w:noProof/>
                <w:sz w:val="18"/>
                <w:szCs w:val="18"/>
                <w:lang w:val="en-US"/>
              </w:rPr>
            </w:pPr>
          </w:p>
        </w:tc>
        <w:tc>
          <w:tcPr>
            <w:tcW w:w="1378" w:type="dxa"/>
            <w:tcBorders>
              <w:top w:val="single" w:sz="4" w:space="0" w:color="auto"/>
              <w:left w:val="single" w:sz="4" w:space="0" w:color="auto"/>
              <w:bottom w:val="single" w:sz="4" w:space="0" w:color="auto"/>
              <w:right w:val="single" w:sz="4" w:space="0" w:color="auto"/>
            </w:tcBorders>
            <w:hideMark/>
          </w:tcPr>
          <w:p w:rsidR="001A17A2" w:rsidRPr="001A17A2" w:rsidRDefault="001A17A2" w:rsidP="001A17A2">
            <w:pPr>
              <w:spacing w:before="120" w:after="120"/>
              <w:rPr>
                <w:rFonts w:ascii="Times New Roman" w:hAnsi="Times New Roman" w:cs="Times New Roman"/>
                <w:strike/>
                <w:noProof/>
                <w:sz w:val="18"/>
                <w:szCs w:val="18"/>
                <w:lang w:val="en-US"/>
              </w:rPr>
            </w:pPr>
            <w:r w:rsidRPr="001A17A2">
              <w:rPr>
                <w:rFonts w:ascii="Times New Roman" w:hAnsi="Times New Roman" w:cs="Times New Roman"/>
                <w:noProof/>
                <w:sz w:val="18"/>
                <w:szCs w:val="18"/>
                <w:lang w:val="en-US"/>
              </w:rPr>
              <w:t>Transition</w:t>
            </w:r>
          </w:p>
        </w:tc>
        <w:tc>
          <w:tcPr>
            <w:tcW w:w="795"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868"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877"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753"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801"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8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A17A2" w:rsidRPr="001A17A2" w:rsidRDefault="001A17A2" w:rsidP="001A17A2">
            <w:pPr>
              <w:spacing w:before="120" w:after="120"/>
              <w:rPr>
                <w:rFonts w:ascii="Times New Roman" w:hAnsi="Times New Roman" w:cs="Times New Roman"/>
                <w:noProof/>
                <w:sz w:val="18"/>
                <w:szCs w:val="18"/>
                <w:lang w:val="en-US"/>
              </w:rPr>
            </w:pPr>
          </w:p>
        </w:tc>
        <w:tc>
          <w:tcPr>
            <w:tcW w:w="9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A17A2" w:rsidRPr="001A17A2" w:rsidRDefault="001A17A2" w:rsidP="001A17A2">
            <w:pPr>
              <w:spacing w:before="120" w:after="120"/>
              <w:rPr>
                <w:rFonts w:ascii="Times New Roman" w:hAnsi="Times New Roman" w:cs="Times New Roman"/>
                <w:noProof/>
                <w:sz w:val="18"/>
                <w:szCs w:val="18"/>
                <w:lang w:val="en-US"/>
              </w:rPr>
            </w:pPr>
          </w:p>
        </w:tc>
        <w:tc>
          <w:tcPr>
            <w:tcW w:w="2185"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r>
      <w:tr w:rsidR="001A17A2" w:rsidRPr="001A17A2" w:rsidTr="004F32B2">
        <w:tc>
          <w:tcPr>
            <w:tcW w:w="0" w:type="auto"/>
            <w:vMerge/>
            <w:tcBorders>
              <w:top w:val="single" w:sz="4" w:space="0" w:color="auto"/>
              <w:left w:val="single" w:sz="4" w:space="0" w:color="auto"/>
              <w:bottom w:val="single" w:sz="4" w:space="0" w:color="auto"/>
              <w:right w:val="single" w:sz="4" w:space="0" w:color="auto"/>
            </w:tcBorders>
            <w:vAlign w:val="center"/>
            <w:hideMark/>
          </w:tcPr>
          <w:p w:rsidR="001A17A2" w:rsidRPr="001A17A2" w:rsidRDefault="001A17A2" w:rsidP="001A17A2">
            <w:pPr>
              <w:spacing w:after="0"/>
              <w:rPr>
                <w:rFonts w:ascii="Times New Roman" w:hAnsi="Times New Roman" w:cs="Times New Roman"/>
                <w:noProof/>
                <w:sz w:val="18"/>
                <w:szCs w:val="18"/>
                <w:lang w:val="en-US"/>
              </w:rPr>
            </w:pPr>
          </w:p>
        </w:tc>
        <w:tc>
          <w:tcPr>
            <w:tcW w:w="1378" w:type="dxa"/>
            <w:tcBorders>
              <w:top w:val="single" w:sz="4" w:space="0" w:color="auto"/>
              <w:left w:val="single" w:sz="4" w:space="0" w:color="auto"/>
              <w:bottom w:val="single" w:sz="4" w:space="0" w:color="auto"/>
              <w:right w:val="single" w:sz="4" w:space="0" w:color="auto"/>
            </w:tcBorders>
            <w:hideMark/>
          </w:tcPr>
          <w:p w:rsidR="001A17A2" w:rsidRPr="001A17A2" w:rsidRDefault="001A17A2" w:rsidP="001A17A2">
            <w:pPr>
              <w:spacing w:before="120" w:after="120"/>
              <w:rPr>
                <w:rFonts w:ascii="Times New Roman" w:hAnsi="Times New Roman" w:cs="Times New Roman"/>
                <w:strike/>
                <w:noProof/>
                <w:sz w:val="18"/>
                <w:szCs w:val="18"/>
                <w:lang w:val="en-US"/>
              </w:rPr>
            </w:pPr>
            <w:r w:rsidRPr="001A17A2">
              <w:rPr>
                <w:rFonts w:ascii="Times New Roman" w:hAnsi="Times New Roman" w:cs="Times New Roman"/>
                <w:noProof/>
                <w:sz w:val="18"/>
                <w:szCs w:val="18"/>
                <w:lang w:val="en-US"/>
              </w:rPr>
              <w:t>Less developed</w:t>
            </w:r>
          </w:p>
        </w:tc>
        <w:tc>
          <w:tcPr>
            <w:tcW w:w="795"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868"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877"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753"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801"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8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A17A2" w:rsidRPr="001A17A2" w:rsidRDefault="001A17A2" w:rsidP="001A17A2">
            <w:pPr>
              <w:spacing w:before="120" w:after="120"/>
              <w:rPr>
                <w:rFonts w:ascii="Times New Roman" w:hAnsi="Times New Roman" w:cs="Times New Roman"/>
                <w:noProof/>
                <w:sz w:val="18"/>
                <w:szCs w:val="18"/>
                <w:lang w:val="en-US"/>
              </w:rPr>
            </w:pPr>
          </w:p>
        </w:tc>
        <w:tc>
          <w:tcPr>
            <w:tcW w:w="9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A17A2" w:rsidRPr="001A17A2" w:rsidRDefault="001A17A2" w:rsidP="001A17A2">
            <w:pPr>
              <w:spacing w:before="120" w:after="120"/>
              <w:rPr>
                <w:rFonts w:ascii="Times New Roman" w:hAnsi="Times New Roman" w:cs="Times New Roman"/>
                <w:noProof/>
                <w:sz w:val="18"/>
                <w:szCs w:val="18"/>
                <w:lang w:val="en-US"/>
              </w:rPr>
            </w:pPr>
          </w:p>
        </w:tc>
        <w:tc>
          <w:tcPr>
            <w:tcW w:w="2185"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r>
      <w:tr w:rsidR="001A17A2" w:rsidRPr="001A17A2" w:rsidTr="004F32B2">
        <w:tc>
          <w:tcPr>
            <w:tcW w:w="0" w:type="auto"/>
            <w:vMerge/>
            <w:tcBorders>
              <w:top w:val="single" w:sz="4" w:space="0" w:color="auto"/>
              <w:left w:val="single" w:sz="4" w:space="0" w:color="auto"/>
              <w:bottom w:val="single" w:sz="4" w:space="0" w:color="auto"/>
              <w:right w:val="single" w:sz="4" w:space="0" w:color="auto"/>
            </w:tcBorders>
            <w:vAlign w:val="center"/>
            <w:hideMark/>
          </w:tcPr>
          <w:p w:rsidR="001A17A2" w:rsidRPr="001A17A2" w:rsidRDefault="001A17A2" w:rsidP="001A17A2">
            <w:pPr>
              <w:spacing w:after="0"/>
              <w:rPr>
                <w:rFonts w:ascii="Times New Roman" w:hAnsi="Times New Roman" w:cs="Times New Roman"/>
                <w:noProof/>
                <w:sz w:val="18"/>
                <w:szCs w:val="18"/>
                <w:lang w:val="en-US"/>
              </w:rPr>
            </w:pPr>
          </w:p>
        </w:tc>
        <w:tc>
          <w:tcPr>
            <w:tcW w:w="1378" w:type="dxa"/>
            <w:tcBorders>
              <w:top w:val="single" w:sz="4" w:space="0" w:color="auto"/>
              <w:left w:val="single" w:sz="4" w:space="0" w:color="auto"/>
              <w:bottom w:val="single" w:sz="4" w:space="0" w:color="auto"/>
              <w:right w:val="single" w:sz="4" w:space="0" w:color="auto"/>
            </w:tcBorders>
            <w:hideMark/>
          </w:tcPr>
          <w:p w:rsidR="001A17A2" w:rsidRPr="001A17A2" w:rsidRDefault="001A17A2" w:rsidP="001A17A2">
            <w:pPr>
              <w:spacing w:before="120" w:after="120"/>
              <w:rPr>
                <w:rFonts w:ascii="Times New Roman" w:hAnsi="Times New Roman" w:cs="Times New Roman"/>
                <w:noProof/>
                <w:sz w:val="18"/>
                <w:szCs w:val="18"/>
                <w:lang w:val="en-US"/>
              </w:rPr>
            </w:pPr>
            <w:r w:rsidRPr="001A17A2">
              <w:rPr>
                <w:rFonts w:ascii="Times New Roman" w:hAnsi="Times New Roman" w:cs="Times New Roman"/>
                <w:noProof/>
                <w:sz w:val="18"/>
                <w:szCs w:val="18"/>
                <w:lang w:val="en-US"/>
              </w:rPr>
              <w:t>Outermost and northern sparsely populated</w:t>
            </w:r>
          </w:p>
        </w:tc>
        <w:tc>
          <w:tcPr>
            <w:tcW w:w="795"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868"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877"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753"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801"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8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A17A2" w:rsidRPr="001A17A2" w:rsidRDefault="001A17A2" w:rsidP="001A17A2">
            <w:pPr>
              <w:spacing w:before="120" w:after="120"/>
              <w:rPr>
                <w:rFonts w:ascii="Times New Roman" w:hAnsi="Times New Roman" w:cs="Times New Roman"/>
                <w:noProof/>
                <w:sz w:val="18"/>
                <w:szCs w:val="18"/>
                <w:lang w:val="en-US"/>
              </w:rPr>
            </w:pPr>
          </w:p>
        </w:tc>
        <w:tc>
          <w:tcPr>
            <w:tcW w:w="9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A17A2" w:rsidRPr="001A17A2" w:rsidRDefault="001A17A2" w:rsidP="001A17A2">
            <w:pPr>
              <w:spacing w:before="120" w:after="120"/>
              <w:rPr>
                <w:rFonts w:ascii="Times New Roman" w:hAnsi="Times New Roman" w:cs="Times New Roman"/>
                <w:noProof/>
                <w:sz w:val="18"/>
                <w:szCs w:val="18"/>
                <w:lang w:val="en-US"/>
              </w:rPr>
            </w:pPr>
          </w:p>
        </w:tc>
        <w:tc>
          <w:tcPr>
            <w:tcW w:w="2185"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r>
      <w:tr w:rsidR="001A17A2" w:rsidRPr="001A17A2" w:rsidTr="004F32B2">
        <w:tc>
          <w:tcPr>
            <w:tcW w:w="969" w:type="dxa"/>
            <w:tcBorders>
              <w:top w:val="single" w:sz="4" w:space="0" w:color="auto"/>
              <w:left w:val="single" w:sz="4" w:space="0" w:color="auto"/>
              <w:bottom w:val="single" w:sz="4" w:space="0" w:color="auto"/>
              <w:right w:val="single" w:sz="4" w:space="0" w:color="auto"/>
            </w:tcBorders>
            <w:hideMark/>
          </w:tcPr>
          <w:p w:rsidR="001A17A2" w:rsidRPr="001A17A2" w:rsidRDefault="001A17A2" w:rsidP="001A17A2">
            <w:pPr>
              <w:spacing w:before="120" w:after="120"/>
              <w:rPr>
                <w:rFonts w:ascii="Times New Roman" w:hAnsi="Times New Roman" w:cs="Times New Roman"/>
                <w:noProof/>
                <w:sz w:val="18"/>
                <w:szCs w:val="18"/>
                <w:lang w:val="en-US"/>
              </w:rPr>
            </w:pPr>
            <w:r w:rsidRPr="001A17A2">
              <w:rPr>
                <w:rFonts w:ascii="Times New Roman" w:hAnsi="Times New Roman" w:cs="Times New Roman"/>
                <w:noProof/>
                <w:sz w:val="18"/>
                <w:szCs w:val="18"/>
                <w:lang w:val="en-US"/>
              </w:rPr>
              <w:lastRenderedPageBreak/>
              <w:t>Total</w:t>
            </w:r>
          </w:p>
        </w:tc>
        <w:tc>
          <w:tcPr>
            <w:tcW w:w="1378"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795"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868"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877"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753"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801"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8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A17A2" w:rsidRPr="001A17A2" w:rsidRDefault="001A17A2" w:rsidP="001A17A2">
            <w:pPr>
              <w:spacing w:before="120" w:after="120"/>
              <w:rPr>
                <w:rFonts w:ascii="Times New Roman" w:hAnsi="Times New Roman" w:cs="Times New Roman"/>
                <w:noProof/>
                <w:sz w:val="18"/>
                <w:szCs w:val="18"/>
                <w:lang w:val="en-US"/>
              </w:rPr>
            </w:pPr>
          </w:p>
        </w:tc>
        <w:tc>
          <w:tcPr>
            <w:tcW w:w="9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A17A2" w:rsidRPr="001A17A2" w:rsidRDefault="001A17A2" w:rsidP="001A17A2">
            <w:pPr>
              <w:spacing w:before="120" w:after="120"/>
              <w:rPr>
                <w:rFonts w:ascii="Times New Roman" w:hAnsi="Times New Roman" w:cs="Times New Roman"/>
                <w:noProof/>
                <w:sz w:val="18"/>
                <w:szCs w:val="18"/>
                <w:lang w:val="en-US"/>
              </w:rPr>
            </w:pPr>
          </w:p>
        </w:tc>
        <w:tc>
          <w:tcPr>
            <w:tcW w:w="2185"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r>
      <w:tr w:rsidR="001A17A2" w:rsidRPr="001A17A2" w:rsidTr="004F32B2">
        <w:tc>
          <w:tcPr>
            <w:tcW w:w="969" w:type="dxa"/>
            <w:vMerge w:val="restart"/>
            <w:tcBorders>
              <w:top w:val="single" w:sz="4" w:space="0" w:color="auto"/>
              <w:left w:val="single" w:sz="4" w:space="0" w:color="auto"/>
              <w:bottom w:val="single" w:sz="4" w:space="0" w:color="auto"/>
              <w:right w:val="single" w:sz="4" w:space="0" w:color="auto"/>
            </w:tcBorders>
            <w:hideMark/>
          </w:tcPr>
          <w:p w:rsidR="001A17A2" w:rsidRPr="001A17A2" w:rsidRDefault="001A17A2" w:rsidP="001A17A2">
            <w:pPr>
              <w:spacing w:before="120" w:after="120"/>
              <w:rPr>
                <w:rFonts w:ascii="Times New Roman" w:hAnsi="Times New Roman" w:cs="Times New Roman"/>
                <w:noProof/>
                <w:sz w:val="18"/>
                <w:szCs w:val="18"/>
                <w:lang w:val="en-US"/>
              </w:rPr>
            </w:pPr>
            <w:r w:rsidRPr="001A17A2">
              <w:rPr>
                <w:rFonts w:ascii="Times New Roman" w:hAnsi="Times New Roman" w:cs="Times New Roman"/>
                <w:noProof/>
                <w:sz w:val="18"/>
                <w:szCs w:val="18"/>
                <w:lang w:val="en-US"/>
              </w:rPr>
              <w:t>ESF+</w:t>
            </w:r>
          </w:p>
        </w:tc>
        <w:tc>
          <w:tcPr>
            <w:tcW w:w="1378" w:type="dxa"/>
            <w:tcBorders>
              <w:top w:val="single" w:sz="4" w:space="0" w:color="auto"/>
              <w:left w:val="single" w:sz="4" w:space="0" w:color="auto"/>
              <w:bottom w:val="single" w:sz="4" w:space="0" w:color="auto"/>
              <w:right w:val="single" w:sz="4" w:space="0" w:color="auto"/>
            </w:tcBorders>
            <w:hideMark/>
          </w:tcPr>
          <w:p w:rsidR="001A17A2" w:rsidRPr="001A17A2" w:rsidRDefault="001A17A2" w:rsidP="001A17A2">
            <w:pPr>
              <w:spacing w:before="120" w:after="120"/>
              <w:rPr>
                <w:rFonts w:ascii="Times New Roman" w:hAnsi="Times New Roman" w:cs="Times New Roman"/>
                <w:noProof/>
                <w:sz w:val="18"/>
                <w:szCs w:val="18"/>
                <w:lang w:val="en-US"/>
              </w:rPr>
            </w:pPr>
            <w:r w:rsidRPr="001A17A2">
              <w:rPr>
                <w:rFonts w:ascii="Times New Roman" w:hAnsi="Times New Roman" w:cs="Times New Roman"/>
                <w:noProof/>
                <w:sz w:val="18"/>
                <w:szCs w:val="18"/>
                <w:lang w:val="en-US"/>
              </w:rPr>
              <w:t>More developed</w:t>
            </w:r>
          </w:p>
        </w:tc>
        <w:tc>
          <w:tcPr>
            <w:tcW w:w="795"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868"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877"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753"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801"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8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A17A2" w:rsidRPr="001A17A2" w:rsidRDefault="001A17A2" w:rsidP="001A17A2">
            <w:pPr>
              <w:spacing w:before="120" w:after="120"/>
              <w:rPr>
                <w:rFonts w:ascii="Times New Roman" w:hAnsi="Times New Roman" w:cs="Times New Roman"/>
                <w:noProof/>
                <w:sz w:val="18"/>
                <w:szCs w:val="18"/>
                <w:lang w:val="en-US"/>
              </w:rPr>
            </w:pPr>
          </w:p>
        </w:tc>
        <w:tc>
          <w:tcPr>
            <w:tcW w:w="9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A17A2" w:rsidRPr="001A17A2" w:rsidRDefault="001A17A2" w:rsidP="001A17A2">
            <w:pPr>
              <w:spacing w:before="120" w:after="120"/>
              <w:rPr>
                <w:rFonts w:ascii="Times New Roman" w:hAnsi="Times New Roman" w:cs="Times New Roman"/>
                <w:noProof/>
                <w:sz w:val="18"/>
                <w:szCs w:val="18"/>
                <w:lang w:val="en-US"/>
              </w:rPr>
            </w:pPr>
          </w:p>
        </w:tc>
        <w:tc>
          <w:tcPr>
            <w:tcW w:w="2185"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r>
      <w:tr w:rsidR="001A17A2" w:rsidRPr="001A17A2" w:rsidTr="004F32B2">
        <w:tc>
          <w:tcPr>
            <w:tcW w:w="0" w:type="auto"/>
            <w:vMerge/>
            <w:tcBorders>
              <w:top w:val="single" w:sz="4" w:space="0" w:color="auto"/>
              <w:left w:val="single" w:sz="4" w:space="0" w:color="auto"/>
              <w:bottom w:val="single" w:sz="4" w:space="0" w:color="auto"/>
              <w:right w:val="single" w:sz="4" w:space="0" w:color="auto"/>
            </w:tcBorders>
            <w:vAlign w:val="center"/>
            <w:hideMark/>
          </w:tcPr>
          <w:p w:rsidR="001A17A2" w:rsidRPr="001A17A2" w:rsidRDefault="001A17A2" w:rsidP="001A17A2">
            <w:pPr>
              <w:spacing w:after="0"/>
              <w:rPr>
                <w:rFonts w:ascii="Times New Roman" w:hAnsi="Times New Roman" w:cs="Times New Roman"/>
                <w:noProof/>
                <w:sz w:val="18"/>
                <w:szCs w:val="18"/>
                <w:lang w:val="en-US"/>
              </w:rPr>
            </w:pPr>
          </w:p>
        </w:tc>
        <w:tc>
          <w:tcPr>
            <w:tcW w:w="1378" w:type="dxa"/>
            <w:tcBorders>
              <w:top w:val="single" w:sz="4" w:space="0" w:color="auto"/>
              <w:left w:val="single" w:sz="4" w:space="0" w:color="auto"/>
              <w:bottom w:val="single" w:sz="4" w:space="0" w:color="auto"/>
              <w:right w:val="single" w:sz="4" w:space="0" w:color="auto"/>
            </w:tcBorders>
            <w:hideMark/>
          </w:tcPr>
          <w:p w:rsidR="001A17A2" w:rsidRPr="001A17A2" w:rsidRDefault="001A17A2" w:rsidP="001A17A2">
            <w:pPr>
              <w:spacing w:before="120" w:after="120"/>
              <w:rPr>
                <w:rFonts w:ascii="Times New Roman" w:hAnsi="Times New Roman" w:cs="Times New Roman"/>
                <w:strike/>
                <w:noProof/>
                <w:sz w:val="18"/>
                <w:szCs w:val="18"/>
                <w:lang w:val="en-US"/>
              </w:rPr>
            </w:pPr>
            <w:r w:rsidRPr="001A17A2">
              <w:rPr>
                <w:rFonts w:ascii="Times New Roman" w:hAnsi="Times New Roman" w:cs="Times New Roman"/>
                <w:noProof/>
                <w:sz w:val="18"/>
                <w:szCs w:val="18"/>
                <w:lang w:val="en-US"/>
              </w:rPr>
              <w:t>Transition</w:t>
            </w:r>
          </w:p>
        </w:tc>
        <w:tc>
          <w:tcPr>
            <w:tcW w:w="795"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868"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877"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753"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801"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8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A17A2" w:rsidRPr="001A17A2" w:rsidRDefault="001A17A2" w:rsidP="001A17A2">
            <w:pPr>
              <w:spacing w:before="120" w:after="120"/>
              <w:rPr>
                <w:rFonts w:ascii="Times New Roman" w:hAnsi="Times New Roman" w:cs="Times New Roman"/>
                <w:noProof/>
                <w:sz w:val="18"/>
                <w:szCs w:val="18"/>
                <w:lang w:val="en-US"/>
              </w:rPr>
            </w:pPr>
          </w:p>
        </w:tc>
        <w:tc>
          <w:tcPr>
            <w:tcW w:w="9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A17A2" w:rsidRPr="001A17A2" w:rsidRDefault="001A17A2" w:rsidP="001A17A2">
            <w:pPr>
              <w:spacing w:before="120" w:after="120"/>
              <w:rPr>
                <w:rFonts w:ascii="Times New Roman" w:hAnsi="Times New Roman" w:cs="Times New Roman"/>
                <w:noProof/>
                <w:sz w:val="18"/>
                <w:szCs w:val="18"/>
                <w:lang w:val="en-US"/>
              </w:rPr>
            </w:pPr>
          </w:p>
        </w:tc>
        <w:tc>
          <w:tcPr>
            <w:tcW w:w="2185"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r>
      <w:tr w:rsidR="001A17A2" w:rsidRPr="001A17A2" w:rsidTr="004F32B2">
        <w:tc>
          <w:tcPr>
            <w:tcW w:w="0" w:type="auto"/>
            <w:vMerge/>
            <w:tcBorders>
              <w:top w:val="single" w:sz="4" w:space="0" w:color="auto"/>
              <w:left w:val="single" w:sz="4" w:space="0" w:color="auto"/>
              <w:bottom w:val="single" w:sz="4" w:space="0" w:color="auto"/>
              <w:right w:val="single" w:sz="4" w:space="0" w:color="auto"/>
            </w:tcBorders>
            <w:vAlign w:val="center"/>
            <w:hideMark/>
          </w:tcPr>
          <w:p w:rsidR="001A17A2" w:rsidRPr="001A17A2" w:rsidRDefault="001A17A2" w:rsidP="001A17A2">
            <w:pPr>
              <w:spacing w:after="0"/>
              <w:rPr>
                <w:rFonts w:ascii="Times New Roman" w:hAnsi="Times New Roman" w:cs="Times New Roman"/>
                <w:noProof/>
                <w:sz w:val="18"/>
                <w:szCs w:val="18"/>
                <w:lang w:val="en-US"/>
              </w:rPr>
            </w:pPr>
          </w:p>
        </w:tc>
        <w:tc>
          <w:tcPr>
            <w:tcW w:w="1378" w:type="dxa"/>
            <w:tcBorders>
              <w:top w:val="single" w:sz="4" w:space="0" w:color="auto"/>
              <w:left w:val="single" w:sz="4" w:space="0" w:color="auto"/>
              <w:bottom w:val="single" w:sz="4" w:space="0" w:color="auto"/>
              <w:right w:val="single" w:sz="4" w:space="0" w:color="auto"/>
            </w:tcBorders>
            <w:hideMark/>
          </w:tcPr>
          <w:p w:rsidR="001A17A2" w:rsidRPr="001A17A2" w:rsidRDefault="001A17A2" w:rsidP="001A17A2">
            <w:pPr>
              <w:spacing w:before="120" w:after="120"/>
              <w:rPr>
                <w:rFonts w:ascii="Times New Roman" w:hAnsi="Times New Roman" w:cs="Times New Roman"/>
                <w:noProof/>
                <w:sz w:val="18"/>
                <w:szCs w:val="18"/>
                <w:lang w:val="en-US"/>
              </w:rPr>
            </w:pPr>
            <w:r w:rsidRPr="001A17A2">
              <w:rPr>
                <w:rFonts w:ascii="Times New Roman" w:hAnsi="Times New Roman" w:cs="Times New Roman"/>
                <w:noProof/>
                <w:sz w:val="18"/>
                <w:szCs w:val="18"/>
                <w:lang w:val="en-US"/>
              </w:rPr>
              <w:t>Less developed</w:t>
            </w:r>
          </w:p>
        </w:tc>
        <w:tc>
          <w:tcPr>
            <w:tcW w:w="795"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868"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877"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753"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801"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8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A17A2" w:rsidRPr="001A17A2" w:rsidRDefault="001A17A2" w:rsidP="001A17A2">
            <w:pPr>
              <w:spacing w:before="120" w:after="120"/>
              <w:rPr>
                <w:rFonts w:ascii="Times New Roman" w:hAnsi="Times New Roman" w:cs="Times New Roman"/>
                <w:noProof/>
                <w:sz w:val="18"/>
                <w:szCs w:val="18"/>
                <w:lang w:val="en-US"/>
              </w:rPr>
            </w:pPr>
          </w:p>
        </w:tc>
        <w:tc>
          <w:tcPr>
            <w:tcW w:w="9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A17A2" w:rsidRPr="001A17A2" w:rsidRDefault="001A17A2" w:rsidP="001A17A2">
            <w:pPr>
              <w:spacing w:before="120" w:after="120"/>
              <w:rPr>
                <w:rFonts w:ascii="Times New Roman" w:hAnsi="Times New Roman" w:cs="Times New Roman"/>
                <w:noProof/>
                <w:sz w:val="18"/>
                <w:szCs w:val="18"/>
                <w:lang w:val="en-US"/>
              </w:rPr>
            </w:pPr>
          </w:p>
        </w:tc>
        <w:tc>
          <w:tcPr>
            <w:tcW w:w="2185"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r>
      <w:tr w:rsidR="001A17A2" w:rsidRPr="001A17A2" w:rsidTr="004F32B2">
        <w:tc>
          <w:tcPr>
            <w:tcW w:w="0" w:type="auto"/>
            <w:vMerge/>
            <w:tcBorders>
              <w:top w:val="single" w:sz="4" w:space="0" w:color="auto"/>
              <w:left w:val="single" w:sz="4" w:space="0" w:color="auto"/>
              <w:bottom w:val="single" w:sz="4" w:space="0" w:color="auto"/>
              <w:right w:val="single" w:sz="4" w:space="0" w:color="auto"/>
            </w:tcBorders>
            <w:vAlign w:val="center"/>
            <w:hideMark/>
          </w:tcPr>
          <w:p w:rsidR="001A17A2" w:rsidRPr="001A17A2" w:rsidRDefault="001A17A2" w:rsidP="001A17A2">
            <w:pPr>
              <w:spacing w:after="0"/>
              <w:rPr>
                <w:rFonts w:ascii="Times New Roman" w:hAnsi="Times New Roman" w:cs="Times New Roman"/>
                <w:noProof/>
                <w:sz w:val="18"/>
                <w:szCs w:val="18"/>
                <w:lang w:val="en-US"/>
              </w:rPr>
            </w:pPr>
          </w:p>
        </w:tc>
        <w:tc>
          <w:tcPr>
            <w:tcW w:w="1378" w:type="dxa"/>
            <w:tcBorders>
              <w:top w:val="single" w:sz="4" w:space="0" w:color="auto"/>
              <w:left w:val="single" w:sz="4" w:space="0" w:color="auto"/>
              <w:bottom w:val="single" w:sz="4" w:space="0" w:color="auto"/>
              <w:right w:val="single" w:sz="4" w:space="0" w:color="auto"/>
            </w:tcBorders>
            <w:hideMark/>
          </w:tcPr>
          <w:p w:rsidR="001A17A2" w:rsidRPr="001A17A2" w:rsidRDefault="001A17A2" w:rsidP="001A17A2">
            <w:pPr>
              <w:spacing w:before="120" w:after="120"/>
              <w:rPr>
                <w:rFonts w:ascii="Times New Roman" w:hAnsi="Times New Roman" w:cs="Times New Roman"/>
                <w:noProof/>
                <w:sz w:val="18"/>
                <w:szCs w:val="18"/>
                <w:lang w:val="en-US"/>
              </w:rPr>
            </w:pPr>
            <w:r w:rsidRPr="001A17A2">
              <w:rPr>
                <w:rFonts w:ascii="Times New Roman" w:hAnsi="Times New Roman" w:cs="Times New Roman"/>
                <w:noProof/>
                <w:sz w:val="18"/>
                <w:szCs w:val="18"/>
                <w:lang w:val="en-US"/>
              </w:rPr>
              <w:t>Outermost and northern sparsely populated</w:t>
            </w:r>
          </w:p>
        </w:tc>
        <w:tc>
          <w:tcPr>
            <w:tcW w:w="795"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868"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877"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753"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801"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8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A17A2" w:rsidRPr="001A17A2" w:rsidRDefault="001A17A2" w:rsidP="001A17A2">
            <w:pPr>
              <w:spacing w:before="120" w:after="120"/>
              <w:rPr>
                <w:rFonts w:ascii="Times New Roman" w:hAnsi="Times New Roman" w:cs="Times New Roman"/>
                <w:noProof/>
                <w:sz w:val="18"/>
                <w:szCs w:val="18"/>
                <w:lang w:val="en-US"/>
              </w:rPr>
            </w:pPr>
          </w:p>
        </w:tc>
        <w:tc>
          <w:tcPr>
            <w:tcW w:w="9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A17A2" w:rsidRPr="001A17A2" w:rsidRDefault="001A17A2" w:rsidP="001A17A2">
            <w:pPr>
              <w:spacing w:before="120" w:after="120"/>
              <w:rPr>
                <w:rFonts w:ascii="Times New Roman" w:hAnsi="Times New Roman" w:cs="Times New Roman"/>
                <w:noProof/>
                <w:sz w:val="18"/>
                <w:szCs w:val="18"/>
                <w:lang w:val="en-US"/>
              </w:rPr>
            </w:pPr>
          </w:p>
        </w:tc>
        <w:tc>
          <w:tcPr>
            <w:tcW w:w="2185"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r>
      <w:tr w:rsidR="001A17A2" w:rsidRPr="001A17A2" w:rsidTr="004F32B2">
        <w:tc>
          <w:tcPr>
            <w:tcW w:w="969" w:type="dxa"/>
            <w:tcBorders>
              <w:top w:val="single" w:sz="4" w:space="0" w:color="auto"/>
              <w:left w:val="single" w:sz="4" w:space="0" w:color="auto"/>
              <w:bottom w:val="single" w:sz="4" w:space="0" w:color="auto"/>
              <w:right w:val="single" w:sz="4" w:space="0" w:color="auto"/>
            </w:tcBorders>
            <w:hideMark/>
          </w:tcPr>
          <w:p w:rsidR="001A17A2" w:rsidRPr="001A17A2" w:rsidRDefault="001A17A2" w:rsidP="001A17A2">
            <w:pPr>
              <w:spacing w:before="120" w:after="120"/>
              <w:rPr>
                <w:rFonts w:ascii="Times New Roman" w:hAnsi="Times New Roman" w:cs="Times New Roman"/>
                <w:noProof/>
                <w:sz w:val="18"/>
                <w:szCs w:val="18"/>
                <w:lang w:val="en-US"/>
              </w:rPr>
            </w:pPr>
            <w:r w:rsidRPr="001A17A2">
              <w:rPr>
                <w:rFonts w:ascii="Times New Roman" w:hAnsi="Times New Roman" w:cs="Times New Roman"/>
                <w:noProof/>
                <w:sz w:val="18"/>
                <w:szCs w:val="18"/>
                <w:lang w:val="en-US"/>
              </w:rPr>
              <w:t xml:space="preserve">Total </w:t>
            </w:r>
          </w:p>
        </w:tc>
        <w:tc>
          <w:tcPr>
            <w:tcW w:w="1378"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795"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868"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877"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753"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801"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8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A17A2" w:rsidRPr="001A17A2" w:rsidRDefault="001A17A2" w:rsidP="001A17A2">
            <w:pPr>
              <w:spacing w:before="120" w:after="120"/>
              <w:rPr>
                <w:rFonts w:ascii="Times New Roman" w:hAnsi="Times New Roman" w:cs="Times New Roman"/>
                <w:noProof/>
                <w:sz w:val="18"/>
                <w:szCs w:val="18"/>
                <w:lang w:val="en-US"/>
              </w:rPr>
            </w:pPr>
          </w:p>
        </w:tc>
        <w:tc>
          <w:tcPr>
            <w:tcW w:w="9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A17A2" w:rsidRPr="001A17A2" w:rsidRDefault="001A17A2" w:rsidP="001A17A2">
            <w:pPr>
              <w:spacing w:before="120" w:after="120"/>
              <w:rPr>
                <w:rFonts w:ascii="Times New Roman" w:hAnsi="Times New Roman" w:cs="Times New Roman"/>
                <w:noProof/>
                <w:sz w:val="18"/>
                <w:szCs w:val="18"/>
                <w:lang w:val="en-US"/>
              </w:rPr>
            </w:pPr>
          </w:p>
        </w:tc>
        <w:tc>
          <w:tcPr>
            <w:tcW w:w="2185"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r>
      <w:tr w:rsidR="001A17A2" w:rsidRPr="001A17A2" w:rsidTr="004F32B2">
        <w:tc>
          <w:tcPr>
            <w:tcW w:w="969" w:type="dxa"/>
            <w:tcBorders>
              <w:top w:val="single" w:sz="4" w:space="0" w:color="auto"/>
              <w:left w:val="single" w:sz="4" w:space="0" w:color="auto"/>
              <w:bottom w:val="single" w:sz="4" w:space="0" w:color="auto"/>
              <w:right w:val="single" w:sz="4" w:space="0" w:color="auto"/>
            </w:tcBorders>
            <w:hideMark/>
          </w:tcPr>
          <w:p w:rsidR="001A17A2" w:rsidRPr="001A17A2" w:rsidRDefault="001A17A2" w:rsidP="001A17A2">
            <w:pPr>
              <w:spacing w:before="120" w:after="120"/>
              <w:rPr>
                <w:rFonts w:ascii="Times New Roman" w:hAnsi="Times New Roman" w:cs="Times New Roman"/>
                <w:noProof/>
                <w:sz w:val="18"/>
                <w:szCs w:val="18"/>
                <w:lang w:val="en-US"/>
              </w:rPr>
            </w:pPr>
            <w:r w:rsidRPr="001A17A2">
              <w:rPr>
                <w:rFonts w:ascii="Times New Roman" w:hAnsi="Times New Roman" w:cs="Times New Roman"/>
                <w:noProof/>
                <w:sz w:val="18"/>
                <w:szCs w:val="18"/>
                <w:lang w:val="en-US"/>
              </w:rPr>
              <w:t>Cohesion Fund</w:t>
            </w:r>
          </w:p>
        </w:tc>
        <w:tc>
          <w:tcPr>
            <w:tcW w:w="1378" w:type="dxa"/>
            <w:tcBorders>
              <w:top w:val="single" w:sz="4" w:space="0" w:color="auto"/>
              <w:left w:val="single" w:sz="4" w:space="0" w:color="auto"/>
              <w:bottom w:val="single" w:sz="4" w:space="0" w:color="auto"/>
              <w:right w:val="single" w:sz="4" w:space="0" w:color="auto"/>
            </w:tcBorders>
            <w:hideMark/>
          </w:tcPr>
          <w:p w:rsidR="001A17A2" w:rsidRPr="001A17A2" w:rsidRDefault="001A17A2" w:rsidP="001A17A2">
            <w:pPr>
              <w:spacing w:before="120" w:after="120"/>
              <w:rPr>
                <w:rFonts w:ascii="Times New Roman" w:hAnsi="Times New Roman" w:cs="Times New Roman"/>
                <w:noProof/>
                <w:sz w:val="18"/>
                <w:szCs w:val="18"/>
                <w:lang w:val="en-US"/>
              </w:rPr>
            </w:pPr>
            <w:r w:rsidRPr="001A17A2">
              <w:rPr>
                <w:rFonts w:ascii="Times New Roman" w:hAnsi="Times New Roman" w:cs="Times New Roman"/>
                <w:noProof/>
                <w:sz w:val="18"/>
                <w:szCs w:val="18"/>
                <w:lang w:val="en-US"/>
              </w:rPr>
              <w:t>N/A</w:t>
            </w:r>
          </w:p>
        </w:tc>
        <w:tc>
          <w:tcPr>
            <w:tcW w:w="795"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868"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877"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753"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801"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c>
          <w:tcPr>
            <w:tcW w:w="8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A17A2" w:rsidRPr="001A17A2" w:rsidRDefault="001A17A2" w:rsidP="001A17A2">
            <w:pPr>
              <w:spacing w:before="120" w:after="120"/>
              <w:rPr>
                <w:rFonts w:ascii="Times New Roman" w:hAnsi="Times New Roman" w:cs="Times New Roman"/>
                <w:noProof/>
                <w:sz w:val="18"/>
                <w:szCs w:val="18"/>
                <w:lang w:val="en-US"/>
              </w:rPr>
            </w:pPr>
          </w:p>
        </w:tc>
        <w:tc>
          <w:tcPr>
            <w:tcW w:w="9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A17A2" w:rsidRPr="001A17A2" w:rsidRDefault="001A17A2" w:rsidP="001A17A2">
            <w:pPr>
              <w:spacing w:before="120" w:after="120"/>
              <w:rPr>
                <w:rFonts w:ascii="Times New Roman" w:hAnsi="Times New Roman" w:cs="Times New Roman"/>
                <w:noProof/>
                <w:sz w:val="18"/>
                <w:szCs w:val="18"/>
                <w:lang w:val="en-US"/>
              </w:rPr>
            </w:pPr>
          </w:p>
        </w:tc>
        <w:tc>
          <w:tcPr>
            <w:tcW w:w="2185"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rPr>
                <w:rFonts w:ascii="Times New Roman" w:hAnsi="Times New Roman" w:cs="Times New Roman"/>
                <w:noProof/>
                <w:sz w:val="18"/>
                <w:szCs w:val="18"/>
                <w:lang w:val="en-US"/>
              </w:rPr>
            </w:pPr>
          </w:p>
        </w:tc>
      </w:tr>
      <w:tr w:rsidR="001A17A2" w:rsidRPr="001A17A2" w:rsidTr="004F32B2">
        <w:tc>
          <w:tcPr>
            <w:tcW w:w="969" w:type="dxa"/>
            <w:tcBorders>
              <w:top w:val="single" w:sz="4" w:space="0" w:color="auto"/>
              <w:left w:val="single" w:sz="4" w:space="0" w:color="auto"/>
              <w:bottom w:val="single" w:sz="4" w:space="0" w:color="auto"/>
              <w:right w:val="single" w:sz="4" w:space="0" w:color="auto"/>
            </w:tcBorders>
            <w:hideMark/>
          </w:tcPr>
          <w:p w:rsidR="001A17A2" w:rsidRPr="001A17A2" w:rsidRDefault="001A17A2" w:rsidP="001A17A2">
            <w:pPr>
              <w:spacing w:before="120" w:after="120" w:line="360" w:lineRule="auto"/>
              <w:rPr>
                <w:rFonts w:ascii="Times New Roman" w:hAnsi="Times New Roman" w:cs="Times New Roman"/>
                <w:noProof/>
                <w:sz w:val="18"/>
                <w:szCs w:val="18"/>
                <w:lang w:val="en-US"/>
              </w:rPr>
            </w:pPr>
            <w:r w:rsidRPr="001A17A2">
              <w:rPr>
                <w:rFonts w:ascii="Times New Roman" w:hAnsi="Times New Roman" w:cs="Times New Roman"/>
                <w:noProof/>
                <w:sz w:val="18"/>
                <w:szCs w:val="18"/>
                <w:lang w:val="en-US"/>
              </w:rPr>
              <w:t>EMFF</w:t>
            </w:r>
          </w:p>
        </w:tc>
        <w:tc>
          <w:tcPr>
            <w:tcW w:w="1378" w:type="dxa"/>
            <w:tcBorders>
              <w:top w:val="single" w:sz="4" w:space="0" w:color="auto"/>
              <w:left w:val="single" w:sz="4" w:space="0" w:color="auto"/>
              <w:bottom w:val="single" w:sz="4" w:space="0" w:color="auto"/>
              <w:right w:val="single" w:sz="4" w:space="0" w:color="auto"/>
            </w:tcBorders>
            <w:hideMark/>
          </w:tcPr>
          <w:p w:rsidR="001A17A2" w:rsidRPr="001A17A2" w:rsidRDefault="001A17A2" w:rsidP="001A17A2">
            <w:pPr>
              <w:spacing w:before="120" w:after="120" w:line="360" w:lineRule="auto"/>
              <w:rPr>
                <w:rFonts w:ascii="Times New Roman" w:hAnsi="Times New Roman" w:cs="Times New Roman"/>
                <w:noProof/>
                <w:sz w:val="18"/>
                <w:szCs w:val="18"/>
                <w:lang w:val="en-US"/>
              </w:rPr>
            </w:pPr>
            <w:r w:rsidRPr="001A17A2">
              <w:rPr>
                <w:rFonts w:ascii="Times New Roman" w:hAnsi="Times New Roman" w:cs="Times New Roman"/>
                <w:noProof/>
                <w:sz w:val="18"/>
                <w:szCs w:val="18"/>
                <w:lang w:val="en-US"/>
              </w:rPr>
              <w:t>N/A</w:t>
            </w:r>
          </w:p>
        </w:tc>
        <w:tc>
          <w:tcPr>
            <w:tcW w:w="795"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line="360" w:lineRule="auto"/>
              <w:rPr>
                <w:rFonts w:ascii="Times New Roman" w:hAnsi="Times New Roman" w:cs="Times New Roman"/>
                <w:noProof/>
                <w:sz w:val="18"/>
                <w:szCs w:val="18"/>
                <w:lang w:val="en-US"/>
              </w:rPr>
            </w:pPr>
          </w:p>
        </w:tc>
        <w:tc>
          <w:tcPr>
            <w:tcW w:w="868"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line="360" w:lineRule="auto"/>
              <w:rPr>
                <w:rFonts w:ascii="Times New Roman" w:hAnsi="Times New Roman" w:cs="Times New Roman"/>
                <w:noProof/>
                <w:sz w:val="18"/>
                <w:szCs w:val="18"/>
                <w:lang w:val="en-US"/>
              </w:rPr>
            </w:pPr>
          </w:p>
        </w:tc>
        <w:tc>
          <w:tcPr>
            <w:tcW w:w="877"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line="360" w:lineRule="auto"/>
              <w:rPr>
                <w:rFonts w:ascii="Times New Roman" w:hAnsi="Times New Roman" w:cs="Times New Roman"/>
                <w:noProof/>
                <w:sz w:val="18"/>
                <w:szCs w:val="18"/>
                <w:lang w:val="en-US"/>
              </w:rPr>
            </w:pPr>
          </w:p>
        </w:tc>
        <w:tc>
          <w:tcPr>
            <w:tcW w:w="753"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line="360" w:lineRule="auto"/>
              <w:rPr>
                <w:rFonts w:ascii="Times New Roman" w:hAnsi="Times New Roman" w:cs="Times New Roman"/>
                <w:noProof/>
                <w:sz w:val="18"/>
                <w:szCs w:val="18"/>
                <w:lang w:val="en-US"/>
              </w:rPr>
            </w:pPr>
          </w:p>
        </w:tc>
        <w:tc>
          <w:tcPr>
            <w:tcW w:w="801"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line="360" w:lineRule="auto"/>
              <w:rPr>
                <w:rFonts w:ascii="Times New Roman" w:hAnsi="Times New Roman" w:cs="Times New Roman"/>
                <w:noProof/>
                <w:sz w:val="18"/>
                <w:szCs w:val="18"/>
                <w:lang w:val="en-US"/>
              </w:rPr>
            </w:pPr>
          </w:p>
        </w:tc>
        <w:tc>
          <w:tcPr>
            <w:tcW w:w="878"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line="360" w:lineRule="auto"/>
              <w:rPr>
                <w:rFonts w:ascii="Times New Roman" w:hAnsi="Times New Roman" w:cs="Times New Roman"/>
                <w:noProof/>
                <w:sz w:val="18"/>
                <w:szCs w:val="18"/>
                <w:lang w:val="en-US"/>
              </w:rPr>
            </w:pPr>
          </w:p>
        </w:tc>
        <w:tc>
          <w:tcPr>
            <w:tcW w:w="952"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line="360" w:lineRule="auto"/>
              <w:rPr>
                <w:rFonts w:ascii="Times New Roman" w:hAnsi="Times New Roman" w:cs="Times New Roman"/>
                <w:noProof/>
                <w:sz w:val="18"/>
                <w:szCs w:val="18"/>
                <w:lang w:val="en-US"/>
              </w:rPr>
            </w:pPr>
          </w:p>
        </w:tc>
        <w:tc>
          <w:tcPr>
            <w:tcW w:w="2185"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line="360" w:lineRule="auto"/>
              <w:rPr>
                <w:rFonts w:ascii="Times New Roman" w:hAnsi="Times New Roman" w:cs="Times New Roman"/>
                <w:noProof/>
                <w:sz w:val="18"/>
                <w:szCs w:val="18"/>
                <w:lang w:val="en-US"/>
              </w:rPr>
            </w:pPr>
          </w:p>
        </w:tc>
      </w:tr>
      <w:tr w:rsidR="001A17A2" w:rsidRPr="001A17A2" w:rsidTr="004F32B2">
        <w:tc>
          <w:tcPr>
            <w:tcW w:w="969" w:type="dxa"/>
            <w:tcBorders>
              <w:top w:val="single" w:sz="4" w:space="0" w:color="auto"/>
              <w:left w:val="single" w:sz="4" w:space="0" w:color="auto"/>
              <w:bottom w:val="single" w:sz="4" w:space="0" w:color="auto"/>
              <w:right w:val="single" w:sz="4" w:space="0" w:color="auto"/>
            </w:tcBorders>
            <w:hideMark/>
          </w:tcPr>
          <w:p w:rsidR="001A17A2" w:rsidRPr="001A17A2" w:rsidRDefault="001A17A2" w:rsidP="001A17A2">
            <w:pPr>
              <w:spacing w:before="120" w:after="120" w:line="360" w:lineRule="auto"/>
              <w:rPr>
                <w:rFonts w:ascii="Times New Roman" w:hAnsi="Times New Roman" w:cs="Times New Roman"/>
                <w:noProof/>
                <w:sz w:val="18"/>
                <w:szCs w:val="18"/>
                <w:lang w:val="en-US"/>
              </w:rPr>
            </w:pPr>
            <w:r w:rsidRPr="001A17A2">
              <w:rPr>
                <w:rFonts w:ascii="Times New Roman" w:hAnsi="Times New Roman" w:cs="Times New Roman"/>
                <w:noProof/>
                <w:sz w:val="18"/>
                <w:szCs w:val="18"/>
                <w:lang w:val="en-US"/>
              </w:rPr>
              <w:t xml:space="preserve">Total </w:t>
            </w:r>
          </w:p>
        </w:tc>
        <w:tc>
          <w:tcPr>
            <w:tcW w:w="1378"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line="360" w:lineRule="auto"/>
              <w:rPr>
                <w:rFonts w:ascii="Times New Roman" w:hAnsi="Times New Roman" w:cs="Times New Roman"/>
                <w:noProof/>
                <w:sz w:val="18"/>
                <w:szCs w:val="18"/>
                <w:lang w:val="en-US"/>
              </w:rPr>
            </w:pPr>
          </w:p>
        </w:tc>
        <w:tc>
          <w:tcPr>
            <w:tcW w:w="795"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line="360" w:lineRule="auto"/>
              <w:rPr>
                <w:rFonts w:ascii="Times New Roman" w:hAnsi="Times New Roman" w:cs="Times New Roman"/>
                <w:noProof/>
                <w:sz w:val="18"/>
                <w:szCs w:val="18"/>
                <w:lang w:val="en-US"/>
              </w:rPr>
            </w:pPr>
          </w:p>
        </w:tc>
        <w:tc>
          <w:tcPr>
            <w:tcW w:w="868"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line="360" w:lineRule="auto"/>
              <w:rPr>
                <w:rFonts w:ascii="Times New Roman" w:hAnsi="Times New Roman" w:cs="Times New Roman"/>
                <w:noProof/>
                <w:sz w:val="18"/>
                <w:szCs w:val="18"/>
                <w:lang w:val="en-US"/>
              </w:rPr>
            </w:pPr>
          </w:p>
        </w:tc>
        <w:tc>
          <w:tcPr>
            <w:tcW w:w="877"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line="360" w:lineRule="auto"/>
              <w:rPr>
                <w:rFonts w:ascii="Times New Roman" w:hAnsi="Times New Roman" w:cs="Times New Roman"/>
                <w:noProof/>
                <w:sz w:val="18"/>
                <w:szCs w:val="18"/>
                <w:lang w:val="en-US"/>
              </w:rPr>
            </w:pPr>
          </w:p>
        </w:tc>
        <w:tc>
          <w:tcPr>
            <w:tcW w:w="753"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line="360" w:lineRule="auto"/>
              <w:rPr>
                <w:rFonts w:ascii="Times New Roman" w:hAnsi="Times New Roman" w:cs="Times New Roman"/>
                <w:noProof/>
                <w:sz w:val="18"/>
                <w:szCs w:val="18"/>
                <w:lang w:val="en-US"/>
              </w:rPr>
            </w:pPr>
          </w:p>
        </w:tc>
        <w:tc>
          <w:tcPr>
            <w:tcW w:w="801"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line="360" w:lineRule="auto"/>
              <w:rPr>
                <w:rFonts w:ascii="Times New Roman" w:hAnsi="Times New Roman" w:cs="Times New Roman"/>
                <w:noProof/>
                <w:sz w:val="18"/>
                <w:szCs w:val="18"/>
                <w:lang w:val="en-US"/>
              </w:rPr>
            </w:pPr>
          </w:p>
        </w:tc>
        <w:tc>
          <w:tcPr>
            <w:tcW w:w="878"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line="360" w:lineRule="auto"/>
              <w:rPr>
                <w:rFonts w:ascii="Times New Roman" w:hAnsi="Times New Roman" w:cs="Times New Roman"/>
                <w:noProof/>
                <w:sz w:val="18"/>
                <w:szCs w:val="18"/>
                <w:lang w:val="en-US"/>
              </w:rPr>
            </w:pPr>
          </w:p>
        </w:tc>
        <w:tc>
          <w:tcPr>
            <w:tcW w:w="952"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line="360" w:lineRule="auto"/>
              <w:rPr>
                <w:rFonts w:ascii="Times New Roman" w:hAnsi="Times New Roman" w:cs="Times New Roman"/>
                <w:noProof/>
                <w:sz w:val="18"/>
                <w:szCs w:val="18"/>
                <w:lang w:val="en-US"/>
              </w:rPr>
            </w:pPr>
          </w:p>
        </w:tc>
        <w:tc>
          <w:tcPr>
            <w:tcW w:w="2185"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line="360" w:lineRule="auto"/>
              <w:rPr>
                <w:rFonts w:ascii="Times New Roman" w:hAnsi="Times New Roman" w:cs="Times New Roman"/>
                <w:noProof/>
                <w:sz w:val="18"/>
                <w:szCs w:val="18"/>
                <w:lang w:val="en-US"/>
              </w:rPr>
            </w:pPr>
          </w:p>
        </w:tc>
      </w:tr>
    </w:tbl>
    <w:p w:rsidR="001A17A2" w:rsidRPr="001A17A2" w:rsidRDefault="001A17A2" w:rsidP="001A17A2">
      <w:pPr>
        <w:spacing w:before="240" w:after="240" w:line="240" w:lineRule="auto"/>
        <w:rPr>
          <w:rFonts w:ascii="Times New Roman" w:eastAsia="Times New Roman" w:hAnsi="Times New Roman" w:cs="Times New Roman"/>
          <w:b/>
          <w:iCs/>
          <w:noProof/>
          <w:sz w:val="24"/>
          <w:szCs w:val="24"/>
          <w:u w:val="single"/>
          <w:lang w:val="en-GB"/>
        </w:rPr>
      </w:pPr>
      <w:r w:rsidRPr="001A17A2">
        <w:rPr>
          <w:rFonts w:ascii="Times New Roman" w:eastAsia="Times New Roman" w:hAnsi="Times New Roman" w:cs="Times New Roman"/>
          <w:b/>
          <w:iCs/>
          <w:noProof/>
          <w:sz w:val="24"/>
          <w:szCs w:val="24"/>
          <w:lang w:val="en-GB"/>
        </w:rPr>
        <w:br w:type="page"/>
      </w:r>
    </w:p>
    <w:p w:rsidR="002C3753" w:rsidRPr="002C3753" w:rsidRDefault="002C3753" w:rsidP="002C3753">
      <w:pPr>
        <w:spacing w:before="120" w:after="120" w:line="240" w:lineRule="auto"/>
        <w:ind w:left="720"/>
        <w:jc w:val="both"/>
        <w:rPr>
          <w:rFonts w:ascii="Times New Roman" w:eastAsia="Times New Roman" w:hAnsi="Times New Roman" w:cs="Times New Roman"/>
          <w:b/>
          <w:iCs/>
          <w:noProof/>
          <w:sz w:val="24"/>
          <w:szCs w:val="24"/>
          <w:vertAlign w:val="superscript"/>
          <w:lang w:val="en-GB" w:eastAsia="en-GB"/>
        </w:rPr>
      </w:pPr>
      <w:r w:rsidRPr="002C3753">
        <w:rPr>
          <w:rFonts w:ascii="Times New Roman" w:eastAsia="Calibri" w:hAnsi="Times New Roman" w:cs="Times New Roman"/>
          <w:b/>
          <w:noProof/>
          <w:sz w:val="24"/>
          <w:szCs w:val="20"/>
          <w:lang w:val="en-GB" w:eastAsia="en-GB"/>
        </w:rPr>
        <w:lastRenderedPageBreak/>
        <w:t>3.2.</w:t>
      </w:r>
      <w:r w:rsidRPr="002C3753">
        <w:rPr>
          <w:rFonts w:ascii="Times New Roman" w:eastAsia="Calibri" w:hAnsi="Times New Roman" w:cs="Times New Roman"/>
          <w:noProof/>
          <w:sz w:val="24"/>
          <w:szCs w:val="20"/>
          <w:lang w:val="en-GB" w:eastAsia="en-GB"/>
        </w:rPr>
        <w:t xml:space="preserve"> </w:t>
      </w:r>
      <w:r w:rsidRPr="002C3753">
        <w:rPr>
          <w:rFonts w:ascii="Times New Roman" w:eastAsia="Times New Roman" w:hAnsi="Times New Roman" w:cs="Times New Roman"/>
          <w:b/>
          <w:iCs/>
          <w:noProof/>
          <w:sz w:val="24"/>
          <w:szCs w:val="24"/>
          <w:lang w:val="en-GB" w:eastAsia="en-GB"/>
        </w:rPr>
        <w:t>Total financial appropriations by fund and national co-financing *</w:t>
      </w:r>
    </w:p>
    <w:p w:rsidR="002C3753" w:rsidRPr="002C3753" w:rsidRDefault="002C3753" w:rsidP="002C3753">
      <w:pPr>
        <w:spacing w:before="120" w:after="120" w:line="240" w:lineRule="auto"/>
        <w:ind w:left="720"/>
        <w:jc w:val="both"/>
        <w:rPr>
          <w:rFonts w:ascii="Times New Roman" w:eastAsia="Times New Roman" w:hAnsi="Times New Roman" w:cs="Times New Roman"/>
          <w:i/>
          <w:noProof/>
          <w:sz w:val="24"/>
          <w:szCs w:val="24"/>
          <w:lang w:val="en-GB" w:eastAsia="en-GB"/>
        </w:rPr>
      </w:pPr>
      <w:r w:rsidRPr="002C3753">
        <w:rPr>
          <w:rFonts w:ascii="Times New Roman" w:eastAsia="Times New Roman" w:hAnsi="Times New Roman" w:cs="Times New Roman"/>
          <w:i/>
          <w:noProof/>
          <w:sz w:val="24"/>
          <w:szCs w:val="24"/>
          <w:lang w:val="en-GB" w:eastAsia="en-GB"/>
        </w:rPr>
        <w:t>Reference: Article 17(3)(f)(ii), Article 17(6)</w:t>
      </w:r>
    </w:p>
    <w:p w:rsidR="002C3753" w:rsidRPr="002C3753" w:rsidRDefault="002C3753" w:rsidP="002C3753">
      <w:pPr>
        <w:spacing w:before="120" w:after="120" w:line="240" w:lineRule="auto"/>
        <w:ind w:left="720"/>
        <w:jc w:val="both"/>
        <w:rPr>
          <w:rFonts w:ascii="Times New Roman" w:eastAsia="Times New Roman" w:hAnsi="Times New Roman" w:cs="Times New Roman"/>
          <w:i/>
          <w:noProof/>
          <w:sz w:val="24"/>
          <w:szCs w:val="24"/>
          <w:lang w:val="en-GB" w:eastAsia="en-GB"/>
        </w:rPr>
      </w:pPr>
      <w:r w:rsidRPr="002C3753">
        <w:rPr>
          <w:rFonts w:ascii="Times New Roman" w:eastAsia="Times New Roman" w:hAnsi="Times New Roman" w:cs="Times New Roman"/>
          <w:i/>
          <w:noProof/>
          <w:sz w:val="24"/>
          <w:szCs w:val="24"/>
          <w:lang w:val="en-GB" w:eastAsia="en-GB"/>
        </w:rPr>
        <w:t>For the Investments for Jobs and Growth goal:</w:t>
      </w:r>
    </w:p>
    <w:tbl>
      <w:tblPr>
        <w:tblStyle w:val="Tabelgril"/>
        <w:tblW w:w="14139" w:type="dxa"/>
        <w:jc w:val="center"/>
        <w:tblLayout w:type="fixed"/>
        <w:tblLook w:val="04A0" w:firstRow="1" w:lastRow="0" w:firstColumn="1" w:lastColumn="0" w:noHBand="0" w:noVBand="1"/>
      </w:tblPr>
      <w:tblGrid>
        <w:gridCol w:w="1419"/>
        <w:gridCol w:w="1343"/>
        <w:gridCol w:w="1984"/>
        <w:gridCol w:w="1134"/>
        <w:gridCol w:w="1418"/>
        <w:gridCol w:w="1134"/>
        <w:gridCol w:w="992"/>
        <w:gridCol w:w="709"/>
        <w:gridCol w:w="708"/>
        <w:gridCol w:w="851"/>
        <w:gridCol w:w="2447"/>
      </w:tblGrid>
      <w:tr w:rsidR="002C3753" w:rsidRPr="002C3753" w:rsidTr="00497168">
        <w:trPr>
          <w:jc w:val="center"/>
        </w:trPr>
        <w:tc>
          <w:tcPr>
            <w:tcW w:w="14139" w:type="dxa"/>
            <w:gridSpan w:val="11"/>
          </w:tcPr>
          <w:p w:rsidR="002C3753" w:rsidRPr="002C3753" w:rsidRDefault="002C3753" w:rsidP="002C3753">
            <w:pPr>
              <w:ind w:left="720"/>
              <w:contextualSpacing/>
              <w:rPr>
                <w:rFonts w:ascii="Times New Roman" w:eastAsia="Calibri" w:hAnsi="Times New Roman" w:cs="Times New Roman"/>
                <w:b/>
                <w:noProof/>
                <w:sz w:val="16"/>
                <w:szCs w:val="16"/>
                <w:lang w:val="en-GB"/>
              </w:rPr>
            </w:pPr>
            <w:r w:rsidRPr="002C3753">
              <w:rPr>
                <w:rFonts w:ascii="Times New Roman" w:eastAsia="Calibri" w:hAnsi="Times New Roman" w:cs="Times New Roman"/>
                <w:b/>
                <w:noProof/>
                <w:sz w:val="16"/>
                <w:szCs w:val="16"/>
                <w:lang w:val="en-GB"/>
              </w:rPr>
              <w:t>Table 11: Total financial appropriations by fund and national co-financing</w:t>
            </w:r>
          </w:p>
        </w:tc>
      </w:tr>
      <w:tr w:rsidR="002C3753" w:rsidRPr="002C3753" w:rsidTr="00497168">
        <w:trPr>
          <w:jc w:val="center"/>
        </w:trPr>
        <w:tc>
          <w:tcPr>
            <w:tcW w:w="1419" w:type="dxa"/>
            <w:vMerge w:val="restart"/>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Policy/JTF objective or TA</w:t>
            </w:r>
          </w:p>
        </w:tc>
        <w:tc>
          <w:tcPr>
            <w:tcW w:w="1343" w:type="dxa"/>
            <w:vMerge w:val="restart"/>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Priority</w:t>
            </w:r>
          </w:p>
        </w:tc>
        <w:tc>
          <w:tcPr>
            <w:tcW w:w="1984" w:type="dxa"/>
            <w:vMerge w:val="restart"/>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Basis for calculation EU support (total or public)</w:t>
            </w:r>
          </w:p>
        </w:tc>
        <w:tc>
          <w:tcPr>
            <w:tcW w:w="1134" w:type="dxa"/>
            <w:vMerge w:val="restart"/>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Fund</w:t>
            </w:r>
          </w:p>
        </w:tc>
        <w:tc>
          <w:tcPr>
            <w:tcW w:w="1418" w:type="dxa"/>
            <w:vMerge w:val="restart"/>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Category of region**</w:t>
            </w:r>
          </w:p>
        </w:tc>
        <w:tc>
          <w:tcPr>
            <w:tcW w:w="1134" w:type="dxa"/>
            <w:vMerge w:val="restart"/>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EU contribution</w:t>
            </w:r>
          </w:p>
        </w:tc>
        <w:tc>
          <w:tcPr>
            <w:tcW w:w="992" w:type="dxa"/>
            <w:vMerge w:val="restart"/>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National contribution</w:t>
            </w:r>
          </w:p>
        </w:tc>
        <w:tc>
          <w:tcPr>
            <w:tcW w:w="1417" w:type="dxa"/>
            <w:gridSpan w:val="2"/>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Indicative breakdown of national contribution</w:t>
            </w:r>
          </w:p>
        </w:tc>
        <w:tc>
          <w:tcPr>
            <w:tcW w:w="851" w:type="dxa"/>
            <w:vMerge w:val="restart"/>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Total</w:t>
            </w:r>
          </w:p>
        </w:tc>
        <w:tc>
          <w:tcPr>
            <w:tcW w:w="2447" w:type="dxa"/>
            <w:vMerge w:val="restart"/>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Co-financing rate</w:t>
            </w:r>
          </w:p>
        </w:tc>
      </w:tr>
      <w:tr w:rsidR="002C3753" w:rsidRPr="002C3753" w:rsidTr="00497168">
        <w:trPr>
          <w:trHeight w:val="170"/>
          <w:jc w:val="center"/>
        </w:trPr>
        <w:tc>
          <w:tcPr>
            <w:tcW w:w="1419" w:type="dxa"/>
            <w:vMerge/>
          </w:tcPr>
          <w:p w:rsidR="002C3753" w:rsidRPr="002C3753" w:rsidRDefault="002C3753" w:rsidP="002C3753">
            <w:pPr>
              <w:rPr>
                <w:rFonts w:ascii="Times New Roman" w:eastAsia="Calibri" w:hAnsi="Times New Roman" w:cs="Times New Roman"/>
                <w:noProof/>
                <w:sz w:val="16"/>
                <w:szCs w:val="16"/>
                <w:lang w:val="en-GB"/>
              </w:rPr>
            </w:pPr>
          </w:p>
        </w:tc>
        <w:tc>
          <w:tcPr>
            <w:tcW w:w="1343" w:type="dxa"/>
            <w:vMerge/>
            <w:tcBorders>
              <w:bottom w:val="nil"/>
            </w:tcBorders>
          </w:tcPr>
          <w:p w:rsidR="002C3753" w:rsidRPr="002C3753" w:rsidRDefault="002C3753" w:rsidP="002C3753">
            <w:pPr>
              <w:rPr>
                <w:rFonts w:ascii="Times New Roman" w:eastAsia="Calibri" w:hAnsi="Times New Roman" w:cs="Times New Roman"/>
                <w:noProof/>
                <w:sz w:val="16"/>
                <w:szCs w:val="16"/>
                <w:lang w:val="en-GB"/>
              </w:rPr>
            </w:pPr>
          </w:p>
        </w:tc>
        <w:tc>
          <w:tcPr>
            <w:tcW w:w="1984" w:type="dxa"/>
            <w:vMerge/>
            <w:tcBorders>
              <w:bottom w:val="nil"/>
            </w:tcBorders>
          </w:tcPr>
          <w:p w:rsidR="002C3753" w:rsidRPr="002C3753" w:rsidRDefault="002C3753" w:rsidP="002C3753">
            <w:pPr>
              <w:rPr>
                <w:rFonts w:ascii="Times New Roman" w:eastAsia="Calibri" w:hAnsi="Times New Roman" w:cs="Times New Roman"/>
                <w:noProof/>
                <w:sz w:val="16"/>
                <w:szCs w:val="16"/>
                <w:lang w:val="en-GB"/>
              </w:rPr>
            </w:pPr>
          </w:p>
        </w:tc>
        <w:tc>
          <w:tcPr>
            <w:tcW w:w="1134" w:type="dxa"/>
            <w:vMerge/>
            <w:tcBorders>
              <w:bottom w:val="nil"/>
            </w:tcBorders>
          </w:tcPr>
          <w:p w:rsidR="002C3753" w:rsidRPr="002C3753" w:rsidRDefault="002C3753" w:rsidP="002C3753">
            <w:pPr>
              <w:rPr>
                <w:rFonts w:ascii="Times New Roman" w:eastAsia="Calibri" w:hAnsi="Times New Roman" w:cs="Times New Roman"/>
                <w:noProof/>
                <w:sz w:val="16"/>
                <w:szCs w:val="16"/>
                <w:lang w:val="en-GB"/>
              </w:rPr>
            </w:pPr>
          </w:p>
        </w:tc>
        <w:tc>
          <w:tcPr>
            <w:tcW w:w="1418" w:type="dxa"/>
            <w:vMerge/>
            <w:tcBorders>
              <w:bottom w:val="nil"/>
            </w:tcBorders>
          </w:tcPr>
          <w:p w:rsidR="002C3753" w:rsidRPr="002C3753" w:rsidRDefault="002C3753" w:rsidP="002C3753">
            <w:pPr>
              <w:rPr>
                <w:rFonts w:ascii="Times New Roman" w:eastAsia="Calibri" w:hAnsi="Times New Roman" w:cs="Times New Roman"/>
                <w:noProof/>
                <w:sz w:val="16"/>
                <w:szCs w:val="16"/>
                <w:lang w:val="en-GB"/>
              </w:rPr>
            </w:pPr>
          </w:p>
        </w:tc>
        <w:tc>
          <w:tcPr>
            <w:tcW w:w="1134" w:type="dxa"/>
            <w:vMerge/>
            <w:tcBorders>
              <w:bottom w:val="nil"/>
            </w:tcBorders>
          </w:tcPr>
          <w:p w:rsidR="002C3753" w:rsidRPr="002C3753" w:rsidRDefault="002C3753" w:rsidP="002C3753">
            <w:pPr>
              <w:rPr>
                <w:rFonts w:ascii="Times New Roman" w:eastAsia="Calibri" w:hAnsi="Times New Roman" w:cs="Times New Roman"/>
                <w:noProof/>
                <w:sz w:val="16"/>
                <w:szCs w:val="16"/>
                <w:lang w:val="en-GB"/>
              </w:rPr>
            </w:pPr>
          </w:p>
        </w:tc>
        <w:tc>
          <w:tcPr>
            <w:tcW w:w="992" w:type="dxa"/>
            <w:vMerge/>
            <w:tcBorders>
              <w:bottom w:val="nil"/>
            </w:tcBorders>
          </w:tcPr>
          <w:p w:rsidR="002C3753" w:rsidRPr="002C3753" w:rsidRDefault="002C3753" w:rsidP="002C3753">
            <w:pPr>
              <w:rPr>
                <w:rFonts w:ascii="Times New Roman" w:eastAsia="Calibri" w:hAnsi="Times New Roman" w:cs="Times New Roman"/>
                <w:noProof/>
                <w:sz w:val="16"/>
                <w:szCs w:val="16"/>
                <w:lang w:val="en-GB"/>
              </w:rPr>
            </w:pPr>
          </w:p>
        </w:tc>
        <w:tc>
          <w:tcPr>
            <w:tcW w:w="709" w:type="dxa"/>
            <w:tcBorders>
              <w:bottom w:val="nil"/>
            </w:tcBorders>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 xml:space="preserve">public </w:t>
            </w:r>
          </w:p>
        </w:tc>
        <w:tc>
          <w:tcPr>
            <w:tcW w:w="708" w:type="dxa"/>
            <w:tcBorders>
              <w:bottom w:val="nil"/>
            </w:tcBorders>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 xml:space="preserve">private </w:t>
            </w:r>
          </w:p>
        </w:tc>
        <w:tc>
          <w:tcPr>
            <w:tcW w:w="851" w:type="dxa"/>
            <w:vMerge/>
            <w:tcBorders>
              <w:bottom w:val="nil"/>
            </w:tcBorders>
          </w:tcPr>
          <w:p w:rsidR="002C3753" w:rsidRPr="002C3753" w:rsidRDefault="002C3753" w:rsidP="002C3753">
            <w:pPr>
              <w:rPr>
                <w:rFonts w:ascii="Times New Roman" w:eastAsia="Calibri" w:hAnsi="Times New Roman" w:cs="Times New Roman"/>
                <w:noProof/>
                <w:sz w:val="16"/>
                <w:szCs w:val="16"/>
                <w:lang w:val="en-GB"/>
              </w:rPr>
            </w:pPr>
          </w:p>
        </w:tc>
        <w:tc>
          <w:tcPr>
            <w:tcW w:w="2447" w:type="dxa"/>
            <w:vMerge/>
            <w:tcBorders>
              <w:bottom w:val="nil"/>
            </w:tcBorders>
          </w:tcPr>
          <w:p w:rsidR="002C3753" w:rsidRPr="002C3753" w:rsidRDefault="002C3753" w:rsidP="002C3753">
            <w:pPr>
              <w:rPr>
                <w:rFonts w:ascii="Times New Roman" w:eastAsia="Calibri" w:hAnsi="Times New Roman" w:cs="Times New Roman"/>
                <w:noProof/>
                <w:sz w:val="16"/>
                <w:szCs w:val="16"/>
                <w:lang w:val="en-GB"/>
              </w:rPr>
            </w:pPr>
          </w:p>
        </w:tc>
      </w:tr>
      <w:tr w:rsidR="002C3753" w:rsidRPr="002C3753" w:rsidTr="00497168">
        <w:trPr>
          <w:jc w:val="center"/>
        </w:trPr>
        <w:tc>
          <w:tcPr>
            <w:tcW w:w="1419" w:type="dxa"/>
            <w:vMerge/>
          </w:tcPr>
          <w:p w:rsidR="002C3753" w:rsidRPr="002C3753" w:rsidRDefault="002C3753" w:rsidP="002C3753">
            <w:pPr>
              <w:jc w:val="center"/>
              <w:rPr>
                <w:rFonts w:ascii="Times New Roman" w:eastAsia="Calibri" w:hAnsi="Times New Roman" w:cs="Times New Roman"/>
                <w:noProof/>
                <w:sz w:val="16"/>
                <w:szCs w:val="16"/>
                <w:lang w:val="en-GB"/>
              </w:rPr>
            </w:pPr>
          </w:p>
        </w:tc>
        <w:tc>
          <w:tcPr>
            <w:tcW w:w="1343" w:type="dxa"/>
            <w:tcBorders>
              <w:top w:val="nil"/>
            </w:tcBorders>
          </w:tcPr>
          <w:p w:rsidR="002C3753" w:rsidRPr="002C3753" w:rsidRDefault="002C3753" w:rsidP="002C3753">
            <w:pPr>
              <w:jc w:val="center"/>
              <w:rPr>
                <w:rFonts w:ascii="Times New Roman" w:eastAsia="Calibri" w:hAnsi="Times New Roman" w:cs="Times New Roman"/>
                <w:noProof/>
                <w:sz w:val="16"/>
                <w:szCs w:val="16"/>
                <w:lang w:val="en-GB"/>
              </w:rPr>
            </w:pPr>
          </w:p>
        </w:tc>
        <w:tc>
          <w:tcPr>
            <w:tcW w:w="1984" w:type="dxa"/>
            <w:tcBorders>
              <w:top w:val="nil"/>
            </w:tcBorders>
          </w:tcPr>
          <w:p w:rsidR="002C3753" w:rsidRPr="002C3753" w:rsidRDefault="002C3753" w:rsidP="002C3753">
            <w:pPr>
              <w:jc w:val="center"/>
              <w:rPr>
                <w:rFonts w:ascii="Times New Roman" w:eastAsia="Calibri" w:hAnsi="Times New Roman" w:cs="Times New Roman"/>
                <w:noProof/>
                <w:sz w:val="16"/>
                <w:szCs w:val="16"/>
                <w:lang w:val="en-GB"/>
              </w:rPr>
            </w:pPr>
          </w:p>
        </w:tc>
        <w:tc>
          <w:tcPr>
            <w:tcW w:w="1134" w:type="dxa"/>
            <w:tcBorders>
              <w:top w:val="nil"/>
            </w:tcBorders>
          </w:tcPr>
          <w:p w:rsidR="002C3753" w:rsidRPr="002C3753" w:rsidRDefault="002C3753" w:rsidP="002C3753">
            <w:pPr>
              <w:jc w:val="center"/>
              <w:rPr>
                <w:rFonts w:ascii="Times New Roman" w:eastAsia="Calibri" w:hAnsi="Times New Roman" w:cs="Times New Roman"/>
                <w:noProof/>
                <w:sz w:val="16"/>
                <w:szCs w:val="16"/>
                <w:lang w:val="en-GB"/>
              </w:rPr>
            </w:pPr>
          </w:p>
        </w:tc>
        <w:tc>
          <w:tcPr>
            <w:tcW w:w="1418" w:type="dxa"/>
            <w:tcBorders>
              <w:top w:val="nil"/>
            </w:tcBorders>
          </w:tcPr>
          <w:p w:rsidR="002C3753" w:rsidRPr="002C3753" w:rsidRDefault="002C3753" w:rsidP="002C3753">
            <w:pPr>
              <w:jc w:val="center"/>
              <w:rPr>
                <w:rFonts w:ascii="Times New Roman" w:eastAsia="Calibri" w:hAnsi="Times New Roman" w:cs="Times New Roman"/>
                <w:noProof/>
                <w:sz w:val="16"/>
                <w:szCs w:val="16"/>
                <w:lang w:val="en-GB"/>
              </w:rPr>
            </w:pPr>
          </w:p>
        </w:tc>
        <w:tc>
          <w:tcPr>
            <w:tcW w:w="1134" w:type="dxa"/>
            <w:tcBorders>
              <w:top w:val="nil"/>
            </w:tcBorders>
          </w:tcPr>
          <w:p w:rsidR="002C3753" w:rsidRPr="002C3753" w:rsidRDefault="002C3753" w:rsidP="002C3753">
            <w:pPr>
              <w:jc w:val="cente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(a)</w:t>
            </w:r>
          </w:p>
        </w:tc>
        <w:tc>
          <w:tcPr>
            <w:tcW w:w="992" w:type="dxa"/>
            <w:tcBorders>
              <w:top w:val="nil"/>
            </w:tcBorders>
          </w:tcPr>
          <w:p w:rsidR="002C3753" w:rsidRPr="002C3753" w:rsidRDefault="002C3753" w:rsidP="002C3753">
            <w:pPr>
              <w:jc w:val="cente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(b)=(c)+(d)</w:t>
            </w:r>
          </w:p>
        </w:tc>
        <w:tc>
          <w:tcPr>
            <w:tcW w:w="709" w:type="dxa"/>
            <w:tcBorders>
              <w:top w:val="nil"/>
            </w:tcBorders>
          </w:tcPr>
          <w:p w:rsidR="002C3753" w:rsidRPr="002C3753" w:rsidRDefault="002C3753" w:rsidP="002C3753">
            <w:pPr>
              <w:jc w:val="cente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(c)</w:t>
            </w:r>
          </w:p>
        </w:tc>
        <w:tc>
          <w:tcPr>
            <w:tcW w:w="708" w:type="dxa"/>
            <w:tcBorders>
              <w:top w:val="nil"/>
            </w:tcBorders>
          </w:tcPr>
          <w:p w:rsidR="002C3753" w:rsidRPr="002C3753" w:rsidRDefault="002C3753" w:rsidP="002C3753">
            <w:pPr>
              <w:jc w:val="cente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(d)</w:t>
            </w:r>
          </w:p>
        </w:tc>
        <w:tc>
          <w:tcPr>
            <w:tcW w:w="851" w:type="dxa"/>
            <w:tcBorders>
              <w:top w:val="nil"/>
            </w:tcBorders>
          </w:tcPr>
          <w:p w:rsidR="002C3753" w:rsidRPr="002C3753" w:rsidRDefault="002C3753" w:rsidP="002C3753">
            <w:pPr>
              <w:jc w:val="cente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(e)=(a)+ (b)***</w:t>
            </w:r>
          </w:p>
        </w:tc>
        <w:tc>
          <w:tcPr>
            <w:tcW w:w="2447" w:type="dxa"/>
            <w:tcBorders>
              <w:top w:val="nil"/>
            </w:tcBorders>
          </w:tcPr>
          <w:p w:rsidR="002C3753" w:rsidRPr="002C3753" w:rsidRDefault="002C3753" w:rsidP="002C3753">
            <w:pPr>
              <w:jc w:val="cente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(f)=(a)/(e)***</w:t>
            </w:r>
          </w:p>
        </w:tc>
      </w:tr>
      <w:tr w:rsidR="002C3753" w:rsidRPr="002C3753" w:rsidTr="00497168">
        <w:trPr>
          <w:jc w:val="center"/>
        </w:trPr>
        <w:tc>
          <w:tcPr>
            <w:tcW w:w="1419" w:type="dxa"/>
          </w:tcPr>
          <w:p w:rsidR="002C3753" w:rsidRPr="002C3753" w:rsidRDefault="002C3753" w:rsidP="002C3753">
            <w:pPr>
              <w:rPr>
                <w:rFonts w:ascii="Times New Roman" w:eastAsia="Calibri" w:hAnsi="Times New Roman" w:cs="Times New Roman"/>
                <w:noProof/>
                <w:sz w:val="16"/>
                <w:szCs w:val="16"/>
                <w:lang w:val="en-GB"/>
              </w:rPr>
            </w:pPr>
          </w:p>
        </w:tc>
        <w:tc>
          <w:tcPr>
            <w:tcW w:w="1343" w:type="dxa"/>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Priority 1</w:t>
            </w:r>
          </w:p>
        </w:tc>
        <w:tc>
          <w:tcPr>
            <w:tcW w:w="1984" w:type="dxa"/>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P/T</w:t>
            </w:r>
          </w:p>
        </w:tc>
        <w:tc>
          <w:tcPr>
            <w:tcW w:w="1134" w:type="dxa"/>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ERDF</w:t>
            </w:r>
          </w:p>
        </w:tc>
        <w:tc>
          <w:tcPr>
            <w:tcW w:w="1418" w:type="dxa"/>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Less developed</w:t>
            </w:r>
          </w:p>
        </w:tc>
        <w:tc>
          <w:tcPr>
            <w:tcW w:w="1134" w:type="dxa"/>
          </w:tcPr>
          <w:p w:rsidR="002C3753" w:rsidRPr="002C3753" w:rsidRDefault="002C3753" w:rsidP="002C3753">
            <w:pPr>
              <w:rPr>
                <w:rFonts w:ascii="Times New Roman" w:eastAsia="Calibri" w:hAnsi="Times New Roman" w:cs="Times New Roman"/>
                <w:noProof/>
                <w:sz w:val="16"/>
                <w:szCs w:val="16"/>
                <w:lang w:val="en-GB"/>
              </w:rPr>
            </w:pPr>
          </w:p>
        </w:tc>
        <w:tc>
          <w:tcPr>
            <w:tcW w:w="992" w:type="dxa"/>
          </w:tcPr>
          <w:p w:rsidR="002C3753" w:rsidRPr="002C3753" w:rsidRDefault="002C3753" w:rsidP="002C3753">
            <w:pPr>
              <w:rPr>
                <w:rFonts w:ascii="Times New Roman" w:eastAsia="Calibri" w:hAnsi="Times New Roman" w:cs="Times New Roman"/>
                <w:noProof/>
                <w:sz w:val="16"/>
                <w:szCs w:val="16"/>
                <w:lang w:val="en-GB"/>
              </w:rPr>
            </w:pPr>
          </w:p>
        </w:tc>
        <w:tc>
          <w:tcPr>
            <w:tcW w:w="709" w:type="dxa"/>
          </w:tcPr>
          <w:p w:rsidR="002C3753" w:rsidRPr="002C3753" w:rsidRDefault="002C3753" w:rsidP="002C3753">
            <w:pPr>
              <w:rPr>
                <w:rFonts w:ascii="Times New Roman" w:eastAsia="Calibri" w:hAnsi="Times New Roman" w:cs="Times New Roman"/>
                <w:noProof/>
                <w:sz w:val="16"/>
                <w:szCs w:val="16"/>
                <w:lang w:val="en-GB"/>
              </w:rPr>
            </w:pPr>
          </w:p>
        </w:tc>
        <w:tc>
          <w:tcPr>
            <w:tcW w:w="708" w:type="dxa"/>
          </w:tcPr>
          <w:p w:rsidR="002C3753" w:rsidRPr="002C3753" w:rsidRDefault="002C3753" w:rsidP="002C3753">
            <w:pPr>
              <w:rPr>
                <w:rFonts w:ascii="Times New Roman" w:eastAsia="Calibri" w:hAnsi="Times New Roman" w:cs="Times New Roman"/>
                <w:noProof/>
                <w:sz w:val="16"/>
                <w:szCs w:val="16"/>
                <w:lang w:val="en-GB"/>
              </w:rPr>
            </w:pPr>
          </w:p>
        </w:tc>
        <w:tc>
          <w:tcPr>
            <w:tcW w:w="851" w:type="dxa"/>
          </w:tcPr>
          <w:p w:rsidR="002C3753" w:rsidRPr="002C3753" w:rsidRDefault="002C3753" w:rsidP="002C3753">
            <w:pPr>
              <w:rPr>
                <w:rFonts w:ascii="Times New Roman" w:eastAsia="Calibri" w:hAnsi="Times New Roman" w:cs="Times New Roman"/>
                <w:noProof/>
                <w:sz w:val="16"/>
                <w:szCs w:val="16"/>
                <w:lang w:val="en-GB"/>
              </w:rPr>
            </w:pPr>
          </w:p>
        </w:tc>
        <w:tc>
          <w:tcPr>
            <w:tcW w:w="2447" w:type="dxa"/>
          </w:tcPr>
          <w:p w:rsidR="002C3753" w:rsidRPr="002C3753" w:rsidRDefault="002C3753" w:rsidP="002C3753">
            <w:pPr>
              <w:rPr>
                <w:rFonts w:ascii="Times New Roman" w:eastAsia="Calibri" w:hAnsi="Times New Roman" w:cs="Times New Roman"/>
                <w:noProof/>
                <w:sz w:val="16"/>
                <w:szCs w:val="16"/>
                <w:lang w:val="en-GB"/>
              </w:rPr>
            </w:pPr>
          </w:p>
        </w:tc>
      </w:tr>
      <w:tr w:rsidR="002C3753" w:rsidRPr="002C3753" w:rsidTr="00497168">
        <w:trPr>
          <w:jc w:val="center"/>
        </w:trPr>
        <w:tc>
          <w:tcPr>
            <w:tcW w:w="1419" w:type="dxa"/>
            <w:vMerge w:val="restart"/>
          </w:tcPr>
          <w:p w:rsidR="002C3753" w:rsidRPr="002C3753" w:rsidRDefault="002C3753" w:rsidP="002C3753">
            <w:pPr>
              <w:rPr>
                <w:rFonts w:ascii="Times New Roman" w:eastAsia="Calibri" w:hAnsi="Times New Roman" w:cs="Times New Roman"/>
                <w:noProof/>
                <w:sz w:val="16"/>
                <w:szCs w:val="16"/>
                <w:lang w:val="en-GB"/>
              </w:rPr>
            </w:pPr>
          </w:p>
        </w:tc>
        <w:tc>
          <w:tcPr>
            <w:tcW w:w="1343" w:type="dxa"/>
            <w:vMerge w:val="restart"/>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Priority 2</w:t>
            </w:r>
          </w:p>
        </w:tc>
        <w:tc>
          <w:tcPr>
            <w:tcW w:w="1984" w:type="dxa"/>
            <w:vMerge w:val="restart"/>
          </w:tcPr>
          <w:p w:rsidR="002C3753" w:rsidRPr="002C3753" w:rsidRDefault="002C3753" w:rsidP="002C3753">
            <w:pPr>
              <w:rPr>
                <w:rFonts w:ascii="Times New Roman" w:eastAsia="Calibri" w:hAnsi="Times New Roman" w:cs="Times New Roman"/>
                <w:noProof/>
                <w:sz w:val="16"/>
                <w:szCs w:val="16"/>
                <w:lang w:val="en-GB"/>
              </w:rPr>
            </w:pPr>
          </w:p>
        </w:tc>
        <w:tc>
          <w:tcPr>
            <w:tcW w:w="1134" w:type="dxa"/>
            <w:vMerge w:val="restart"/>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ESF+</w:t>
            </w:r>
          </w:p>
        </w:tc>
        <w:tc>
          <w:tcPr>
            <w:tcW w:w="1418" w:type="dxa"/>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Less developed</w:t>
            </w:r>
          </w:p>
        </w:tc>
        <w:tc>
          <w:tcPr>
            <w:tcW w:w="1134" w:type="dxa"/>
          </w:tcPr>
          <w:p w:rsidR="002C3753" w:rsidRPr="002C3753" w:rsidRDefault="002C3753" w:rsidP="002C3753">
            <w:pPr>
              <w:rPr>
                <w:rFonts w:ascii="Times New Roman" w:eastAsia="Calibri" w:hAnsi="Times New Roman" w:cs="Times New Roman"/>
                <w:noProof/>
                <w:sz w:val="16"/>
                <w:szCs w:val="16"/>
                <w:lang w:val="en-GB"/>
              </w:rPr>
            </w:pPr>
          </w:p>
        </w:tc>
        <w:tc>
          <w:tcPr>
            <w:tcW w:w="992" w:type="dxa"/>
          </w:tcPr>
          <w:p w:rsidR="002C3753" w:rsidRPr="002C3753" w:rsidRDefault="002C3753" w:rsidP="002C3753">
            <w:pPr>
              <w:rPr>
                <w:rFonts w:ascii="Times New Roman" w:eastAsia="Calibri" w:hAnsi="Times New Roman" w:cs="Times New Roman"/>
                <w:noProof/>
                <w:sz w:val="16"/>
                <w:szCs w:val="16"/>
                <w:lang w:val="en-GB"/>
              </w:rPr>
            </w:pPr>
          </w:p>
        </w:tc>
        <w:tc>
          <w:tcPr>
            <w:tcW w:w="709" w:type="dxa"/>
          </w:tcPr>
          <w:p w:rsidR="002C3753" w:rsidRPr="002C3753" w:rsidRDefault="002C3753" w:rsidP="002C3753">
            <w:pPr>
              <w:rPr>
                <w:rFonts w:ascii="Times New Roman" w:eastAsia="Calibri" w:hAnsi="Times New Roman" w:cs="Times New Roman"/>
                <w:noProof/>
                <w:sz w:val="16"/>
                <w:szCs w:val="16"/>
                <w:lang w:val="en-GB"/>
              </w:rPr>
            </w:pPr>
          </w:p>
        </w:tc>
        <w:tc>
          <w:tcPr>
            <w:tcW w:w="708" w:type="dxa"/>
          </w:tcPr>
          <w:p w:rsidR="002C3753" w:rsidRPr="002C3753" w:rsidRDefault="002C3753" w:rsidP="002C3753">
            <w:pPr>
              <w:rPr>
                <w:rFonts w:ascii="Times New Roman" w:eastAsia="Calibri" w:hAnsi="Times New Roman" w:cs="Times New Roman"/>
                <w:noProof/>
                <w:sz w:val="16"/>
                <w:szCs w:val="16"/>
                <w:lang w:val="en-GB"/>
              </w:rPr>
            </w:pPr>
          </w:p>
        </w:tc>
        <w:tc>
          <w:tcPr>
            <w:tcW w:w="851" w:type="dxa"/>
          </w:tcPr>
          <w:p w:rsidR="002C3753" w:rsidRPr="002C3753" w:rsidRDefault="002C3753" w:rsidP="002C3753">
            <w:pPr>
              <w:rPr>
                <w:rFonts w:ascii="Times New Roman" w:eastAsia="Calibri" w:hAnsi="Times New Roman" w:cs="Times New Roman"/>
                <w:noProof/>
                <w:sz w:val="16"/>
                <w:szCs w:val="16"/>
                <w:lang w:val="en-GB"/>
              </w:rPr>
            </w:pPr>
          </w:p>
        </w:tc>
        <w:tc>
          <w:tcPr>
            <w:tcW w:w="2447" w:type="dxa"/>
          </w:tcPr>
          <w:p w:rsidR="002C3753" w:rsidRPr="002C3753" w:rsidRDefault="002C3753" w:rsidP="002C3753">
            <w:pPr>
              <w:rPr>
                <w:rFonts w:ascii="Times New Roman" w:eastAsia="Calibri" w:hAnsi="Times New Roman" w:cs="Times New Roman"/>
                <w:noProof/>
                <w:sz w:val="16"/>
                <w:szCs w:val="16"/>
                <w:lang w:val="en-GB"/>
              </w:rPr>
            </w:pPr>
          </w:p>
        </w:tc>
      </w:tr>
      <w:tr w:rsidR="002C3753" w:rsidRPr="002C3753" w:rsidTr="00497168">
        <w:trPr>
          <w:jc w:val="center"/>
        </w:trPr>
        <w:tc>
          <w:tcPr>
            <w:tcW w:w="1419" w:type="dxa"/>
            <w:vMerge/>
          </w:tcPr>
          <w:p w:rsidR="002C3753" w:rsidRPr="002C3753" w:rsidRDefault="002C3753" w:rsidP="002C3753">
            <w:pPr>
              <w:rPr>
                <w:rFonts w:ascii="Times New Roman" w:eastAsia="Calibri" w:hAnsi="Times New Roman" w:cs="Times New Roman"/>
                <w:noProof/>
                <w:sz w:val="16"/>
                <w:szCs w:val="16"/>
                <w:lang w:val="en-GB"/>
              </w:rPr>
            </w:pPr>
          </w:p>
        </w:tc>
        <w:tc>
          <w:tcPr>
            <w:tcW w:w="1343" w:type="dxa"/>
            <w:vMerge/>
          </w:tcPr>
          <w:p w:rsidR="002C3753" w:rsidRPr="002C3753" w:rsidRDefault="002C3753" w:rsidP="002C3753">
            <w:pPr>
              <w:rPr>
                <w:rFonts w:ascii="Times New Roman" w:eastAsia="Calibri" w:hAnsi="Times New Roman" w:cs="Times New Roman"/>
                <w:noProof/>
                <w:sz w:val="16"/>
                <w:szCs w:val="16"/>
                <w:lang w:val="en-GB"/>
              </w:rPr>
            </w:pPr>
          </w:p>
        </w:tc>
        <w:tc>
          <w:tcPr>
            <w:tcW w:w="1984" w:type="dxa"/>
            <w:vMerge/>
          </w:tcPr>
          <w:p w:rsidR="002C3753" w:rsidRPr="002C3753" w:rsidRDefault="002C3753" w:rsidP="002C3753">
            <w:pPr>
              <w:rPr>
                <w:rFonts w:ascii="Times New Roman" w:eastAsia="Calibri" w:hAnsi="Times New Roman" w:cs="Times New Roman"/>
                <w:noProof/>
                <w:sz w:val="16"/>
                <w:szCs w:val="16"/>
                <w:lang w:val="en-GB"/>
              </w:rPr>
            </w:pPr>
          </w:p>
        </w:tc>
        <w:tc>
          <w:tcPr>
            <w:tcW w:w="1134" w:type="dxa"/>
            <w:vMerge/>
          </w:tcPr>
          <w:p w:rsidR="002C3753" w:rsidRPr="002C3753" w:rsidRDefault="002C3753" w:rsidP="002C3753">
            <w:pPr>
              <w:rPr>
                <w:rFonts w:ascii="Times New Roman" w:eastAsia="Calibri" w:hAnsi="Times New Roman" w:cs="Times New Roman"/>
                <w:noProof/>
                <w:sz w:val="16"/>
                <w:szCs w:val="16"/>
                <w:lang w:val="en-GB"/>
              </w:rPr>
            </w:pPr>
          </w:p>
        </w:tc>
        <w:tc>
          <w:tcPr>
            <w:tcW w:w="1418" w:type="dxa"/>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More developed</w:t>
            </w:r>
          </w:p>
        </w:tc>
        <w:tc>
          <w:tcPr>
            <w:tcW w:w="1134" w:type="dxa"/>
          </w:tcPr>
          <w:p w:rsidR="002C3753" w:rsidRPr="002C3753" w:rsidRDefault="002C3753" w:rsidP="002C3753">
            <w:pPr>
              <w:rPr>
                <w:rFonts w:ascii="Times New Roman" w:eastAsia="Calibri" w:hAnsi="Times New Roman" w:cs="Times New Roman"/>
                <w:noProof/>
                <w:sz w:val="16"/>
                <w:szCs w:val="16"/>
                <w:lang w:val="en-GB"/>
              </w:rPr>
            </w:pPr>
          </w:p>
        </w:tc>
        <w:tc>
          <w:tcPr>
            <w:tcW w:w="992" w:type="dxa"/>
          </w:tcPr>
          <w:p w:rsidR="002C3753" w:rsidRPr="002C3753" w:rsidRDefault="002C3753" w:rsidP="002C3753">
            <w:pPr>
              <w:rPr>
                <w:rFonts w:ascii="Times New Roman" w:eastAsia="Calibri" w:hAnsi="Times New Roman" w:cs="Times New Roman"/>
                <w:noProof/>
                <w:sz w:val="16"/>
                <w:szCs w:val="16"/>
                <w:lang w:val="en-GB"/>
              </w:rPr>
            </w:pPr>
          </w:p>
        </w:tc>
        <w:tc>
          <w:tcPr>
            <w:tcW w:w="709" w:type="dxa"/>
          </w:tcPr>
          <w:p w:rsidR="002C3753" w:rsidRPr="002C3753" w:rsidRDefault="002C3753" w:rsidP="002C3753">
            <w:pPr>
              <w:rPr>
                <w:rFonts w:ascii="Times New Roman" w:eastAsia="Calibri" w:hAnsi="Times New Roman" w:cs="Times New Roman"/>
                <w:noProof/>
                <w:sz w:val="16"/>
                <w:szCs w:val="16"/>
                <w:lang w:val="en-GB"/>
              </w:rPr>
            </w:pPr>
          </w:p>
        </w:tc>
        <w:tc>
          <w:tcPr>
            <w:tcW w:w="708" w:type="dxa"/>
          </w:tcPr>
          <w:p w:rsidR="002C3753" w:rsidRPr="002C3753" w:rsidRDefault="002C3753" w:rsidP="002C3753">
            <w:pPr>
              <w:rPr>
                <w:rFonts w:ascii="Times New Roman" w:eastAsia="Calibri" w:hAnsi="Times New Roman" w:cs="Times New Roman"/>
                <w:noProof/>
                <w:sz w:val="16"/>
                <w:szCs w:val="16"/>
                <w:lang w:val="en-GB"/>
              </w:rPr>
            </w:pPr>
          </w:p>
        </w:tc>
        <w:tc>
          <w:tcPr>
            <w:tcW w:w="851" w:type="dxa"/>
          </w:tcPr>
          <w:p w:rsidR="002C3753" w:rsidRPr="002C3753" w:rsidRDefault="002C3753" w:rsidP="002C3753">
            <w:pPr>
              <w:rPr>
                <w:rFonts w:ascii="Times New Roman" w:eastAsia="Calibri" w:hAnsi="Times New Roman" w:cs="Times New Roman"/>
                <w:noProof/>
                <w:sz w:val="16"/>
                <w:szCs w:val="16"/>
                <w:lang w:val="en-GB"/>
              </w:rPr>
            </w:pPr>
          </w:p>
        </w:tc>
        <w:tc>
          <w:tcPr>
            <w:tcW w:w="2447" w:type="dxa"/>
          </w:tcPr>
          <w:p w:rsidR="002C3753" w:rsidRPr="002C3753" w:rsidRDefault="002C3753" w:rsidP="002C3753">
            <w:pPr>
              <w:rPr>
                <w:rFonts w:ascii="Times New Roman" w:eastAsia="Calibri" w:hAnsi="Times New Roman" w:cs="Times New Roman"/>
                <w:noProof/>
                <w:sz w:val="16"/>
                <w:szCs w:val="16"/>
                <w:lang w:val="en-GB"/>
              </w:rPr>
            </w:pPr>
          </w:p>
        </w:tc>
      </w:tr>
      <w:tr w:rsidR="002C3753" w:rsidRPr="002C3753" w:rsidTr="00497168">
        <w:trPr>
          <w:jc w:val="center"/>
        </w:trPr>
        <w:tc>
          <w:tcPr>
            <w:tcW w:w="1419" w:type="dxa"/>
            <w:vMerge/>
          </w:tcPr>
          <w:p w:rsidR="002C3753" w:rsidRPr="002C3753" w:rsidRDefault="002C3753" w:rsidP="002C3753">
            <w:pPr>
              <w:rPr>
                <w:rFonts w:ascii="Times New Roman" w:eastAsia="Calibri" w:hAnsi="Times New Roman" w:cs="Times New Roman"/>
                <w:noProof/>
                <w:sz w:val="16"/>
                <w:szCs w:val="16"/>
                <w:lang w:val="en-GB"/>
              </w:rPr>
            </w:pPr>
          </w:p>
        </w:tc>
        <w:tc>
          <w:tcPr>
            <w:tcW w:w="1343" w:type="dxa"/>
            <w:vMerge/>
          </w:tcPr>
          <w:p w:rsidR="002C3753" w:rsidRPr="002C3753" w:rsidRDefault="002C3753" w:rsidP="002C3753">
            <w:pPr>
              <w:rPr>
                <w:rFonts w:ascii="Times New Roman" w:eastAsia="Calibri" w:hAnsi="Times New Roman" w:cs="Times New Roman"/>
                <w:noProof/>
                <w:sz w:val="16"/>
                <w:szCs w:val="16"/>
                <w:lang w:val="en-GB"/>
              </w:rPr>
            </w:pPr>
          </w:p>
        </w:tc>
        <w:tc>
          <w:tcPr>
            <w:tcW w:w="1984" w:type="dxa"/>
            <w:vMerge/>
          </w:tcPr>
          <w:p w:rsidR="002C3753" w:rsidRPr="002C3753" w:rsidRDefault="002C3753" w:rsidP="002C3753">
            <w:pPr>
              <w:rPr>
                <w:rFonts w:ascii="Times New Roman" w:eastAsia="Calibri" w:hAnsi="Times New Roman" w:cs="Times New Roman"/>
                <w:noProof/>
                <w:sz w:val="16"/>
                <w:szCs w:val="16"/>
                <w:lang w:val="en-GB"/>
              </w:rPr>
            </w:pPr>
          </w:p>
        </w:tc>
        <w:tc>
          <w:tcPr>
            <w:tcW w:w="1134" w:type="dxa"/>
            <w:vMerge/>
          </w:tcPr>
          <w:p w:rsidR="002C3753" w:rsidRPr="002C3753" w:rsidRDefault="002C3753" w:rsidP="002C3753">
            <w:pPr>
              <w:rPr>
                <w:rFonts w:ascii="Times New Roman" w:eastAsia="Calibri" w:hAnsi="Times New Roman" w:cs="Times New Roman"/>
                <w:noProof/>
                <w:sz w:val="16"/>
                <w:szCs w:val="16"/>
                <w:lang w:val="en-GB"/>
              </w:rPr>
            </w:pPr>
          </w:p>
        </w:tc>
        <w:tc>
          <w:tcPr>
            <w:tcW w:w="1418" w:type="dxa"/>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Transition</w:t>
            </w:r>
          </w:p>
        </w:tc>
        <w:tc>
          <w:tcPr>
            <w:tcW w:w="1134" w:type="dxa"/>
          </w:tcPr>
          <w:p w:rsidR="002C3753" w:rsidRPr="002C3753" w:rsidRDefault="002C3753" w:rsidP="002C3753">
            <w:pPr>
              <w:rPr>
                <w:rFonts w:ascii="Times New Roman" w:eastAsia="Calibri" w:hAnsi="Times New Roman" w:cs="Times New Roman"/>
                <w:noProof/>
                <w:sz w:val="16"/>
                <w:szCs w:val="16"/>
                <w:lang w:val="en-GB"/>
              </w:rPr>
            </w:pPr>
          </w:p>
        </w:tc>
        <w:tc>
          <w:tcPr>
            <w:tcW w:w="992" w:type="dxa"/>
          </w:tcPr>
          <w:p w:rsidR="002C3753" w:rsidRPr="002C3753" w:rsidRDefault="002C3753" w:rsidP="002C3753">
            <w:pPr>
              <w:rPr>
                <w:rFonts w:ascii="Times New Roman" w:eastAsia="Calibri" w:hAnsi="Times New Roman" w:cs="Times New Roman"/>
                <w:noProof/>
                <w:sz w:val="16"/>
                <w:szCs w:val="16"/>
                <w:lang w:val="en-GB"/>
              </w:rPr>
            </w:pPr>
          </w:p>
        </w:tc>
        <w:tc>
          <w:tcPr>
            <w:tcW w:w="709" w:type="dxa"/>
          </w:tcPr>
          <w:p w:rsidR="002C3753" w:rsidRPr="002C3753" w:rsidRDefault="002C3753" w:rsidP="002C3753">
            <w:pPr>
              <w:rPr>
                <w:rFonts w:ascii="Times New Roman" w:eastAsia="Calibri" w:hAnsi="Times New Roman" w:cs="Times New Roman"/>
                <w:noProof/>
                <w:sz w:val="16"/>
                <w:szCs w:val="16"/>
                <w:lang w:val="en-GB"/>
              </w:rPr>
            </w:pPr>
          </w:p>
        </w:tc>
        <w:tc>
          <w:tcPr>
            <w:tcW w:w="708" w:type="dxa"/>
          </w:tcPr>
          <w:p w:rsidR="002C3753" w:rsidRPr="002C3753" w:rsidRDefault="002C3753" w:rsidP="002C3753">
            <w:pPr>
              <w:rPr>
                <w:rFonts w:ascii="Times New Roman" w:eastAsia="Calibri" w:hAnsi="Times New Roman" w:cs="Times New Roman"/>
                <w:noProof/>
                <w:sz w:val="16"/>
                <w:szCs w:val="16"/>
                <w:lang w:val="en-GB"/>
              </w:rPr>
            </w:pPr>
          </w:p>
        </w:tc>
        <w:tc>
          <w:tcPr>
            <w:tcW w:w="851" w:type="dxa"/>
          </w:tcPr>
          <w:p w:rsidR="002C3753" w:rsidRPr="002C3753" w:rsidRDefault="002C3753" w:rsidP="002C3753">
            <w:pPr>
              <w:rPr>
                <w:rFonts w:ascii="Times New Roman" w:eastAsia="Calibri" w:hAnsi="Times New Roman" w:cs="Times New Roman"/>
                <w:noProof/>
                <w:sz w:val="16"/>
                <w:szCs w:val="16"/>
                <w:lang w:val="en-GB"/>
              </w:rPr>
            </w:pPr>
          </w:p>
        </w:tc>
        <w:tc>
          <w:tcPr>
            <w:tcW w:w="2447" w:type="dxa"/>
          </w:tcPr>
          <w:p w:rsidR="002C3753" w:rsidRPr="002C3753" w:rsidRDefault="002C3753" w:rsidP="002C3753">
            <w:pPr>
              <w:rPr>
                <w:rFonts w:ascii="Times New Roman" w:eastAsia="Calibri" w:hAnsi="Times New Roman" w:cs="Times New Roman"/>
                <w:noProof/>
                <w:sz w:val="16"/>
                <w:szCs w:val="16"/>
                <w:lang w:val="en-GB"/>
              </w:rPr>
            </w:pPr>
          </w:p>
        </w:tc>
      </w:tr>
      <w:tr w:rsidR="002C3753" w:rsidRPr="002C3753" w:rsidTr="00497168">
        <w:trPr>
          <w:jc w:val="center"/>
        </w:trPr>
        <w:tc>
          <w:tcPr>
            <w:tcW w:w="1419" w:type="dxa"/>
            <w:vMerge/>
          </w:tcPr>
          <w:p w:rsidR="002C3753" w:rsidRPr="002C3753" w:rsidRDefault="002C3753" w:rsidP="002C3753">
            <w:pPr>
              <w:rPr>
                <w:rFonts w:ascii="Times New Roman" w:eastAsia="Calibri" w:hAnsi="Times New Roman" w:cs="Times New Roman"/>
                <w:noProof/>
                <w:sz w:val="16"/>
                <w:szCs w:val="16"/>
                <w:lang w:val="en-GB"/>
              </w:rPr>
            </w:pPr>
          </w:p>
        </w:tc>
        <w:tc>
          <w:tcPr>
            <w:tcW w:w="1343" w:type="dxa"/>
            <w:vMerge/>
          </w:tcPr>
          <w:p w:rsidR="002C3753" w:rsidRPr="002C3753" w:rsidRDefault="002C3753" w:rsidP="002C3753">
            <w:pPr>
              <w:rPr>
                <w:rFonts w:ascii="Times New Roman" w:eastAsia="Calibri" w:hAnsi="Times New Roman" w:cs="Times New Roman"/>
                <w:noProof/>
                <w:sz w:val="16"/>
                <w:szCs w:val="16"/>
                <w:lang w:val="en-GB"/>
              </w:rPr>
            </w:pPr>
          </w:p>
        </w:tc>
        <w:tc>
          <w:tcPr>
            <w:tcW w:w="1984" w:type="dxa"/>
            <w:vMerge/>
          </w:tcPr>
          <w:p w:rsidR="002C3753" w:rsidRPr="002C3753" w:rsidRDefault="002C3753" w:rsidP="002C3753">
            <w:pPr>
              <w:rPr>
                <w:rFonts w:ascii="Times New Roman" w:eastAsia="Calibri" w:hAnsi="Times New Roman" w:cs="Times New Roman"/>
                <w:noProof/>
                <w:sz w:val="16"/>
                <w:szCs w:val="16"/>
                <w:lang w:val="en-GB"/>
              </w:rPr>
            </w:pPr>
          </w:p>
        </w:tc>
        <w:tc>
          <w:tcPr>
            <w:tcW w:w="1134" w:type="dxa"/>
            <w:vMerge/>
          </w:tcPr>
          <w:p w:rsidR="002C3753" w:rsidRPr="002C3753" w:rsidRDefault="002C3753" w:rsidP="002C3753">
            <w:pPr>
              <w:rPr>
                <w:rFonts w:ascii="Times New Roman" w:eastAsia="Calibri" w:hAnsi="Times New Roman" w:cs="Times New Roman"/>
                <w:noProof/>
                <w:sz w:val="16"/>
                <w:szCs w:val="16"/>
                <w:lang w:val="en-GB"/>
              </w:rPr>
            </w:pPr>
          </w:p>
        </w:tc>
        <w:tc>
          <w:tcPr>
            <w:tcW w:w="1418" w:type="dxa"/>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Outermost and northern sparsely populated regions</w:t>
            </w:r>
          </w:p>
        </w:tc>
        <w:tc>
          <w:tcPr>
            <w:tcW w:w="1134" w:type="dxa"/>
          </w:tcPr>
          <w:p w:rsidR="002C3753" w:rsidRPr="002C3753" w:rsidRDefault="002C3753" w:rsidP="002C3753">
            <w:pPr>
              <w:rPr>
                <w:rFonts w:ascii="Times New Roman" w:eastAsia="Calibri" w:hAnsi="Times New Roman" w:cs="Times New Roman"/>
                <w:noProof/>
                <w:sz w:val="16"/>
                <w:szCs w:val="16"/>
                <w:lang w:val="en-GB"/>
              </w:rPr>
            </w:pPr>
          </w:p>
        </w:tc>
        <w:tc>
          <w:tcPr>
            <w:tcW w:w="992" w:type="dxa"/>
          </w:tcPr>
          <w:p w:rsidR="002C3753" w:rsidRPr="002C3753" w:rsidRDefault="002C3753" w:rsidP="002C3753">
            <w:pPr>
              <w:rPr>
                <w:rFonts w:ascii="Times New Roman" w:eastAsia="Calibri" w:hAnsi="Times New Roman" w:cs="Times New Roman"/>
                <w:noProof/>
                <w:sz w:val="16"/>
                <w:szCs w:val="16"/>
                <w:lang w:val="en-GB"/>
              </w:rPr>
            </w:pPr>
          </w:p>
        </w:tc>
        <w:tc>
          <w:tcPr>
            <w:tcW w:w="709" w:type="dxa"/>
          </w:tcPr>
          <w:p w:rsidR="002C3753" w:rsidRPr="002C3753" w:rsidRDefault="002C3753" w:rsidP="002C3753">
            <w:pPr>
              <w:rPr>
                <w:rFonts w:ascii="Times New Roman" w:eastAsia="Calibri" w:hAnsi="Times New Roman" w:cs="Times New Roman"/>
                <w:noProof/>
                <w:sz w:val="16"/>
                <w:szCs w:val="16"/>
                <w:lang w:val="en-GB"/>
              </w:rPr>
            </w:pPr>
          </w:p>
        </w:tc>
        <w:tc>
          <w:tcPr>
            <w:tcW w:w="708" w:type="dxa"/>
          </w:tcPr>
          <w:p w:rsidR="002C3753" w:rsidRPr="002C3753" w:rsidRDefault="002C3753" w:rsidP="002C3753">
            <w:pPr>
              <w:rPr>
                <w:rFonts w:ascii="Times New Roman" w:eastAsia="Calibri" w:hAnsi="Times New Roman" w:cs="Times New Roman"/>
                <w:noProof/>
                <w:sz w:val="16"/>
                <w:szCs w:val="16"/>
                <w:lang w:val="en-GB"/>
              </w:rPr>
            </w:pPr>
          </w:p>
        </w:tc>
        <w:tc>
          <w:tcPr>
            <w:tcW w:w="851" w:type="dxa"/>
          </w:tcPr>
          <w:p w:rsidR="002C3753" w:rsidRPr="002C3753" w:rsidRDefault="002C3753" w:rsidP="002C3753">
            <w:pPr>
              <w:rPr>
                <w:rFonts w:ascii="Times New Roman" w:eastAsia="Calibri" w:hAnsi="Times New Roman" w:cs="Times New Roman"/>
                <w:noProof/>
                <w:sz w:val="16"/>
                <w:szCs w:val="16"/>
                <w:lang w:val="en-GB"/>
              </w:rPr>
            </w:pPr>
          </w:p>
        </w:tc>
        <w:tc>
          <w:tcPr>
            <w:tcW w:w="2447" w:type="dxa"/>
          </w:tcPr>
          <w:p w:rsidR="002C3753" w:rsidRPr="002C3753" w:rsidRDefault="002C3753" w:rsidP="002C3753">
            <w:pPr>
              <w:rPr>
                <w:rFonts w:ascii="Times New Roman" w:eastAsia="Calibri" w:hAnsi="Times New Roman" w:cs="Times New Roman"/>
                <w:noProof/>
                <w:sz w:val="16"/>
                <w:szCs w:val="16"/>
                <w:lang w:val="en-GB"/>
              </w:rPr>
            </w:pPr>
          </w:p>
        </w:tc>
      </w:tr>
      <w:tr w:rsidR="002C3753" w:rsidRPr="002C3753" w:rsidTr="00497168">
        <w:trPr>
          <w:jc w:val="center"/>
        </w:trPr>
        <w:tc>
          <w:tcPr>
            <w:tcW w:w="1419" w:type="dxa"/>
            <w:vMerge w:val="restart"/>
          </w:tcPr>
          <w:p w:rsidR="002C3753" w:rsidRPr="002C3753" w:rsidRDefault="002C3753" w:rsidP="002C3753">
            <w:pPr>
              <w:rPr>
                <w:rFonts w:ascii="Times New Roman" w:eastAsia="Calibri" w:hAnsi="Times New Roman" w:cs="Times New Roman"/>
                <w:noProof/>
                <w:sz w:val="16"/>
                <w:szCs w:val="16"/>
                <w:lang w:val="en-GB"/>
              </w:rPr>
            </w:pPr>
          </w:p>
        </w:tc>
        <w:tc>
          <w:tcPr>
            <w:tcW w:w="1343" w:type="dxa"/>
            <w:vMerge w:val="restart"/>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Priority 3</w:t>
            </w:r>
          </w:p>
        </w:tc>
        <w:tc>
          <w:tcPr>
            <w:tcW w:w="1984" w:type="dxa"/>
            <w:vMerge w:val="restart"/>
          </w:tcPr>
          <w:p w:rsidR="002C3753" w:rsidRPr="002C3753" w:rsidRDefault="002C3753" w:rsidP="002C3753">
            <w:pPr>
              <w:rPr>
                <w:rFonts w:ascii="Times New Roman" w:eastAsia="Calibri" w:hAnsi="Times New Roman" w:cs="Times New Roman"/>
                <w:noProof/>
                <w:sz w:val="16"/>
                <w:szCs w:val="16"/>
                <w:lang w:val="en-GB"/>
              </w:rPr>
            </w:pPr>
          </w:p>
        </w:tc>
        <w:tc>
          <w:tcPr>
            <w:tcW w:w="1134" w:type="dxa"/>
            <w:vMerge w:val="restart"/>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JTF****</w:t>
            </w:r>
          </w:p>
        </w:tc>
        <w:tc>
          <w:tcPr>
            <w:tcW w:w="1418" w:type="dxa"/>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Less developed</w:t>
            </w:r>
          </w:p>
        </w:tc>
        <w:tc>
          <w:tcPr>
            <w:tcW w:w="1134" w:type="dxa"/>
          </w:tcPr>
          <w:p w:rsidR="002C3753" w:rsidRPr="002C3753" w:rsidRDefault="002C3753" w:rsidP="002C3753">
            <w:pPr>
              <w:rPr>
                <w:rFonts w:ascii="Times New Roman" w:eastAsia="Calibri" w:hAnsi="Times New Roman" w:cs="Times New Roman"/>
                <w:noProof/>
                <w:sz w:val="16"/>
                <w:szCs w:val="16"/>
                <w:lang w:val="en-GB"/>
              </w:rPr>
            </w:pPr>
          </w:p>
        </w:tc>
        <w:tc>
          <w:tcPr>
            <w:tcW w:w="992" w:type="dxa"/>
          </w:tcPr>
          <w:p w:rsidR="002C3753" w:rsidRPr="002C3753" w:rsidRDefault="002C3753" w:rsidP="002C3753">
            <w:pPr>
              <w:rPr>
                <w:rFonts w:ascii="Times New Roman" w:eastAsia="Calibri" w:hAnsi="Times New Roman" w:cs="Times New Roman"/>
                <w:noProof/>
                <w:sz w:val="16"/>
                <w:szCs w:val="16"/>
                <w:lang w:val="en-GB"/>
              </w:rPr>
            </w:pPr>
          </w:p>
        </w:tc>
        <w:tc>
          <w:tcPr>
            <w:tcW w:w="709" w:type="dxa"/>
          </w:tcPr>
          <w:p w:rsidR="002C3753" w:rsidRPr="002C3753" w:rsidRDefault="002C3753" w:rsidP="002C3753">
            <w:pPr>
              <w:rPr>
                <w:rFonts w:ascii="Times New Roman" w:eastAsia="Calibri" w:hAnsi="Times New Roman" w:cs="Times New Roman"/>
                <w:noProof/>
                <w:sz w:val="16"/>
                <w:szCs w:val="16"/>
                <w:lang w:val="en-GB"/>
              </w:rPr>
            </w:pPr>
          </w:p>
        </w:tc>
        <w:tc>
          <w:tcPr>
            <w:tcW w:w="708" w:type="dxa"/>
          </w:tcPr>
          <w:p w:rsidR="002C3753" w:rsidRPr="002C3753" w:rsidRDefault="002C3753" w:rsidP="002C3753">
            <w:pPr>
              <w:rPr>
                <w:rFonts w:ascii="Times New Roman" w:eastAsia="Calibri" w:hAnsi="Times New Roman" w:cs="Times New Roman"/>
                <w:noProof/>
                <w:sz w:val="16"/>
                <w:szCs w:val="16"/>
                <w:lang w:val="en-GB"/>
              </w:rPr>
            </w:pPr>
          </w:p>
        </w:tc>
        <w:tc>
          <w:tcPr>
            <w:tcW w:w="851" w:type="dxa"/>
          </w:tcPr>
          <w:p w:rsidR="002C3753" w:rsidRPr="002C3753" w:rsidRDefault="002C3753" w:rsidP="002C3753">
            <w:pPr>
              <w:rPr>
                <w:rFonts w:ascii="Times New Roman" w:eastAsia="Calibri" w:hAnsi="Times New Roman" w:cs="Times New Roman"/>
                <w:noProof/>
                <w:sz w:val="16"/>
                <w:szCs w:val="16"/>
                <w:lang w:val="en-GB"/>
              </w:rPr>
            </w:pPr>
          </w:p>
        </w:tc>
        <w:tc>
          <w:tcPr>
            <w:tcW w:w="2447" w:type="dxa"/>
          </w:tcPr>
          <w:p w:rsidR="002C3753" w:rsidRPr="002C3753" w:rsidRDefault="002C3753" w:rsidP="002C3753">
            <w:pPr>
              <w:rPr>
                <w:rFonts w:ascii="Times New Roman" w:eastAsia="Calibri" w:hAnsi="Times New Roman" w:cs="Times New Roman"/>
                <w:noProof/>
                <w:sz w:val="16"/>
                <w:szCs w:val="16"/>
                <w:lang w:val="en-GB"/>
              </w:rPr>
            </w:pPr>
          </w:p>
        </w:tc>
      </w:tr>
      <w:tr w:rsidR="002C3753" w:rsidRPr="002C3753" w:rsidTr="00497168">
        <w:trPr>
          <w:jc w:val="center"/>
        </w:trPr>
        <w:tc>
          <w:tcPr>
            <w:tcW w:w="1419" w:type="dxa"/>
            <w:vMerge/>
          </w:tcPr>
          <w:p w:rsidR="002C3753" w:rsidRPr="002C3753" w:rsidRDefault="002C3753" w:rsidP="002C3753">
            <w:pPr>
              <w:rPr>
                <w:rFonts w:ascii="Times New Roman" w:eastAsia="Calibri" w:hAnsi="Times New Roman" w:cs="Times New Roman"/>
                <w:noProof/>
                <w:sz w:val="16"/>
                <w:szCs w:val="16"/>
                <w:lang w:val="en-GB"/>
              </w:rPr>
            </w:pPr>
          </w:p>
        </w:tc>
        <w:tc>
          <w:tcPr>
            <w:tcW w:w="1343" w:type="dxa"/>
            <w:vMerge/>
          </w:tcPr>
          <w:p w:rsidR="002C3753" w:rsidRPr="002C3753" w:rsidRDefault="002C3753" w:rsidP="002C3753">
            <w:pPr>
              <w:rPr>
                <w:rFonts w:ascii="Times New Roman" w:eastAsia="Calibri" w:hAnsi="Times New Roman" w:cs="Times New Roman"/>
                <w:noProof/>
                <w:sz w:val="16"/>
                <w:szCs w:val="16"/>
                <w:lang w:val="en-GB"/>
              </w:rPr>
            </w:pPr>
          </w:p>
        </w:tc>
        <w:tc>
          <w:tcPr>
            <w:tcW w:w="1984" w:type="dxa"/>
            <w:vMerge/>
          </w:tcPr>
          <w:p w:rsidR="002C3753" w:rsidRPr="002C3753" w:rsidRDefault="002C3753" w:rsidP="002C3753">
            <w:pPr>
              <w:rPr>
                <w:rFonts w:ascii="Times New Roman" w:eastAsia="Calibri" w:hAnsi="Times New Roman" w:cs="Times New Roman"/>
                <w:noProof/>
                <w:sz w:val="16"/>
                <w:szCs w:val="16"/>
                <w:lang w:val="en-GB"/>
              </w:rPr>
            </w:pPr>
          </w:p>
        </w:tc>
        <w:tc>
          <w:tcPr>
            <w:tcW w:w="1134" w:type="dxa"/>
            <w:vMerge/>
          </w:tcPr>
          <w:p w:rsidR="002C3753" w:rsidRPr="002C3753" w:rsidRDefault="002C3753" w:rsidP="002C3753">
            <w:pPr>
              <w:rPr>
                <w:rFonts w:ascii="Times New Roman" w:eastAsia="Calibri" w:hAnsi="Times New Roman" w:cs="Times New Roman"/>
                <w:noProof/>
                <w:sz w:val="16"/>
                <w:szCs w:val="16"/>
                <w:lang w:val="en-GB"/>
              </w:rPr>
            </w:pPr>
          </w:p>
        </w:tc>
        <w:tc>
          <w:tcPr>
            <w:tcW w:w="1418" w:type="dxa"/>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More developed</w:t>
            </w:r>
          </w:p>
        </w:tc>
        <w:tc>
          <w:tcPr>
            <w:tcW w:w="1134" w:type="dxa"/>
          </w:tcPr>
          <w:p w:rsidR="002C3753" w:rsidRPr="002C3753" w:rsidRDefault="002C3753" w:rsidP="002C3753">
            <w:pPr>
              <w:rPr>
                <w:rFonts w:ascii="Times New Roman" w:eastAsia="Calibri" w:hAnsi="Times New Roman" w:cs="Times New Roman"/>
                <w:noProof/>
                <w:sz w:val="16"/>
                <w:szCs w:val="16"/>
                <w:lang w:val="en-GB"/>
              </w:rPr>
            </w:pPr>
          </w:p>
        </w:tc>
        <w:tc>
          <w:tcPr>
            <w:tcW w:w="992" w:type="dxa"/>
          </w:tcPr>
          <w:p w:rsidR="002C3753" w:rsidRPr="002C3753" w:rsidRDefault="002C3753" w:rsidP="002C3753">
            <w:pPr>
              <w:rPr>
                <w:rFonts w:ascii="Times New Roman" w:eastAsia="Calibri" w:hAnsi="Times New Roman" w:cs="Times New Roman"/>
                <w:noProof/>
                <w:sz w:val="16"/>
                <w:szCs w:val="16"/>
                <w:lang w:val="en-GB"/>
              </w:rPr>
            </w:pPr>
          </w:p>
        </w:tc>
        <w:tc>
          <w:tcPr>
            <w:tcW w:w="709" w:type="dxa"/>
          </w:tcPr>
          <w:p w:rsidR="002C3753" w:rsidRPr="002C3753" w:rsidRDefault="002C3753" w:rsidP="002C3753">
            <w:pPr>
              <w:rPr>
                <w:rFonts w:ascii="Times New Roman" w:eastAsia="Calibri" w:hAnsi="Times New Roman" w:cs="Times New Roman"/>
                <w:noProof/>
                <w:sz w:val="16"/>
                <w:szCs w:val="16"/>
                <w:lang w:val="en-GB"/>
              </w:rPr>
            </w:pPr>
          </w:p>
        </w:tc>
        <w:tc>
          <w:tcPr>
            <w:tcW w:w="708" w:type="dxa"/>
          </w:tcPr>
          <w:p w:rsidR="002C3753" w:rsidRPr="002C3753" w:rsidRDefault="002C3753" w:rsidP="002C3753">
            <w:pPr>
              <w:rPr>
                <w:rFonts w:ascii="Times New Roman" w:eastAsia="Calibri" w:hAnsi="Times New Roman" w:cs="Times New Roman"/>
                <w:noProof/>
                <w:sz w:val="16"/>
                <w:szCs w:val="16"/>
                <w:lang w:val="en-GB"/>
              </w:rPr>
            </w:pPr>
          </w:p>
        </w:tc>
        <w:tc>
          <w:tcPr>
            <w:tcW w:w="851" w:type="dxa"/>
          </w:tcPr>
          <w:p w:rsidR="002C3753" w:rsidRPr="002C3753" w:rsidRDefault="002C3753" w:rsidP="002C3753">
            <w:pPr>
              <w:rPr>
                <w:rFonts w:ascii="Times New Roman" w:eastAsia="Calibri" w:hAnsi="Times New Roman" w:cs="Times New Roman"/>
                <w:noProof/>
                <w:sz w:val="16"/>
                <w:szCs w:val="16"/>
                <w:lang w:val="en-GB"/>
              </w:rPr>
            </w:pPr>
          </w:p>
        </w:tc>
        <w:tc>
          <w:tcPr>
            <w:tcW w:w="2447" w:type="dxa"/>
          </w:tcPr>
          <w:p w:rsidR="002C3753" w:rsidRPr="002C3753" w:rsidRDefault="002C3753" w:rsidP="002C3753">
            <w:pPr>
              <w:rPr>
                <w:rFonts w:ascii="Times New Roman" w:eastAsia="Calibri" w:hAnsi="Times New Roman" w:cs="Times New Roman"/>
                <w:noProof/>
                <w:sz w:val="16"/>
                <w:szCs w:val="16"/>
                <w:lang w:val="en-GB"/>
              </w:rPr>
            </w:pPr>
          </w:p>
        </w:tc>
      </w:tr>
      <w:tr w:rsidR="002C3753" w:rsidRPr="002C3753" w:rsidTr="00497168">
        <w:trPr>
          <w:jc w:val="center"/>
        </w:trPr>
        <w:tc>
          <w:tcPr>
            <w:tcW w:w="1419" w:type="dxa"/>
            <w:vMerge/>
          </w:tcPr>
          <w:p w:rsidR="002C3753" w:rsidRPr="002C3753" w:rsidRDefault="002C3753" w:rsidP="002C3753">
            <w:pPr>
              <w:rPr>
                <w:rFonts w:ascii="Times New Roman" w:eastAsia="Calibri" w:hAnsi="Times New Roman" w:cs="Times New Roman"/>
                <w:noProof/>
                <w:sz w:val="16"/>
                <w:szCs w:val="16"/>
                <w:lang w:val="en-GB"/>
              </w:rPr>
            </w:pPr>
          </w:p>
        </w:tc>
        <w:tc>
          <w:tcPr>
            <w:tcW w:w="1343" w:type="dxa"/>
            <w:vMerge/>
          </w:tcPr>
          <w:p w:rsidR="002C3753" w:rsidRPr="002C3753" w:rsidRDefault="002C3753" w:rsidP="002C3753">
            <w:pPr>
              <w:rPr>
                <w:rFonts w:ascii="Times New Roman" w:eastAsia="Calibri" w:hAnsi="Times New Roman" w:cs="Times New Roman"/>
                <w:noProof/>
                <w:sz w:val="16"/>
                <w:szCs w:val="16"/>
                <w:lang w:val="en-GB"/>
              </w:rPr>
            </w:pPr>
          </w:p>
        </w:tc>
        <w:tc>
          <w:tcPr>
            <w:tcW w:w="1984" w:type="dxa"/>
            <w:vMerge/>
          </w:tcPr>
          <w:p w:rsidR="002C3753" w:rsidRPr="002C3753" w:rsidRDefault="002C3753" w:rsidP="002C3753">
            <w:pPr>
              <w:rPr>
                <w:rFonts w:ascii="Times New Roman" w:eastAsia="Calibri" w:hAnsi="Times New Roman" w:cs="Times New Roman"/>
                <w:noProof/>
                <w:sz w:val="16"/>
                <w:szCs w:val="16"/>
                <w:lang w:val="en-GB"/>
              </w:rPr>
            </w:pPr>
          </w:p>
        </w:tc>
        <w:tc>
          <w:tcPr>
            <w:tcW w:w="1134" w:type="dxa"/>
            <w:vMerge/>
          </w:tcPr>
          <w:p w:rsidR="002C3753" w:rsidRPr="002C3753" w:rsidRDefault="002C3753" w:rsidP="002C3753">
            <w:pPr>
              <w:rPr>
                <w:rFonts w:ascii="Times New Roman" w:eastAsia="Calibri" w:hAnsi="Times New Roman" w:cs="Times New Roman"/>
                <w:noProof/>
                <w:sz w:val="16"/>
                <w:szCs w:val="16"/>
                <w:lang w:val="en-GB"/>
              </w:rPr>
            </w:pPr>
          </w:p>
        </w:tc>
        <w:tc>
          <w:tcPr>
            <w:tcW w:w="1418" w:type="dxa"/>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Transition</w:t>
            </w:r>
          </w:p>
        </w:tc>
        <w:tc>
          <w:tcPr>
            <w:tcW w:w="1134" w:type="dxa"/>
          </w:tcPr>
          <w:p w:rsidR="002C3753" w:rsidRPr="002C3753" w:rsidRDefault="002C3753" w:rsidP="002C3753">
            <w:pPr>
              <w:rPr>
                <w:rFonts w:ascii="Times New Roman" w:eastAsia="Calibri" w:hAnsi="Times New Roman" w:cs="Times New Roman"/>
                <w:noProof/>
                <w:sz w:val="16"/>
                <w:szCs w:val="16"/>
                <w:lang w:val="en-GB"/>
              </w:rPr>
            </w:pPr>
          </w:p>
        </w:tc>
        <w:tc>
          <w:tcPr>
            <w:tcW w:w="992" w:type="dxa"/>
          </w:tcPr>
          <w:p w:rsidR="002C3753" w:rsidRPr="002C3753" w:rsidRDefault="002C3753" w:rsidP="002C3753">
            <w:pPr>
              <w:rPr>
                <w:rFonts w:ascii="Times New Roman" w:eastAsia="Calibri" w:hAnsi="Times New Roman" w:cs="Times New Roman"/>
                <w:noProof/>
                <w:sz w:val="16"/>
                <w:szCs w:val="16"/>
                <w:lang w:val="en-GB"/>
              </w:rPr>
            </w:pPr>
          </w:p>
        </w:tc>
        <w:tc>
          <w:tcPr>
            <w:tcW w:w="709" w:type="dxa"/>
          </w:tcPr>
          <w:p w:rsidR="002C3753" w:rsidRPr="002C3753" w:rsidRDefault="002C3753" w:rsidP="002C3753">
            <w:pPr>
              <w:rPr>
                <w:rFonts w:ascii="Times New Roman" w:eastAsia="Calibri" w:hAnsi="Times New Roman" w:cs="Times New Roman"/>
                <w:noProof/>
                <w:sz w:val="16"/>
                <w:szCs w:val="16"/>
                <w:lang w:val="en-GB"/>
              </w:rPr>
            </w:pPr>
          </w:p>
        </w:tc>
        <w:tc>
          <w:tcPr>
            <w:tcW w:w="708" w:type="dxa"/>
          </w:tcPr>
          <w:p w:rsidR="002C3753" w:rsidRPr="002C3753" w:rsidRDefault="002C3753" w:rsidP="002C3753">
            <w:pPr>
              <w:rPr>
                <w:rFonts w:ascii="Times New Roman" w:eastAsia="Calibri" w:hAnsi="Times New Roman" w:cs="Times New Roman"/>
                <w:noProof/>
                <w:sz w:val="16"/>
                <w:szCs w:val="16"/>
                <w:lang w:val="en-GB"/>
              </w:rPr>
            </w:pPr>
          </w:p>
        </w:tc>
        <w:tc>
          <w:tcPr>
            <w:tcW w:w="851" w:type="dxa"/>
          </w:tcPr>
          <w:p w:rsidR="002C3753" w:rsidRPr="002C3753" w:rsidRDefault="002C3753" w:rsidP="002C3753">
            <w:pPr>
              <w:rPr>
                <w:rFonts w:ascii="Times New Roman" w:eastAsia="Calibri" w:hAnsi="Times New Roman" w:cs="Times New Roman"/>
                <w:noProof/>
                <w:sz w:val="16"/>
                <w:szCs w:val="16"/>
                <w:lang w:val="en-GB"/>
              </w:rPr>
            </w:pPr>
          </w:p>
        </w:tc>
        <w:tc>
          <w:tcPr>
            <w:tcW w:w="2447" w:type="dxa"/>
          </w:tcPr>
          <w:p w:rsidR="002C3753" w:rsidRPr="002C3753" w:rsidRDefault="002C3753" w:rsidP="002C3753">
            <w:pPr>
              <w:rPr>
                <w:rFonts w:ascii="Times New Roman" w:eastAsia="Calibri" w:hAnsi="Times New Roman" w:cs="Times New Roman"/>
                <w:noProof/>
                <w:sz w:val="16"/>
                <w:szCs w:val="16"/>
                <w:lang w:val="en-GB"/>
              </w:rPr>
            </w:pPr>
          </w:p>
        </w:tc>
      </w:tr>
      <w:tr w:rsidR="002C3753" w:rsidRPr="002C3753" w:rsidTr="00497168">
        <w:trPr>
          <w:jc w:val="center"/>
        </w:trPr>
        <w:tc>
          <w:tcPr>
            <w:tcW w:w="1419" w:type="dxa"/>
          </w:tcPr>
          <w:p w:rsidR="002C3753" w:rsidRPr="002C3753" w:rsidRDefault="002C3753" w:rsidP="002C3753">
            <w:pPr>
              <w:rPr>
                <w:rFonts w:ascii="Times New Roman" w:eastAsia="Calibri" w:hAnsi="Times New Roman" w:cs="Times New Roman"/>
                <w:noProof/>
                <w:sz w:val="16"/>
                <w:szCs w:val="16"/>
                <w:lang w:val="en-GB"/>
              </w:rPr>
            </w:pPr>
          </w:p>
        </w:tc>
        <w:tc>
          <w:tcPr>
            <w:tcW w:w="1343" w:type="dxa"/>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Priority 4</w:t>
            </w:r>
          </w:p>
        </w:tc>
        <w:tc>
          <w:tcPr>
            <w:tcW w:w="1984" w:type="dxa"/>
          </w:tcPr>
          <w:p w:rsidR="002C3753" w:rsidRPr="002C3753" w:rsidRDefault="002C3753" w:rsidP="002C3753">
            <w:pPr>
              <w:rPr>
                <w:rFonts w:ascii="Times New Roman" w:eastAsia="Calibri" w:hAnsi="Times New Roman" w:cs="Times New Roman"/>
                <w:noProof/>
                <w:sz w:val="16"/>
                <w:szCs w:val="16"/>
                <w:lang w:val="en-GB"/>
              </w:rPr>
            </w:pPr>
          </w:p>
        </w:tc>
        <w:tc>
          <w:tcPr>
            <w:tcW w:w="1134" w:type="dxa"/>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CF</w:t>
            </w:r>
          </w:p>
        </w:tc>
        <w:tc>
          <w:tcPr>
            <w:tcW w:w="1418" w:type="dxa"/>
          </w:tcPr>
          <w:p w:rsidR="002C3753" w:rsidRPr="002C3753" w:rsidRDefault="002C3753" w:rsidP="002C3753">
            <w:pPr>
              <w:rPr>
                <w:rFonts w:ascii="Times New Roman" w:eastAsia="Calibri" w:hAnsi="Times New Roman" w:cs="Times New Roman"/>
                <w:noProof/>
                <w:sz w:val="16"/>
                <w:szCs w:val="16"/>
                <w:lang w:val="en-GB"/>
              </w:rPr>
            </w:pPr>
          </w:p>
        </w:tc>
        <w:tc>
          <w:tcPr>
            <w:tcW w:w="1134" w:type="dxa"/>
          </w:tcPr>
          <w:p w:rsidR="002C3753" w:rsidRPr="002C3753" w:rsidRDefault="002C3753" w:rsidP="002C3753">
            <w:pPr>
              <w:rPr>
                <w:rFonts w:ascii="Times New Roman" w:eastAsia="Calibri" w:hAnsi="Times New Roman" w:cs="Times New Roman"/>
                <w:noProof/>
                <w:sz w:val="16"/>
                <w:szCs w:val="16"/>
                <w:lang w:val="en-GB"/>
              </w:rPr>
            </w:pPr>
          </w:p>
        </w:tc>
        <w:tc>
          <w:tcPr>
            <w:tcW w:w="992" w:type="dxa"/>
          </w:tcPr>
          <w:p w:rsidR="002C3753" w:rsidRPr="002C3753" w:rsidRDefault="002C3753" w:rsidP="002C3753">
            <w:pPr>
              <w:rPr>
                <w:rFonts w:ascii="Times New Roman" w:eastAsia="Calibri" w:hAnsi="Times New Roman" w:cs="Times New Roman"/>
                <w:noProof/>
                <w:sz w:val="16"/>
                <w:szCs w:val="16"/>
                <w:lang w:val="en-GB"/>
              </w:rPr>
            </w:pPr>
          </w:p>
        </w:tc>
        <w:tc>
          <w:tcPr>
            <w:tcW w:w="709" w:type="dxa"/>
          </w:tcPr>
          <w:p w:rsidR="002C3753" w:rsidRPr="002C3753" w:rsidRDefault="002C3753" w:rsidP="002C3753">
            <w:pPr>
              <w:rPr>
                <w:rFonts w:ascii="Times New Roman" w:eastAsia="Calibri" w:hAnsi="Times New Roman" w:cs="Times New Roman"/>
                <w:noProof/>
                <w:sz w:val="16"/>
                <w:szCs w:val="16"/>
                <w:lang w:val="en-GB"/>
              </w:rPr>
            </w:pPr>
          </w:p>
        </w:tc>
        <w:tc>
          <w:tcPr>
            <w:tcW w:w="708" w:type="dxa"/>
          </w:tcPr>
          <w:p w:rsidR="002C3753" w:rsidRPr="002C3753" w:rsidRDefault="002C3753" w:rsidP="002C3753">
            <w:pPr>
              <w:rPr>
                <w:rFonts w:ascii="Times New Roman" w:eastAsia="Calibri" w:hAnsi="Times New Roman" w:cs="Times New Roman"/>
                <w:noProof/>
                <w:sz w:val="16"/>
                <w:szCs w:val="16"/>
                <w:lang w:val="en-GB"/>
              </w:rPr>
            </w:pPr>
          </w:p>
        </w:tc>
        <w:tc>
          <w:tcPr>
            <w:tcW w:w="851" w:type="dxa"/>
          </w:tcPr>
          <w:p w:rsidR="002C3753" w:rsidRPr="002C3753" w:rsidRDefault="002C3753" w:rsidP="002C3753">
            <w:pPr>
              <w:rPr>
                <w:rFonts w:ascii="Times New Roman" w:eastAsia="Calibri" w:hAnsi="Times New Roman" w:cs="Times New Roman"/>
                <w:noProof/>
                <w:sz w:val="16"/>
                <w:szCs w:val="16"/>
                <w:lang w:val="en-GB"/>
              </w:rPr>
            </w:pPr>
          </w:p>
        </w:tc>
        <w:tc>
          <w:tcPr>
            <w:tcW w:w="2447" w:type="dxa"/>
          </w:tcPr>
          <w:p w:rsidR="002C3753" w:rsidRPr="002C3753" w:rsidRDefault="002C3753" w:rsidP="002C3753">
            <w:pPr>
              <w:rPr>
                <w:rFonts w:ascii="Times New Roman" w:eastAsia="Calibri" w:hAnsi="Times New Roman" w:cs="Times New Roman"/>
                <w:noProof/>
                <w:sz w:val="16"/>
                <w:szCs w:val="16"/>
                <w:lang w:val="en-GB"/>
              </w:rPr>
            </w:pPr>
          </w:p>
        </w:tc>
      </w:tr>
      <w:tr w:rsidR="002C3753" w:rsidRPr="002C3753" w:rsidTr="00497168">
        <w:trPr>
          <w:jc w:val="center"/>
        </w:trPr>
        <w:tc>
          <w:tcPr>
            <w:tcW w:w="1419" w:type="dxa"/>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TA</w:t>
            </w:r>
          </w:p>
        </w:tc>
        <w:tc>
          <w:tcPr>
            <w:tcW w:w="1343" w:type="dxa"/>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TA Art. 29 CPR</w:t>
            </w:r>
          </w:p>
        </w:tc>
        <w:tc>
          <w:tcPr>
            <w:tcW w:w="1984" w:type="dxa"/>
          </w:tcPr>
          <w:p w:rsidR="002C3753" w:rsidRPr="002C3753" w:rsidRDefault="002C3753" w:rsidP="002C3753">
            <w:pPr>
              <w:rPr>
                <w:rFonts w:ascii="Times New Roman" w:eastAsia="Calibri" w:hAnsi="Times New Roman" w:cs="Times New Roman"/>
                <w:noProof/>
                <w:sz w:val="16"/>
                <w:szCs w:val="16"/>
                <w:lang w:val="en-GB"/>
              </w:rPr>
            </w:pPr>
          </w:p>
        </w:tc>
        <w:tc>
          <w:tcPr>
            <w:tcW w:w="1134" w:type="dxa"/>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ERDF or ESF+ or CF or JTF</w:t>
            </w:r>
          </w:p>
        </w:tc>
        <w:tc>
          <w:tcPr>
            <w:tcW w:w="1418" w:type="dxa"/>
          </w:tcPr>
          <w:p w:rsidR="002C3753" w:rsidRPr="002C3753" w:rsidRDefault="002C3753" w:rsidP="002C3753">
            <w:pPr>
              <w:rPr>
                <w:rFonts w:ascii="Times New Roman" w:eastAsia="Calibri" w:hAnsi="Times New Roman" w:cs="Times New Roman"/>
                <w:noProof/>
                <w:sz w:val="16"/>
                <w:szCs w:val="16"/>
                <w:lang w:val="en-GB"/>
              </w:rPr>
            </w:pPr>
          </w:p>
        </w:tc>
        <w:tc>
          <w:tcPr>
            <w:tcW w:w="1134" w:type="dxa"/>
          </w:tcPr>
          <w:p w:rsidR="002C3753" w:rsidRPr="002C3753" w:rsidRDefault="002C3753" w:rsidP="002C3753">
            <w:pPr>
              <w:rPr>
                <w:rFonts w:ascii="Times New Roman" w:eastAsia="Calibri" w:hAnsi="Times New Roman" w:cs="Times New Roman"/>
                <w:noProof/>
                <w:sz w:val="16"/>
                <w:szCs w:val="16"/>
                <w:lang w:val="en-GB"/>
              </w:rPr>
            </w:pPr>
          </w:p>
        </w:tc>
        <w:tc>
          <w:tcPr>
            <w:tcW w:w="992" w:type="dxa"/>
          </w:tcPr>
          <w:p w:rsidR="002C3753" w:rsidRPr="002C3753" w:rsidRDefault="002C3753" w:rsidP="002C3753">
            <w:pPr>
              <w:rPr>
                <w:rFonts w:ascii="Times New Roman" w:eastAsia="Calibri" w:hAnsi="Times New Roman" w:cs="Times New Roman"/>
                <w:noProof/>
                <w:sz w:val="16"/>
                <w:szCs w:val="16"/>
                <w:lang w:val="en-GB"/>
              </w:rPr>
            </w:pPr>
          </w:p>
        </w:tc>
        <w:tc>
          <w:tcPr>
            <w:tcW w:w="709" w:type="dxa"/>
          </w:tcPr>
          <w:p w:rsidR="002C3753" w:rsidRPr="002C3753" w:rsidRDefault="002C3753" w:rsidP="002C3753">
            <w:pPr>
              <w:rPr>
                <w:rFonts w:ascii="Times New Roman" w:eastAsia="Calibri" w:hAnsi="Times New Roman" w:cs="Times New Roman"/>
                <w:noProof/>
                <w:sz w:val="16"/>
                <w:szCs w:val="16"/>
                <w:lang w:val="en-GB"/>
              </w:rPr>
            </w:pPr>
          </w:p>
        </w:tc>
        <w:tc>
          <w:tcPr>
            <w:tcW w:w="708" w:type="dxa"/>
          </w:tcPr>
          <w:p w:rsidR="002C3753" w:rsidRPr="002C3753" w:rsidRDefault="002C3753" w:rsidP="002C3753">
            <w:pPr>
              <w:rPr>
                <w:rFonts w:ascii="Times New Roman" w:eastAsia="Calibri" w:hAnsi="Times New Roman" w:cs="Times New Roman"/>
                <w:noProof/>
                <w:sz w:val="16"/>
                <w:szCs w:val="16"/>
                <w:lang w:val="en-GB"/>
              </w:rPr>
            </w:pPr>
          </w:p>
        </w:tc>
        <w:tc>
          <w:tcPr>
            <w:tcW w:w="851" w:type="dxa"/>
          </w:tcPr>
          <w:p w:rsidR="002C3753" w:rsidRPr="002C3753" w:rsidRDefault="002C3753" w:rsidP="002C3753">
            <w:pPr>
              <w:rPr>
                <w:rFonts w:ascii="Times New Roman" w:eastAsia="Calibri" w:hAnsi="Times New Roman" w:cs="Times New Roman"/>
                <w:noProof/>
                <w:sz w:val="16"/>
                <w:szCs w:val="16"/>
                <w:lang w:val="en-GB"/>
              </w:rPr>
            </w:pPr>
          </w:p>
        </w:tc>
        <w:tc>
          <w:tcPr>
            <w:tcW w:w="2447" w:type="dxa"/>
          </w:tcPr>
          <w:p w:rsidR="002C3753" w:rsidRPr="002C3753" w:rsidRDefault="002C3753" w:rsidP="002C3753">
            <w:pPr>
              <w:rPr>
                <w:rFonts w:ascii="Times New Roman" w:eastAsia="Calibri" w:hAnsi="Times New Roman" w:cs="Times New Roman"/>
                <w:noProof/>
                <w:sz w:val="16"/>
                <w:szCs w:val="16"/>
                <w:lang w:val="en-GB"/>
              </w:rPr>
            </w:pPr>
          </w:p>
        </w:tc>
      </w:tr>
      <w:tr w:rsidR="002C3753" w:rsidRPr="002C3753" w:rsidTr="00497168">
        <w:trPr>
          <w:jc w:val="center"/>
        </w:trPr>
        <w:tc>
          <w:tcPr>
            <w:tcW w:w="1419" w:type="dxa"/>
          </w:tcPr>
          <w:p w:rsidR="002C3753" w:rsidRPr="002C3753" w:rsidRDefault="002C3753" w:rsidP="002C3753">
            <w:pPr>
              <w:rPr>
                <w:rFonts w:ascii="Times New Roman" w:eastAsia="Calibri" w:hAnsi="Times New Roman" w:cs="Times New Roman"/>
                <w:noProof/>
                <w:sz w:val="16"/>
                <w:szCs w:val="16"/>
                <w:lang w:val="en-GB"/>
              </w:rPr>
            </w:pPr>
          </w:p>
        </w:tc>
        <w:tc>
          <w:tcPr>
            <w:tcW w:w="1343" w:type="dxa"/>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TA Art. 30 CPR</w:t>
            </w:r>
          </w:p>
        </w:tc>
        <w:tc>
          <w:tcPr>
            <w:tcW w:w="1984" w:type="dxa"/>
            <w:tcBorders>
              <w:bottom w:val="single" w:sz="4" w:space="0" w:color="auto"/>
            </w:tcBorders>
          </w:tcPr>
          <w:p w:rsidR="002C3753" w:rsidRPr="002C3753" w:rsidRDefault="002C3753" w:rsidP="002C3753">
            <w:pPr>
              <w:rPr>
                <w:rFonts w:ascii="Times New Roman" w:eastAsia="Calibri" w:hAnsi="Times New Roman" w:cs="Times New Roman"/>
                <w:noProof/>
                <w:sz w:val="16"/>
                <w:szCs w:val="16"/>
                <w:lang w:val="en-GB"/>
              </w:rPr>
            </w:pPr>
          </w:p>
        </w:tc>
        <w:tc>
          <w:tcPr>
            <w:tcW w:w="1134" w:type="dxa"/>
            <w:tcBorders>
              <w:bottom w:val="single" w:sz="4" w:space="0" w:color="auto"/>
            </w:tcBorders>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ERDF or ESF+ or CF or JTF</w:t>
            </w:r>
          </w:p>
        </w:tc>
        <w:tc>
          <w:tcPr>
            <w:tcW w:w="1418" w:type="dxa"/>
          </w:tcPr>
          <w:p w:rsidR="002C3753" w:rsidRPr="002C3753" w:rsidRDefault="002C3753" w:rsidP="002C3753">
            <w:pPr>
              <w:rPr>
                <w:rFonts w:ascii="Times New Roman" w:eastAsia="Calibri" w:hAnsi="Times New Roman" w:cs="Times New Roman"/>
                <w:noProof/>
                <w:sz w:val="16"/>
                <w:szCs w:val="16"/>
                <w:lang w:val="en-GB"/>
              </w:rPr>
            </w:pPr>
          </w:p>
        </w:tc>
        <w:tc>
          <w:tcPr>
            <w:tcW w:w="1134" w:type="dxa"/>
          </w:tcPr>
          <w:p w:rsidR="002C3753" w:rsidRPr="002C3753" w:rsidRDefault="002C3753" w:rsidP="002C3753">
            <w:pPr>
              <w:rPr>
                <w:rFonts w:ascii="Times New Roman" w:eastAsia="Calibri" w:hAnsi="Times New Roman" w:cs="Times New Roman"/>
                <w:noProof/>
                <w:sz w:val="16"/>
                <w:szCs w:val="16"/>
                <w:lang w:val="en-GB"/>
              </w:rPr>
            </w:pPr>
          </w:p>
        </w:tc>
        <w:tc>
          <w:tcPr>
            <w:tcW w:w="992" w:type="dxa"/>
          </w:tcPr>
          <w:p w:rsidR="002C3753" w:rsidRPr="002C3753" w:rsidRDefault="002C3753" w:rsidP="002C3753">
            <w:pPr>
              <w:rPr>
                <w:rFonts w:ascii="Times New Roman" w:eastAsia="Calibri" w:hAnsi="Times New Roman" w:cs="Times New Roman"/>
                <w:noProof/>
                <w:sz w:val="16"/>
                <w:szCs w:val="16"/>
                <w:lang w:val="en-GB"/>
              </w:rPr>
            </w:pPr>
          </w:p>
        </w:tc>
        <w:tc>
          <w:tcPr>
            <w:tcW w:w="709" w:type="dxa"/>
          </w:tcPr>
          <w:p w:rsidR="002C3753" w:rsidRPr="002C3753" w:rsidRDefault="002C3753" w:rsidP="002C3753">
            <w:pPr>
              <w:rPr>
                <w:rFonts w:ascii="Times New Roman" w:eastAsia="Calibri" w:hAnsi="Times New Roman" w:cs="Times New Roman"/>
                <w:noProof/>
                <w:sz w:val="16"/>
                <w:szCs w:val="16"/>
                <w:lang w:val="en-GB"/>
              </w:rPr>
            </w:pPr>
          </w:p>
        </w:tc>
        <w:tc>
          <w:tcPr>
            <w:tcW w:w="708" w:type="dxa"/>
          </w:tcPr>
          <w:p w:rsidR="002C3753" w:rsidRPr="002C3753" w:rsidRDefault="002C3753" w:rsidP="002C3753">
            <w:pPr>
              <w:rPr>
                <w:rFonts w:ascii="Times New Roman" w:eastAsia="Calibri" w:hAnsi="Times New Roman" w:cs="Times New Roman"/>
                <w:noProof/>
                <w:sz w:val="16"/>
                <w:szCs w:val="16"/>
                <w:lang w:val="en-GB"/>
              </w:rPr>
            </w:pPr>
          </w:p>
        </w:tc>
        <w:tc>
          <w:tcPr>
            <w:tcW w:w="851" w:type="dxa"/>
          </w:tcPr>
          <w:p w:rsidR="002C3753" w:rsidRPr="002C3753" w:rsidRDefault="002C3753" w:rsidP="002C3753">
            <w:pPr>
              <w:rPr>
                <w:rFonts w:ascii="Times New Roman" w:eastAsia="Calibri" w:hAnsi="Times New Roman" w:cs="Times New Roman"/>
                <w:noProof/>
                <w:sz w:val="16"/>
                <w:szCs w:val="16"/>
                <w:lang w:val="en-GB"/>
              </w:rPr>
            </w:pPr>
          </w:p>
        </w:tc>
        <w:tc>
          <w:tcPr>
            <w:tcW w:w="2447" w:type="dxa"/>
          </w:tcPr>
          <w:p w:rsidR="002C3753" w:rsidRPr="002C3753" w:rsidRDefault="002C3753" w:rsidP="002C3753">
            <w:pPr>
              <w:rPr>
                <w:rFonts w:ascii="Times New Roman" w:eastAsia="Calibri" w:hAnsi="Times New Roman" w:cs="Times New Roman"/>
                <w:noProof/>
                <w:sz w:val="16"/>
                <w:szCs w:val="16"/>
                <w:lang w:val="en-GB"/>
              </w:rPr>
            </w:pPr>
          </w:p>
        </w:tc>
      </w:tr>
      <w:tr w:rsidR="002C3753" w:rsidRPr="002C3753" w:rsidTr="00497168">
        <w:trPr>
          <w:jc w:val="center"/>
        </w:trPr>
        <w:tc>
          <w:tcPr>
            <w:tcW w:w="2762" w:type="dxa"/>
            <w:gridSpan w:val="2"/>
            <w:vMerge w:val="restart"/>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Total ERDF</w:t>
            </w:r>
          </w:p>
          <w:p w:rsidR="002C3753" w:rsidRPr="002C3753" w:rsidRDefault="002C3753" w:rsidP="002C3753">
            <w:pPr>
              <w:rPr>
                <w:rFonts w:ascii="Times New Roman" w:eastAsia="Calibri" w:hAnsi="Times New Roman" w:cs="Times New Roman"/>
                <w:noProof/>
                <w:sz w:val="16"/>
                <w:szCs w:val="16"/>
                <w:lang w:val="en-GB"/>
              </w:rPr>
            </w:pPr>
          </w:p>
        </w:tc>
        <w:tc>
          <w:tcPr>
            <w:tcW w:w="1984" w:type="dxa"/>
            <w:shd w:val="clear" w:color="auto" w:fill="7F7F7F" w:themeFill="text1" w:themeFillTint="80"/>
          </w:tcPr>
          <w:p w:rsidR="002C3753" w:rsidRPr="002C3753" w:rsidRDefault="002C3753" w:rsidP="002C3753">
            <w:pPr>
              <w:rPr>
                <w:rFonts w:ascii="Times New Roman" w:eastAsia="Calibri" w:hAnsi="Times New Roman" w:cs="Times New Roman"/>
                <w:noProof/>
                <w:sz w:val="16"/>
                <w:szCs w:val="16"/>
                <w:lang w:val="en-GB"/>
              </w:rPr>
            </w:pPr>
          </w:p>
        </w:tc>
        <w:tc>
          <w:tcPr>
            <w:tcW w:w="1134" w:type="dxa"/>
            <w:shd w:val="clear" w:color="auto" w:fill="7F7F7F" w:themeFill="text1" w:themeFillTint="80"/>
          </w:tcPr>
          <w:p w:rsidR="002C3753" w:rsidRPr="002C3753" w:rsidRDefault="002C3753" w:rsidP="002C3753">
            <w:pPr>
              <w:rPr>
                <w:rFonts w:ascii="Times New Roman" w:eastAsia="Calibri" w:hAnsi="Times New Roman" w:cs="Times New Roman"/>
                <w:noProof/>
                <w:sz w:val="16"/>
                <w:szCs w:val="16"/>
                <w:lang w:val="en-GB"/>
              </w:rPr>
            </w:pPr>
          </w:p>
        </w:tc>
        <w:tc>
          <w:tcPr>
            <w:tcW w:w="1418" w:type="dxa"/>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More developed</w:t>
            </w:r>
          </w:p>
        </w:tc>
        <w:tc>
          <w:tcPr>
            <w:tcW w:w="1134" w:type="dxa"/>
          </w:tcPr>
          <w:p w:rsidR="002C3753" w:rsidRPr="002C3753" w:rsidRDefault="002C3753" w:rsidP="002C3753">
            <w:pPr>
              <w:rPr>
                <w:rFonts w:ascii="Times New Roman" w:eastAsia="Calibri" w:hAnsi="Times New Roman" w:cs="Times New Roman"/>
                <w:noProof/>
                <w:sz w:val="16"/>
                <w:szCs w:val="16"/>
                <w:lang w:val="en-GB"/>
              </w:rPr>
            </w:pPr>
          </w:p>
        </w:tc>
        <w:tc>
          <w:tcPr>
            <w:tcW w:w="992" w:type="dxa"/>
          </w:tcPr>
          <w:p w:rsidR="002C3753" w:rsidRPr="002C3753" w:rsidRDefault="002C3753" w:rsidP="002C3753">
            <w:pPr>
              <w:rPr>
                <w:rFonts w:ascii="Times New Roman" w:eastAsia="Calibri" w:hAnsi="Times New Roman" w:cs="Times New Roman"/>
                <w:noProof/>
                <w:sz w:val="16"/>
                <w:szCs w:val="16"/>
                <w:lang w:val="en-GB"/>
              </w:rPr>
            </w:pPr>
          </w:p>
        </w:tc>
        <w:tc>
          <w:tcPr>
            <w:tcW w:w="709" w:type="dxa"/>
          </w:tcPr>
          <w:p w:rsidR="002C3753" w:rsidRPr="002C3753" w:rsidRDefault="002C3753" w:rsidP="002C3753">
            <w:pPr>
              <w:rPr>
                <w:rFonts w:ascii="Times New Roman" w:eastAsia="Calibri" w:hAnsi="Times New Roman" w:cs="Times New Roman"/>
                <w:noProof/>
                <w:sz w:val="16"/>
                <w:szCs w:val="16"/>
                <w:lang w:val="en-GB"/>
              </w:rPr>
            </w:pPr>
          </w:p>
        </w:tc>
        <w:tc>
          <w:tcPr>
            <w:tcW w:w="708" w:type="dxa"/>
          </w:tcPr>
          <w:p w:rsidR="002C3753" w:rsidRPr="002C3753" w:rsidRDefault="002C3753" w:rsidP="002C3753">
            <w:pPr>
              <w:rPr>
                <w:rFonts w:ascii="Times New Roman" w:eastAsia="Calibri" w:hAnsi="Times New Roman" w:cs="Times New Roman"/>
                <w:noProof/>
                <w:sz w:val="16"/>
                <w:szCs w:val="16"/>
                <w:lang w:val="en-GB"/>
              </w:rPr>
            </w:pPr>
          </w:p>
        </w:tc>
        <w:tc>
          <w:tcPr>
            <w:tcW w:w="851" w:type="dxa"/>
          </w:tcPr>
          <w:p w:rsidR="002C3753" w:rsidRPr="002C3753" w:rsidRDefault="002C3753" w:rsidP="002C3753">
            <w:pPr>
              <w:rPr>
                <w:rFonts w:ascii="Times New Roman" w:eastAsia="Calibri" w:hAnsi="Times New Roman" w:cs="Times New Roman"/>
                <w:noProof/>
                <w:sz w:val="16"/>
                <w:szCs w:val="16"/>
                <w:lang w:val="en-GB"/>
              </w:rPr>
            </w:pPr>
          </w:p>
        </w:tc>
        <w:tc>
          <w:tcPr>
            <w:tcW w:w="2447" w:type="dxa"/>
          </w:tcPr>
          <w:p w:rsidR="002C3753" w:rsidRPr="002C3753" w:rsidRDefault="002C3753" w:rsidP="002C3753">
            <w:pPr>
              <w:rPr>
                <w:rFonts w:ascii="Times New Roman" w:eastAsia="Calibri" w:hAnsi="Times New Roman" w:cs="Times New Roman"/>
                <w:noProof/>
                <w:sz w:val="16"/>
                <w:szCs w:val="16"/>
                <w:lang w:val="en-GB"/>
              </w:rPr>
            </w:pPr>
          </w:p>
        </w:tc>
      </w:tr>
      <w:tr w:rsidR="002C3753" w:rsidRPr="002C3753" w:rsidTr="00497168">
        <w:trPr>
          <w:jc w:val="center"/>
        </w:trPr>
        <w:tc>
          <w:tcPr>
            <w:tcW w:w="2762" w:type="dxa"/>
            <w:gridSpan w:val="2"/>
            <w:vMerge/>
          </w:tcPr>
          <w:p w:rsidR="002C3753" w:rsidRPr="002C3753" w:rsidRDefault="002C3753" w:rsidP="002C3753">
            <w:pPr>
              <w:rPr>
                <w:rFonts w:ascii="Times New Roman" w:eastAsia="Calibri" w:hAnsi="Times New Roman" w:cs="Times New Roman"/>
                <w:noProof/>
                <w:sz w:val="16"/>
                <w:szCs w:val="16"/>
                <w:lang w:val="en-GB"/>
              </w:rPr>
            </w:pPr>
          </w:p>
        </w:tc>
        <w:tc>
          <w:tcPr>
            <w:tcW w:w="1984" w:type="dxa"/>
            <w:shd w:val="clear" w:color="auto" w:fill="7F7F7F" w:themeFill="text1" w:themeFillTint="80"/>
          </w:tcPr>
          <w:p w:rsidR="002C3753" w:rsidRPr="002C3753" w:rsidRDefault="002C3753" w:rsidP="002C3753">
            <w:pPr>
              <w:rPr>
                <w:rFonts w:ascii="Times New Roman" w:eastAsia="Calibri" w:hAnsi="Times New Roman" w:cs="Times New Roman"/>
                <w:noProof/>
                <w:sz w:val="16"/>
                <w:szCs w:val="16"/>
                <w:lang w:val="en-GB"/>
              </w:rPr>
            </w:pPr>
          </w:p>
        </w:tc>
        <w:tc>
          <w:tcPr>
            <w:tcW w:w="1134" w:type="dxa"/>
            <w:shd w:val="clear" w:color="auto" w:fill="7F7F7F" w:themeFill="text1" w:themeFillTint="80"/>
          </w:tcPr>
          <w:p w:rsidR="002C3753" w:rsidRPr="002C3753" w:rsidRDefault="002C3753" w:rsidP="002C3753">
            <w:pPr>
              <w:rPr>
                <w:rFonts w:ascii="Times New Roman" w:eastAsia="Calibri" w:hAnsi="Times New Roman" w:cs="Times New Roman"/>
                <w:noProof/>
                <w:sz w:val="16"/>
                <w:szCs w:val="16"/>
                <w:lang w:val="en-GB"/>
              </w:rPr>
            </w:pPr>
          </w:p>
        </w:tc>
        <w:tc>
          <w:tcPr>
            <w:tcW w:w="1418" w:type="dxa"/>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Transition</w:t>
            </w:r>
          </w:p>
        </w:tc>
        <w:tc>
          <w:tcPr>
            <w:tcW w:w="1134" w:type="dxa"/>
          </w:tcPr>
          <w:p w:rsidR="002C3753" w:rsidRPr="002C3753" w:rsidRDefault="002C3753" w:rsidP="002C3753">
            <w:pPr>
              <w:rPr>
                <w:rFonts w:ascii="Times New Roman" w:eastAsia="Calibri" w:hAnsi="Times New Roman" w:cs="Times New Roman"/>
                <w:noProof/>
                <w:sz w:val="16"/>
                <w:szCs w:val="16"/>
                <w:lang w:val="en-GB"/>
              </w:rPr>
            </w:pPr>
          </w:p>
        </w:tc>
        <w:tc>
          <w:tcPr>
            <w:tcW w:w="992" w:type="dxa"/>
          </w:tcPr>
          <w:p w:rsidR="002C3753" w:rsidRPr="002C3753" w:rsidRDefault="002C3753" w:rsidP="002C3753">
            <w:pPr>
              <w:rPr>
                <w:rFonts w:ascii="Times New Roman" w:eastAsia="Calibri" w:hAnsi="Times New Roman" w:cs="Times New Roman"/>
                <w:noProof/>
                <w:sz w:val="16"/>
                <w:szCs w:val="16"/>
                <w:lang w:val="en-GB"/>
              </w:rPr>
            </w:pPr>
          </w:p>
        </w:tc>
        <w:tc>
          <w:tcPr>
            <w:tcW w:w="709" w:type="dxa"/>
          </w:tcPr>
          <w:p w:rsidR="002C3753" w:rsidRPr="002C3753" w:rsidRDefault="002C3753" w:rsidP="002C3753">
            <w:pPr>
              <w:rPr>
                <w:rFonts w:ascii="Times New Roman" w:eastAsia="Calibri" w:hAnsi="Times New Roman" w:cs="Times New Roman"/>
                <w:noProof/>
                <w:sz w:val="16"/>
                <w:szCs w:val="16"/>
                <w:lang w:val="en-GB"/>
              </w:rPr>
            </w:pPr>
          </w:p>
        </w:tc>
        <w:tc>
          <w:tcPr>
            <w:tcW w:w="708" w:type="dxa"/>
          </w:tcPr>
          <w:p w:rsidR="002C3753" w:rsidRPr="002C3753" w:rsidRDefault="002C3753" w:rsidP="002C3753">
            <w:pPr>
              <w:rPr>
                <w:rFonts w:ascii="Times New Roman" w:eastAsia="Calibri" w:hAnsi="Times New Roman" w:cs="Times New Roman"/>
                <w:noProof/>
                <w:sz w:val="16"/>
                <w:szCs w:val="16"/>
                <w:lang w:val="en-GB"/>
              </w:rPr>
            </w:pPr>
          </w:p>
        </w:tc>
        <w:tc>
          <w:tcPr>
            <w:tcW w:w="851" w:type="dxa"/>
          </w:tcPr>
          <w:p w:rsidR="002C3753" w:rsidRPr="002C3753" w:rsidRDefault="002C3753" w:rsidP="002C3753">
            <w:pPr>
              <w:rPr>
                <w:rFonts w:ascii="Times New Roman" w:eastAsia="Calibri" w:hAnsi="Times New Roman" w:cs="Times New Roman"/>
                <w:noProof/>
                <w:sz w:val="16"/>
                <w:szCs w:val="16"/>
                <w:lang w:val="en-GB"/>
              </w:rPr>
            </w:pPr>
          </w:p>
        </w:tc>
        <w:tc>
          <w:tcPr>
            <w:tcW w:w="2447" w:type="dxa"/>
          </w:tcPr>
          <w:p w:rsidR="002C3753" w:rsidRPr="002C3753" w:rsidRDefault="002C3753" w:rsidP="002C3753">
            <w:pPr>
              <w:rPr>
                <w:rFonts w:ascii="Times New Roman" w:eastAsia="Calibri" w:hAnsi="Times New Roman" w:cs="Times New Roman"/>
                <w:noProof/>
                <w:sz w:val="16"/>
                <w:szCs w:val="16"/>
                <w:lang w:val="en-GB"/>
              </w:rPr>
            </w:pPr>
          </w:p>
        </w:tc>
      </w:tr>
      <w:tr w:rsidR="002C3753" w:rsidRPr="002C3753" w:rsidTr="00497168">
        <w:trPr>
          <w:jc w:val="center"/>
        </w:trPr>
        <w:tc>
          <w:tcPr>
            <w:tcW w:w="2762" w:type="dxa"/>
            <w:gridSpan w:val="2"/>
            <w:vMerge/>
          </w:tcPr>
          <w:p w:rsidR="002C3753" w:rsidRPr="002C3753" w:rsidRDefault="002C3753" w:rsidP="002C3753">
            <w:pPr>
              <w:rPr>
                <w:rFonts w:ascii="Times New Roman" w:eastAsia="Calibri" w:hAnsi="Times New Roman" w:cs="Times New Roman"/>
                <w:noProof/>
                <w:sz w:val="16"/>
                <w:szCs w:val="16"/>
                <w:lang w:val="en-GB"/>
              </w:rPr>
            </w:pPr>
          </w:p>
        </w:tc>
        <w:tc>
          <w:tcPr>
            <w:tcW w:w="1984" w:type="dxa"/>
            <w:shd w:val="clear" w:color="auto" w:fill="7F7F7F" w:themeFill="text1" w:themeFillTint="80"/>
          </w:tcPr>
          <w:p w:rsidR="002C3753" w:rsidRPr="002C3753" w:rsidRDefault="002C3753" w:rsidP="002C3753">
            <w:pPr>
              <w:rPr>
                <w:rFonts w:ascii="Times New Roman" w:eastAsia="Calibri" w:hAnsi="Times New Roman" w:cs="Times New Roman"/>
                <w:noProof/>
                <w:sz w:val="16"/>
                <w:szCs w:val="16"/>
                <w:lang w:val="en-GB"/>
              </w:rPr>
            </w:pPr>
          </w:p>
        </w:tc>
        <w:tc>
          <w:tcPr>
            <w:tcW w:w="1134" w:type="dxa"/>
            <w:shd w:val="clear" w:color="auto" w:fill="7F7F7F" w:themeFill="text1" w:themeFillTint="80"/>
          </w:tcPr>
          <w:p w:rsidR="002C3753" w:rsidRPr="002C3753" w:rsidRDefault="002C3753" w:rsidP="002C3753">
            <w:pPr>
              <w:rPr>
                <w:rFonts w:ascii="Times New Roman" w:eastAsia="Calibri" w:hAnsi="Times New Roman" w:cs="Times New Roman"/>
                <w:noProof/>
                <w:sz w:val="16"/>
                <w:szCs w:val="16"/>
                <w:lang w:val="en-GB"/>
              </w:rPr>
            </w:pPr>
          </w:p>
        </w:tc>
        <w:tc>
          <w:tcPr>
            <w:tcW w:w="1418" w:type="dxa"/>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Less developed</w:t>
            </w:r>
          </w:p>
        </w:tc>
        <w:tc>
          <w:tcPr>
            <w:tcW w:w="1134" w:type="dxa"/>
          </w:tcPr>
          <w:p w:rsidR="002C3753" w:rsidRPr="002C3753" w:rsidRDefault="002C3753" w:rsidP="002C3753">
            <w:pPr>
              <w:rPr>
                <w:rFonts w:ascii="Times New Roman" w:eastAsia="Calibri" w:hAnsi="Times New Roman" w:cs="Times New Roman"/>
                <w:noProof/>
                <w:sz w:val="16"/>
                <w:szCs w:val="16"/>
                <w:lang w:val="en-GB"/>
              </w:rPr>
            </w:pPr>
          </w:p>
        </w:tc>
        <w:tc>
          <w:tcPr>
            <w:tcW w:w="992" w:type="dxa"/>
          </w:tcPr>
          <w:p w:rsidR="002C3753" w:rsidRPr="002C3753" w:rsidRDefault="002C3753" w:rsidP="002C3753">
            <w:pPr>
              <w:rPr>
                <w:rFonts w:ascii="Times New Roman" w:eastAsia="Calibri" w:hAnsi="Times New Roman" w:cs="Times New Roman"/>
                <w:noProof/>
                <w:sz w:val="16"/>
                <w:szCs w:val="16"/>
                <w:lang w:val="en-GB"/>
              </w:rPr>
            </w:pPr>
          </w:p>
        </w:tc>
        <w:tc>
          <w:tcPr>
            <w:tcW w:w="709" w:type="dxa"/>
          </w:tcPr>
          <w:p w:rsidR="002C3753" w:rsidRPr="002C3753" w:rsidRDefault="002C3753" w:rsidP="002C3753">
            <w:pPr>
              <w:rPr>
                <w:rFonts w:ascii="Times New Roman" w:eastAsia="Calibri" w:hAnsi="Times New Roman" w:cs="Times New Roman"/>
                <w:noProof/>
                <w:sz w:val="16"/>
                <w:szCs w:val="16"/>
                <w:lang w:val="en-GB"/>
              </w:rPr>
            </w:pPr>
          </w:p>
        </w:tc>
        <w:tc>
          <w:tcPr>
            <w:tcW w:w="708" w:type="dxa"/>
          </w:tcPr>
          <w:p w:rsidR="002C3753" w:rsidRPr="002C3753" w:rsidRDefault="002C3753" w:rsidP="002C3753">
            <w:pPr>
              <w:rPr>
                <w:rFonts w:ascii="Times New Roman" w:eastAsia="Calibri" w:hAnsi="Times New Roman" w:cs="Times New Roman"/>
                <w:noProof/>
                <w:sz w:val="16"/>
                <w:szCs w:val="16"/>
                <w:lang w:val="en-GB"/>
              </w:rPr>
            </w:pPr>
          </w:p>
        </w:tc>
        <w:tc>
          <w:tcPr>
            <w:tcW w:w="851" w:type="dxa"/>
          </w:tcPr>
          <w:p w:rsidR="002C3753" w:rsidRPr="002C3753" w:rsidRDefault="002C3753" w:rsidP="002C3753">
            <w:pPr>
              <w:rPr>
                <w:rFonts w:ascii="Times New Roman" w:eastAsia="Calibri" w:hAnsi="Times New Roman" w:cs="Times New Roman"/>
                <w:noProof/>
                <w:sz w:val="16"/>
                <w:szCs w:val="16"/>
                <w:lang w:val="en-GB"/>
              </w:rPr>
            </w:pPr>
          </w:p>
        </w:tc>
        <w:tc>
          <w:tcPr>
            <w:tcW w:w="2447" w:type="dxa"/>
          </w:tcPr>
          <w:p w:rsidR="002C3753" w:rsidRPr="002C3753" w:rsidRDefault="002C3753" w:rsidP="002C3753">
            <w:pPr>
              <w:rPr>
                <w:rFonts w:ascii="Times New Roman" w:eastAsia="Calibri" w:hAnsi="Times New Roman" w:cs="Times New Roman"/>
                <w:noProof/>
                <w:sz w:val="16"/>
                <w:szCs w:val="16"/>
                <w:lang w:val="en-GB"/>
              </w:rPr>
            </w:pPr>
          </w:p>
        </w:tc>
      </w:tr>
      <w:tr w:rsidR="002C3753" w:rsidRPr="002C3753" w:rsidTr="00497168">
        <w:trPr>
          <w:jc w:val="center"/>
        </w:trPr>
        <w:tc>
          <w:tcPr>
            <w:tcW w:w="2762" w:type="dxa"/>
            <w:gridSpan w:val="2"/>
            <w:vMerge/>
          </w:tcPr>
          <w:p w:rsidR="002C3753" w:rsidRPr="002C3753" w:rsidRDefault="002C3753" w:rsidP="002C3753">
            <w:pPr>
              <w:rPr>
                <w:rFonts w:ascii="Times New Roman" w:eastAsia="Calibri" w:hAnsi="Times New Roman" w:cs="Times New Roman"/>
                <w:noProof/>
                <w:sz w:val="16"/>
                <w:szCs w:val="16"/>
                <w:lang w:val="en-GB"/>
              </w:rPr>
            </w:pPr>
          </w:p>
        </w:tc>
        <w:tc>
          <w:tcPr>
            <w:tcW w:w="1984" w:type="dxa"/>
            <w:shd w:val="clear" w:color="auto" w:fill="7F7F7F" w:themeFill="text1" w:themeFillTint="80"/>
          </w:tcPr>
          <w:p w:rsidR="002C3753" w:rsidRPr="002C3753" w:rsidRDefault="002C3753" w:rsidP="002C3753">
            <w:pPr>
              <w:rPr>
                <w:rFonts w:ascii="Times New Roman" w:eastAsia="Calibri" w:hAnsi="Times New Roman" w:cs="Times New Roman"/>
                <w:noProof/>
                <w:sz w:val="16"/>
                <w:szCs w:val="16"/>
                <w:lang w:val="en-GB"/>
              </w:rPr>
            </w:pPr>
          </w:p>
        </w:tc>
        <w:tc>
          <w:tcPr>
            <w:tcW w:w="1134" w:type="dxa"/>
            <w:shd w:val="clear" w:color="auto" w:fill="7F7F7F" w:themeFill="text1" w:themeFillTint="80"/>
          </w:tcPr>
          <w:p w:rsidR="002C3753" w:rsidRPr="002C3753" w:rsidRDefault="002C3753" w:rsidP="002C3753">
            <w:pPr>
              <w:rPr>
                <w:rFonts w:ascii="Times New Roman" w:eastAsia="Calibri" w:hAnsi="Times New Roman" w:cs="Times New Roman"/>
                <w:noProof/>
                <w:sz w:val="16"/>
                <w:szCs w:val="16"/>
                <w:lang w:val="en-GB"/>
              </w:rPr>
            </w:pPr>
          </w:p>
        </w:tc>
        <w:tc>
          <w:tcPr>
            <w:tcW w:w="1418" w:type="dxa"/>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Special allocation for outermost and northern sparsely populated regions</w:t>
            </w:r>
          </w:p>
        </w:tc>
        <w:tc>
          <w:tcPr>
            <w:tcW w:w="1134" w:type="dxa"/>
          </w:tcPr>
          <w:p w:rsidR="002C3753" w:rsidRPr="002C3753" w:rsidRDefault="002C3753" w:rsidP="002C3753">
            <w:pPr>
              <w:rPr>
                <w:rFonts w:ascii="Times New Roman" w:eastAsia="Calibri" w:hAnsi="Times New Roman" w:cs="Times New Roman"/>
                <w:noProof/>
                <w:sz w:val="16"/>
                <w:szCs w:val="16"/>
                <w:lang w:val="en-GB"/>
              </w:rPr>
            </w:pPr>
          </w:p>
        </w:tc>
        <w:tc>
          <w:tcPr>
            <w:tcW w:w="992" w:type="dxa"/>
          </w:tcPr>
          <w:p w:rsidR="002C3753" w:rsidRPr="002C3753" w:rsidRDefault="002C3753" w:rsidP="002C3753">
            <w:pPr>
              <w:rPr>
                <w:rFonts w:ascii="Times New Roman" w:eastAsia="Calibri" w:hAnsi="Times New Roman" w:cs="Times New Roman"/>
                <w:noProof/>
                <w:sz w:val="16"/>
                <w:szCs w:val="16"/>
                <w:lang w:val="en-GB"/>
              </w:rPr>
            </w:pPr>
          </w:p>
        </w:tc>
        <w:tc>
          <w:tcPr>
            <w:tcW w:w="709" w:type="dxa"/>
          </w:tcPr>
          <w:p w:rsidR="002C3753" w:rsidRPr="002C3753" w:rsidRDefault="002C3753" w:rsidP="002C3753">
            <w:pPr>
              <w:rPr>
                <w:rFonts w:ascii="Times New Roman" w:eastAsia="Calibri" w:hAnsi="Times New Roman" w:cs="Times New Roman"/>
                <w:noProof/>
                <w:sz w:val="16"/>
                <w:szCs w:val="16"/>
                <w:lang w:val="en-GB"/>
              </w:rPr>
            </w:pPr>
          </w:p>
        </w:tc>
        <w:tc>
          <w:tcPr>
            <w:tcW w:w="708" w:type="dxa"/>
          </w:tcPr>
          <w:p w:rsidR="002C3753" w:rsidRPr="002C3753" w:rsidRDefault="002C3753" w:rsidP="002C3753">
            <w:pPr>
              <w:rPr>
                <w:rFonts w:ascii="Times New Roman" w:eastAsia="Calibri" w:hAnsi="Times New Roman" w:cs="Times New Roman"/>
                <w:noProof/>
                <w:sz w:val="16"/>
                <w:szCs w:val="16"/>
                <w:lang w:val="en-GB"/>
              </w:rPr>
            </w:pPr>
          </w:p>
        </w:tc>
        <w:tc>
          <w:tcPr>
            <w:tcW w:w="851" w:type="dxa"/>
          </w:tcPr>
          <w:p w:rsidR="002C3753" w:rsidRPr="002C3753" w:rsidRDefault="002C3753" w:rsidP="002C3753">
            <w:pPr>
              <w:rPr>
                <w:rFonts w:ascii="Times New Roman" w:eastAsia="Calibri" w:hAnsi="Times New Roman" w:cs="Times New Roman"/>
                <w:noProof/>
                <w:sz w:val="16"/>
                <w:szCs w:val="16"/>
                <w:lang w:val="en-GB"/>
              </w:rPr>
            </w:pPr>
          </w:p>
        </w:tc>
        <w:tc>
          <w:tcPr>
            <w:tcW w:w="2447" w:type="dxa"/>
          </w:tcPr>
          <w:p w:rsidR="002C3753" w:rsidRPr="002C3753" w:rsidRDefault="002C3753" w:rsidP="002C3753">
            <w:pPr>
              <w:rPr>
                <w:rFonts w:ascii="Times New Roman" w:eastAsia="Calibri" w:hAnsi="Times New Roman" w:cs="Times New Roman"/>
                <w:noProof/>
                <w:sz w:val="16"/>
                <w:szCs w:val="16"/>
                <w:lang w:val="en-GB"/>
              </w:rPr>
            </w:pPr>
          </w:p>
        </w:tc>
      </w:tr>
      <w:tr w:rsidR="002C3753" w:rsidRPr="002C3753" w:rsidTr="00497168">
        <w:trPr>
          <w:jc w:val="center"/>
        </w:trPr>
        <w:tc>
          <w:tcPr>
            <w:tcW w:w="2762" w:type="dxa"/>
            <w:gridSpan w:val="2"/>
            <w:vMerge w:val="restart"/>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Total ESF+</w:t>
            </w:r>
          </w:p>
          <w:p w:rsidR="002C3753" w:rsidRPr="002C3753" w:rsidRDefault="002C3753" w:rsidP="002C3753">
            <w:pPr>
              <w:rPr>
                <w:rFonts w:ascii="Times New Roman" w:eastAsia="Calibri" w:hAnsi="Times New Roman" w:cs="Times New Roman"/>
                <w:noProof/>
                <w:sz w:val="16"/>
                <w:szCs w:val="16"/>
                <w:lang w:val="en-GB"/>
              </w:rPr>
            </w:pPr>
          </w:p>
        </w:tc>
        <w:tc>
          <w:tcPr>
            <w:tcW w:w="1984" w:type="dxa"/>
            <w:shd w:val="clear" w:color="auto" w:fill="7F7F7F" w:themeFill="text1" w:themeFillTint="80"/>
          </w:tcPr>
          <w:p w:rsidR="002C3753" w:rsidRPr="002C3753" w:rsidRDefault="002C3753" w:rsidP="002C3753">
            <w:pPr>
              <w:rPr>
                <w:rFonts w:ascii="Times New Roman" w:eastAsia="Calibri" w:hAnsi="Times New Roman" w:cs="Times New Roman"/>
                <w:noProof/>
                <w:sz w:val="16"/>
                <w:szCs w:val="16"/>
                <w:lang w:val="en-GB"/>
              </w:rPr>
            </w:pPr>
          </w:p>
        </w:tc>
        <w:tc>
          <w:tcPr>
            <w:tcW w:w="1134" w:type="dxa"/>
            <w:shd w:val="clear" w:color="auto" w:fill="7F7F7F" w:themeFill="text1" w:themeFillTint="80"/>
          </w:tcPr>
          <w:p w:rsidR="002C3753" w:rsidRPr="002C3753" w:rsidRDefault="002C3753" w:rsidP="002C3753">
            <w:pPr>
              <w:rPr>
                <w:rFonts w:ascii="Times New Roman" w:eastAsia="Calibri" w:hAnsi="Times New Roman" w:cs="Times New Roman"/>
                <w:noProof/>
                <w:sz w:val="16"/>
                <w:szCs w:val="16"/>
                <w:lang w:val="en-GB"/>
              </w:rPr>
            </w:pPr>
          </w:p>
        </w:tc>
        <w:tc>
          <w:tcPr>
            <w:tcW w:w="1418" w:type="dxa"/>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More developed</w:t>
            </w:r>
          </w:p>
        </w:tc>
        <w:tc>
          <w:tcPr>
            <w:tcW w:w="1134" w:type="dxa"/>
          </w:tcPr>
          <w:p w:rsidR="002C3753" w:rsidRPr="002C3753" w:rsidRDefault="002C3753" w:rsidP="002C3753">
            <w:pPr>
              <w:rPr>
                <w:rFonts w:ascii="Times New Roman" w:eastAsia="Calibri" w:hAnsi="Times New Roman" w:cs="Times New Roman"/>
                <w:noProof/>
                <w:sz w:val="16"/>
                <w:szCs w:val="16"/>
                <w:lang w:val="en-GB"/>
              </w:rPr>
            </w:pPr>
          </w:p>
        </w:tc>
        <w:tc>
          <w:tcPr>
            <w:tcW w:w="992" w:type="dxa"/>
          </w:tcPr>
          <w:p w:rsidR="002C3753" w:rsidRPr="002C3753" w:rsidRDefault="002C3753" w:rsidP="002C3753">
            <w:pPr>
              <w:rPr>
                <w:rFonts w:ascii="Times New Roman" w:eastAsia="Calibri" w:hAnsi="Times New Roman" w:cs="Times New Roman"/>
                <w:noProof/>
                <w:sz w:val="16"/>
                <w:szCs w:val="16"/>
                <w:lang w:val="en-GB"/>
              </w:rPr>
            </w:pPr>
          </w:p>
        </w:tc>
        <w:tc>
          <w:tcPr>
            <w:tcW w:w="709" w:type="dxa"/>
          </w:tcPr>
          <w:p w:rsidR="002C3753" w:rsidRPr="002C3753" w:rsidRDefault="002C3753" w:rsidP="002C3753">
            <w:pPr>
              <w:rPr>
                <w:rFonts w:ascii="Times New Roman" w:eastAsia="Calibri" w:hAnsi="Times New Roman" w:cs="Times New Roman"/>
                <w:noProof/>
                <w:sz w:val="16"/>
                <w:szCs w:val="16"/>
                <w:lang w:val="en-GB"/>
              </w:rPr>
            </w:pPr>
          </w:p>
        </w:tc>
        <w:tc>
          <w:tcPr>
            <w:tcW w:w="708" w:type="dxa"/>
          </w:tcPr>
          <w:p w:rsidR="002C3753" w:rsidRPr="002C3753" w:rsidRDefault="002C3753" w:rsidP="002C3753">
            <w:pPr>
              <w:rPr>
                <w:rFonts w:ascii="Times New Roman" w:eastAsia="Calibri" w:hAnsi="Times New Roman" w:cs="Times New Roman"/>
                <w:noProof/>
                <w:sz w:val="16"/>
                <w:szCs w:val="16"/>
                <w:lang w:val="en-GB"/>
              </w:rPr>
            </w:pPr>
          </w:p>
        </w:tc>
        <w:tc>
          <w:tcPr>
            <w:tcW w:w="851" w:type="dxa"/>
          </w:tcPr>
          <w:p w:rsidR="002C3753" w:rsidRPr="002C3753" w:rsidRDefault="002C3753" w:rsidP="002C3753">
            <w:pPr>
              <w:rPr>
                <w:rFonts w:ascii="Times New Roman" w:eastAsia="Calibri" w:hAnsi="Times New Roman" w:cs="Times New Roman"/>
                <w:noProof/>
                <w:sz w:val="16"/>
                <w:szCs w:val="16"/>
                <w:lang w:val="en-GB"/>
              </w:rPr>
            </w:pPr>
          </w:p>
        </w:tc>
        <w:tc>
          <w:tcPr>
            <w:tcW w:w="2447" w:type="dxa"/>
          </w:tcPr>
          <w:p w:rsidR="002C3753" w:rsidRPr="002C3753" w:rsidRDefault="002C3753" w:rsidP="002C3753">
            <w:pPr>
              <w:rPr>
                <w:rFonts w:ascii="Times New Roman" w:eastAsia="Calibri" w:hAnsi="Times New Roman" w:cs="Times New Roman"/>
                <w:noProof/>
                <w:sz w:val="16"/>
                <w:szCs w:val="16"/>
                <w:lang w:val="en-GB"/>
              </w:rPr>
            </w:pPr>
          </w:p>
        </w:tc>
      </w:tr>
      <w:tr w:rsidR="002C3753" w:rsidRPr="002C3753" w:rsidTr="00497168">
        <w:trPr>
          <w:jc w:val="center"/>
        </w:trPr>
        <w:tc>
          <w:tcPr>
            <w:tcW w:w="2762" w:type="dxa"/>
            <w:gridSpan w:val="2"/>
            <w:vMerge/>
          </w:tcPr>
          <w:p w:rsidR="002C3753" w:rsidRPr="002C3753" w:rsidRDefault="002C3753" w:rsidP="002C3753">
            <w:pPr>
              <w:rPr>
                <w:rFonts w:ascii="Times New Roman" w:eastAsia="Calibri" w:hAnsi="Times New Roman" w:cs="Times New Roman"/>
                <w:noProof/>
                <w:sz w:val="16"/>
                <w:szCs w:val="16"/>
                <w:lang w:val="en-GB"/>
              </w:rPr>
            </w:pPr>
          </w:p>
        </w:tc>
        <w:tc>
          <w:tcPr>
            <w:tcW w:w="1984" w:type="dxa"/>
            <w:shd w:val="clear" w:color="auto" w:fill="7F7F7F" w:themeFill="text1" w:themeFillTint="80"/>
          </w:tcPr>
          <w:p w:rsidR="002C3753" w:rsidRPr="002C3753" w:rsidRDefault="002C3753" w:rsidP="002C3753">
            <w:pPr>
              <w:rPr>
                <w:rFonts w:ascii="Times New Roman" w:eastAsia="Calibri" w:hAnsi="Times New Roman" w:cs="Times New Roman"/>
                <w:noProof/>
                <w:sz w:val="16"/>
                <w:szCs w:val="16"/>
                <w:lang w:val="en-GB"/>
              </w:rPr>
            </w:pPr>
          </w:p>
        </w:tc>
        <w:tc>
          <w:tcPr>
            <w:tcW w:w="1134" w:type="dxa"/>
            <w:shd w:val="clear" w:color="auto" w:fill="7F7F7F" w:themeFill="text1" w:themeFillTint="80"/>
          </w:tcPr>
          <w:p w:rsidR="002C3753" w:rsidRPr="002C3753" w:rsidRDefault="002C3753" w:rsidP="002C3753">
            <w:pPr>
              <w:rPr>
                <w:rFonts w:ascii="Times New Roman" w:eastAsia="Calibri" w:hAnsi="Times New Roman" w:cs="Times New Roman"/>
                <w:noProof/>
                <w:sz w:val="16"/>
                <w:szCs w:val="16"/>
                <w:lang w:val="en-GB"/>
              </w:rPr>
            </w:pPr>
          </w:p>
        </w:tc>
        <w:tc>
          <w:tcPr>
            <w:tcW w:w="1418" w:type="dxa"/>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Transition</w:t>
            </w:r>
          </w:p>
        </w:tc>
        <w:tc>
          <w:tcPr>
            <w:tcW w:w="1134" w:type="dxa"/>
          </w:tcPr>
          <w:p w:rsidR="002C3753" w:rsidRPr="002C3753" w:rsidRDefault="002C3753" w:rsidP="002C3753">
            <w:pPr>
              <w:rPr>
                <w:rFonts w:ascii="Times New Roman" w:eastAsia="Calibri" w:hAnsi="Times New Roman" w:cs="Times New Roman"/>
                <w:noProof/>
                <w:sz w:val="16"/>
                <w:szCs w:val="16"/>
                <w:lang w:val="en-GB"/>
              </w:rPr>
            </w:pPr>
          </w:p>
        </w:tc>
        <w:tc>
          <w:tcPr>
            <w:tcW w:w="992" w:type="dxa"/>
          </w:tcPr>
          <w:p w:rsidR="002C3753" w:rsidRPr="002C3753" w:rsidRDefault="002C3753" w:rsidP="002C3753">
            <w:pPr>
              <w:rPr>
                <w:rFonts w:ascii="Times New Roman" w:eastAsia="Calibri" w:hAnsi="Times New Roman" w:cs="Times New Roman"/>
                <w:noProof/>
                <w:sz w:val="16"/>
                <w:szCs w:val="16"/>
                <w:lang w:val="en-GB"/>
              </w:rPr>
            </w:pPr>
          </w:p>
        </w:tc>
        <w:tc>
          <w:tcPr>
            <w:tcW w:w="709" w:type="dxa"/>
          </w:tcPr>
          <w:p w:rsidR="002C3753" w:rsidRPr="002C3753" w:rsidRDefault="002C3753" w:rsidP="002C3753">
            <w:pPr>
              <w:rPr>
                <w:rFonts w:ascii="Times New Roman" w:eastAsia="Calibri" w:hAnsi="Times New Roman" w:cs="Times New Roman"/>
                <w:noProof/>
                <w:sz w:val="16"/>
                <w:szCs w:val="16"/>
                <w:lang w:val="en-GB"/>
              </w:rPr>
            </w:pPr>
          </w:p>
        </w:tc>
        <w:tc>
          <w:tcPr>
            <w:tcW w:w="708" w:type="dxa"/>
          </w:tcPr>
          <w:p w:rsidR="002C3753" w:rsidRPr="002C3753" w:rsidRDefault="002C3753" w:rsidP="002C3753">
            <w:pPr>
              <w:rPr>
                <w:rFonts w:ascii="Times New Roman" w:eastAsia="Calibri" w:hAnsi="Times New Roman" w:cs="Times New Roman"/>
                <w:noProof/>
                <w:sz w:val="16"/>
                <w:szCs w:val="16"/>
                <w:lang w:val="en-GB"/>
              </w:rPr>
            </w:pPr>
          </w:p>
        </w:tc>
        <w:tc>
          <w:tcPr>
            <w:tcW w:w="851" w:type="dxa"/>
          </w:tcPr>
          <w:p w:rsidR="002C3753" w:rsidRPr="002C3753" w:rsidRDefault="002C3753" w:rsidP="002C3753">
            <w:pPr>
              <w:rPr>
                <w:rFonts w:ascii="Times New Roman" w:eastAsia="Calibri" w:hAnsi="Times New Roman" w:cs="Times New Roman"/>
                <w:noProof/>
                <w:sz w:val="16"/>
                <w:szCs w:val="16"/>
                <w:lang w:val="en-GB"/>
              </w:rPr>
            </w:pPr>
          </w:p>
        </w:tc>
        <w:tc>
          <w:tcPr>
            <w:tcW w:w="2447" w:type="dxa"/>
          </w:tcPr>
          <w:p w:rsidR="002C3753" w:rsidRPr="002C3753" w:rsidRDefault="002C3753" w:rsidP="002C3753">
            <w:pPr>
              <w:rPr>
                <w:rFonts w:ascii="Times New Roman" w:eastAsia="Calibri" w:hAnsi="Times New Roman" w:cs="Times New Roman"/>
                <w:noProof/>
                <w:sz w:val="16"/>
                <w:szCs w:val="16"/>
                <w:lang w:val="en-GB"/>
              </w:rPr>
            </w:pPr>
          </w:p>
        </w:tc>
      </w:tr>
      <w:tr w:rsidR="002C3753" w:rsidRPr="002C3753" w:rsidTr="00497168">
        <w:trPr>
          <w:jc w:val="center"/>
        </w:trPr>
        <w:tc>
          <w:tcPr>
            <w:tcW w:w="2762" w:type="dxa"/>
            <w:gridSpan w:val="2"/>
            <w:vMerge/>
          </w:tcPr>
          <w:p w:rsidR="002C3753" w:rsidRPr="002C3753" w:rsidRDefault="002C3753" w:rsidP="002C3753">
            <w:pPr>
              <w:rPr>
                <w:rFonts w:ascii="Times New Roman" w:eastAsia="Calibri" w:hAnsi="Times New Roman" w:cs="Times New Roman"/>
                <w:noProof/>
                <w:sz w:val="16"/>
                <w:szCs w:val="16"/>
                <w:lang w:val="en-GB"/>
              </w:rPr>
            </w:pPr>
          </w:p>
        </w:tc>
        <w:tc>
          <w:tcPr>
            <w:tcW w:w="1984" w:type="dxa"/>
            <w:shd w:val="clear" w:color="auto" w:fill="7F7F7F" w:themeFill="text1" w:themeFillTint="80"/>
          </w:tcPr>
          <w:p w:rsidR="002C3753" w:rsidRPr="002C3753" w:rsidRDefault="002C3753" w:rsidP="002C3753">
            <w:pPr>
              <w:rPr>
                <w:rFonts w:ascii="Times New Roman" w:eastAsia="Calibri" w:hAnsi="Times New Roman" w:cs="Times New Roman"/>
                <w:noProof/>
                <w:sz w:val="16"/>
                <w:szCs w:val="16"/>
                <w:lang w:val="en-GB"/>
              </w:rPr>
            </w:pPr>
          </w:p>
        </w:tc>
        <w:tc>
          <w:tcPr>
            <w:tcW w:w="1134" w:type="dxa"/>
            <w:shd w:val="clear" w:color="auto" w:fill="7F7F7F" w:themeFill="text1" w:themeFillTint="80"/>
          </w:tcPr>
          <w:p w:rsidR="002C3753" w:rsidRPr="002C3753" w:rsidRDefault="002C3753" w:rsidP="002C3753">
            <w:pPr>
              <w:rPr>
                <w:rFonts w:ascii="Times New Roman" w:eastAsia="Calibri" w:hAnsi="Times New Roman" w:cs="Times New Roman"/>
                <w:noProof/>
                <w:sz w:val="16"/>
                <w:szCs w:val="16"/>
                <w:lang w:val="en-GB"/>
              </w:rPr>
            </w:pPr>
          </w:p>
        </w:tc>
        <w:tc>
          <w:tcPr>
            <w:tcW w:w="1418" w:type="dxa"/>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Less developed</w:t>
            </w:r>
          </w:p>
        </w:tc>
        <w:tc>
          <w:tcPr>
            <w:tcW w:w="1134" w:type="dxa"/>
          </w:tcPr>
          <w:p w:rsidR="002C3753" w:rsidRPr="002C3753" w:rsidRDefault="002C3753" w:rsidP="002C3753">
            <w:pPr>
              <w:rPr>
                <w:rFonts w:ascii="Times New Roman" w:eastAsia="Calibri" w:hAnsi="Times New Roman" w:cs="Times New Roman"/>
                <w:noProof/>
                <w:sz w:val="16"/>
                <w:szCs w:val="16"/>
                <w:lang w:val="en-GB"/>
              </w:rPr>
            </w:pPr>
          </w:p>
        </w:tc>
        <w:tc>
          <w:tcPr>
            <w:tcW w:w="992" w:type="dxa"/>
          </w:tcPr>
          <w:p w:rsidR="002C3753" w:rsidRPr="002C3753" w:rsidRDefault="002C3753" w:rsidP="002C3753">
            <w:pPr>
              <w:rPr>
                <w:rFonts w:ascii="Times New Roman" w:eastAsia="Calibri" w:hAnsi="Times New Roman" w:cs="Times New Roman"/>
                <w:noProof/>
                <w:sz w:val="16"/>
                <w:szCs w:val="16"/>
                <w:lang w:val="en-GB"/>
              </w:rPr>
            </w:pPr>
          </w:p>
        </w:tc>
        <w:tc>
          <w:tcPr>
            <w:tcW w:w="709" w:type="dxa"/>
          </w:tcPr>
          <w:p w:rsidR="002C3753" w:rsidRPr="002C3753" w:rsidRDefault="002C3753" w:rsidP="002C3753">
            <w:pPr>
              <w:rPr>
                <w:rFonts w:ascii="Times New Roman" w:eastAsia="Calibri" w:hAnsi="Times New Roman" w:cs="Times New Roman"/>
                <w:noProof/>
                <w:sz w:val="16"/>
                <w:szCs w:val="16"/>
                <w:lang w:val="en-GB"/>
              </w:rPr>
            </w:pPr>
          </w:p>
        </w:tc>
        <w:tc>
          <w:tcPr>
            <w:tcW w:w="708" w:type="dxa"/>
          </w:tcPr>
          <w:p w:rsidR="002C3753" w:rsidRPr="002C3753" w:rsidRDefault="002C3753" w:rsidP="002C3753">
            <w:pPr>
              <w:rPr>
                <w:rFonts w:ascii="Times New Roman" w:eastAsia="Calibri" w:hAnsi="Times New Roman" w:cs="Times New Roman"/>
                <w:noProof/>
                <w:sz w:val="16"/>
                <w:szCs w:val="16"/>
                <w:lang w:val="en-GB"/>
              </w:rPr>
            </w:pPr>
          </w:p>
        </w:tc>
        <w:tc>
          <w:tcPr>
            <w:tcW w:w="851" w:type="dxa"/>
          </w:tcPr>
          <w:p w:rsidR="002C3753" w:rsidRPr="002C3753" w:rsidRDefault="002C3753" w:rsidP="002C3753">
            <w:pPr>
              <w:rPr>
                <w:rFonts w:ascii="Times New Roman" w:eastAsia="Calibri" w:hAnsi="Times New Roman" w:cs="Times New Roman"/>
                <w:noProof/>
                <w:sz w:val="16"/>
                <w:szCs w:val="16"/>
                <w:lang w:val="en-GB"/>
              </w:rPr>
            </w:pPr>
          </w:p>
        </w:tc>
        <w:tc>
          <w:tcPr>
            <w:tcW w:w="2447" w:type="dxa"/>
          </w:tcPr>
          <w:p w:rsidR="002C3753" w:rsidRPr="002C3753" w:rsidRDefault="002C3753" w:rsidP="002C3753">
            <w:pPr>
              <w:rPr>
                <w:rFonts w:ascii="Times New Roman" w:eastAsia="Calibri" w:hAnsi="Times New Roman" w:cs="Times New Roman"/>
                <w:noProof/>
                <w:sz w:val="16"/>
                <w:szCs w:val="16"/>
                <w:lang w:val="en-GB"/>
              </w:rPr>
            </w:pPr>
          </w:p>
        </w:tc>
      </w:tr>
      <w:tr w:rsidR="002C3753" w:rsidRPr="002C3753" w:rsidTr="00497168">
        <w:trPr>
          <w:jc w:val="center"/>
        </w:trPr>
        <w:tc>
          <w:tcPr>
            <w:tcW w:w="2762" w:type="dxa"/>
            <w:gridSpan w:val="2"/>
            <w:vMerge/>
          </w:tcPr>
          <w:p w:rsidR="002C3753" w:rsidRPr="002C3753" w:rsidRDefault="002C3753" w:rsidP="002C3753">
            <w:pPr>
              <w:rPr>
                <w:rFonts w:ascii="Times New Roman" w:eastAsia="Calibri" w:hAnsi="Times New Roman" w:cs="Times New Roman"/>
                <w:noProof/>
                <w:sz w:val="16"/>
                <w:szCs w:val="16"/>
                <w:lang w:val="en-GB"/>
              </w:rPr>
            </w:pPr>
          </w:p>
        </w:tc>
        <w:tc>
          <w:tcPr>
            <w:tcW w:w="1984" w:type="dxa"/>
            <w:shd w:val="clear" w:color="auto" w:fill="7F7F7F" w:themeFill="text1" w:themeFillTint="80"/>
          </w:tcPr>
          <w:p w:rsidR="002C3753" w:rsidRPr="002C3753" w:rsidRDefault="002C3753" w:rsidP="002C3753">
            <w:pPr>
              <w:rPr>
                <w:rFonts w:ascii="Times New Roman" w:eastAsia="Calibri" w:hAnsi="Times New Roman" w:cs="Times New Roman"/>
                <w:noProof/>
                <w:sz w:val="16"/>
                <w:szCs w:val="16"/>
                <w:lang w:val="en-GB"/>
              </w:rPr>
            </w:pPr>
          </w:p>
        </w:tc>
        <w:tc>
          <w:tcPr>
            <w:tcW w:w="1134" w:type="dxa"/>
            <w:shd w:val="clear" w:color="auto" w:fill="7F7F7F" w:themeFill="text1" w:themeFillTint="80"/>
          </w:tcPr>
          <w:p w:rsidR="002C3753" w:rsidRPr="002C3753" w:rsidRDefault="002C3753" w:rsidP="002C3753">
            <w:pPr>
              <w:rPr>
                <w:rFonts w:ascii="Times New Roman" w:eastAsia="Calibri" w:hAnsi="Times New Roman" w:cs="Times New Roman"/>
                <w:noProof/>
                <w:sz w:val="16"/>
                <w:szCs w:val="16"/>
                <w:lang w:val="en-GB"/>
              </w:rPr>
            </w:pPr>
          </w:p>
        </w:tc>
        <w:tc>
          <w:tcPr>
            <w:tcW w:w="1418" w:type="dxa"/>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Outermost and northern sparsely populated regions</w:t>
            </w:r>
          </w:p>
        </w:tc>
        <w:tc>
          <w:tcPr>
            <w:tcW w:w="1134" w:type="dxa"/>
          </w:tcPr>
          <w:p w:rsidR="002C3753" w:rsidRPr="002C3753" w:rsidRDefault="002C3753" w:rsidP="002C3753">
            <w:pPr>
              <w:rPr>
                <w:rFonts w:ascii="Times New Roman" w:eastAsia="Calibri" w:hAnsi="Times New Roman" w:cs="Times New Roman"/>
                <w:noProof/>
                <w:sz w:val="16"/>
                <w:szCs w:val="16"/>
                <w:lang w:val="en-GB"/>
              </w:rPr>
            </w:pPr>
          </w:p>
        </w:tc>
        <w:tc>
          <w:tcPr>
            <w:tcW w:w="992" w:type="dxa"/>
          </w:tcPr>
          <w:p w:rsidR="002C3753" w:rsidRPr="002C3753" w:rsidRDefault="002C3753" w:rsidP="002C3753">
            <w:pPr>
              <w:rPr>
                <w:rFonts w:ascii="Times New Roman" w:eastAsia="Calibri" w:hAnsi="Times New Roman" w:cs="Times New Roman"/>
                <w:noProof/>
                <w:sz w:val="16"/>
                <w:szCs w:val="16"/>
                <w:lang w:val="en-GB"/>
              </w:rPr>
            </w:pPr>
          </w:p>
        </w:tc>
        <w:tc>
          <w:tcPr>
            <w:tcW w:w="709" w:type="dxa"/>
          </w:tcPr>
          <w:p w:rsidR="002C3753" w:rsidRPr="002C3753" w:rsidRDefault="002C3753" w:rsidP="002C3753">
            <w:pPr>
              <w:rPr>
                <w:rFonts w:ascii="Times New Roman" w:eastAsia="Calibri" w:hAnsi="Times New Roman" w:cs="Times New Roman"/>
                <w:noProof/>
                <w:sz w:val="16"/>
                <w:szCs w:val="16"/>
                <w:lang w:val="en-GB"/>
              </w:rPr>
            </w:pPr>
          </w:p>
        </w:tc>
        <w:tc>
          <w:tcPr>
            <w:tcW w:w="708" w:type="dxa"/>
          </w:tcPr>
          <w:p w:rsidR="002C3753" w:rsidRPr="002C3753" w:rsidRDefault="002C3753" w:rsidP="002C3753">
            <w:pPr>
              <w:rPr>
                <w:rFonts w:ascii="Times New Roman" w:eastAsia="Calibri" w:hAnsi="Times New Roman" w:cs="Times New Roman"/>
                <w:noProof/>
                <w:sz w:val="16"/>
                <w:szCs w:val="16"/>
                <w:lang w:val="en-GB"/>
              </w:rPr>
            </w:pPr>
          </w:p>
        </w:tc>
        <w:tc>
          <w:tcPr>
            <w:tcW w:w="851" w:type="dxa"/>
          </w:tcPr>
          <w:p w:rsidR="002C3753" w:rsidRPr="002C3753" w:rsidRDefault="002C3753" w:rsidP="002C3753">
            <w:pPr>
              <w:rPr>
                <w:rFonts w:ascii="Times New Roman" w:eastAsia="Calibri" w:hAnsi="Times New Roman" w:cs="Times New Roman"/>
                <w:noProof/>
                <w:sz w:val="16"/>
                <w:szCs w:val="16"/>
                <w:lang w:val="en-GB"/>
              </w:rPr>
            </w:pPr>
          </w:p>
        </w:tc>
        <w:tc>
          <w:tcPr>
            <w:tcW w:w="2447" w:type="dxa"/>
          </w:tcPr>
          <w:p w:rsidR="002C3753" w:rsidRPr="002C3753" w:rsidRDefault="002C3753" w:rsidP="002C3753">
            <w:pPr>
              <w:rPr>
                <w:rFonts w:ascii="Times New Roman" w:eastAsia="Calibri" w:hAnsi="Times New Roman" w:cs="Times New Roman"/>
                <w:noProof/>
                <w:sz w:val="16"/>
                <w:szCs w:val="16"/>
                <w:lang w:val="en-GB"/>
              </w:rPr>
            </w:pPr>
          </w:p>
        </w:tc>
      </w:tr>
      <w:tr w:rsidR="002C3753" w:rsidRPr="002C3753" w:rsidTr="00497168">
        <w:trPr>
          <w:jc w:val="center"/>
        </w:trPr>
        <w:tc>
          <w:tcPr>
            <w:tcW w:w="2762" w:type="dxa"/>
            <w:gridSpan w:val="2"/>
            <w:vMerge w:val="restart"/>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Total JTF</w:t>
            </w:r>
          </w:p>
          <w:p w:rsidR="002C3753" w:rsidRPr="002C3753" w:rsidRDefault="002C3753" w:rsidP="002C3753">
            <w:pPr>
              <w:rPr>
                <w:rFonts w:ascii="Times New Roman" w:eastAsia="Calibri" w:hAnsi="Times New Roman" w:cs="Times New Roman"/>
                <w:noProof/>
                <w:sz w:val="16"/>
                <w:szCs w:val="16"/>
                <w:lang w:val="en-GB"/>
              </w:rPr>
            </w:pPr>
          </w:p>
        </w:tc>
        <w:tc>
          <w:tcPr>
            <w:tcW w:w="1984" w:type="dxa"/>
            <w:shd w:val="clear" w:color="auto" w:fill="7F7F7F" w:themeFill="text1" w:themeFillTint="80"/>
          </w:tcPr>
          <w:p w:rsidR="002C3753" w:rsidRPr="002C3753" w:rsidRDefault="002C3753" w:rsidP="002C3753">
            <w:pPr>
              <w:rPr>
                <w:rFonts w:ascii="Times New Roman" w:eastAsia="Calibri" w:hAnsi="Times New Roman" w:cs="Times New Roman"/>
                <w:noProof/>
                <w:sz w:val="16"/>
                <w:szCs w:val="16"/>
                <w:lang w:val="en-GB"/>
              </w:rPr>
            </w:pPr>
          </w:p>
        </w:tc>
        <w:tc>
          <w:tcPr>
            <w:tcW w:w="1134" w:type="dxa"/>
            <w:shd w:val="clear" w:color="auto" w:fill="7F7F7F" w:themeFill="text1" w:themeFillTint="80"/>
          </w:tcPr>
          <w:p w:rsidR="002C3753" w:rsidRPr="002C3753" w:rsidRDefault="002C3753" w:rsidP="002C3753">
            <w:pPr>
              <w:rPr>
                <w:rFonts w:ascii="Times New Roman" w:eastAsia="Calibri" w:hAnsi="Times New Roman" w:cs="Times New Roman"/>
                <w:noProof/>
                <w:sz w:val="16"/>
                <w:szCs w:val="16"/>
                <w:lang w:val="en-GB"/>
              </w:rPr>
            </w:pPr>
          </w:p>
        </w:tc>
        <w:tc>
          <w:tcPr>
            <w:tcW w:w="1418" w:type="dxa"/>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More developed</w:t>
            </w:r>
          </w:p>
        </w:tc>
        <w:tc>
          <w:tcPr>
            <w:tcW w:w="1134" w:type="dxa"/>
          </w:tcPr>
          <w:p w:rsidR="002C3753" w:rsidRPr="002C3753" w:rsidRDefault="002C3753" w:rsidP="002C3753">
            <w:pPr>
              <w:rPr>
                <w:rFonts w:ascii="Times New Roman" w:eastAsia="Calibri" w:hAnsi="Times New Roman" w:cs="Times New Roman"/>
                <w:noProof/>
                <w:sz w:val="16"/>
                <w:szCs w:val="16"/>
                <w:lang w:val="en-GB"/>
              </w:rPr>
            </w:pPr>
          </w:p>
        </w:tc>
        <w:tc>
          <w:tcPr>
            <w:tcW w:w="992" w:type="dxa"/>
          </w:tcPr>
          <w:p w:rsidR="002C3753" w:rsidRPr="002C3753" w:rsidRDefault="002C3753" w:rsidP="002C3753">
            <w:pPr>
              <w:rPr>
                <w:rFonts w:ascii="Times New Roman" w:eastAsia="Calibri" w:hAnsi="Times New Roman" w:cs="Times New Roman"/>
                <w:noProof/>
                <w:sz w:val="16"/>
                <w:szCs w:val="16"/>
                <w:lang w:val="en-GB"/>
              </w:rPr>
            </w:pPr>
          </w:p>
        </w:tc>
        <w:tc>
          <w:tcPr>
            <w:tcW w:w="709" w:type="dxa"/>
          </w:tcPr>
          <w:p w:rsidR="002C3753" w:rsidRPr="002C3753" w:rsidRDefault="002C3753" w:rsidP="002C3753">
            <w:pPr>
              <w:rPr>
                <w:rFonts w:ascii="Times New Roman" w:eastAsia="Calibri" w:hAnsi="Times New Roman" w:cs="Times New Roman"/>
                <w:noProof/>
                <w:sz w:val="16"/>
                <w:szCs w:val="16"/>
                <w:lang w:val="en-GB"/>
              </w:rPr>
            </w:pPr>
          </w:p>
        </w:tc>
        <w:tc>
          <w:tcPr>
            <w:tcW w:w="708" w:type="dxa"/>
          </w:tcPr>
          <w:p w:rsidR="002C3753" w:rsidRPr="002C3753" w:rsidRDefault="002C3753" w:rsidP="002C3753">
            <w:pPr>
              <w:rPr>
                <w:rFonts w:ascii="Times New Roman" w:eastAsia="Calibri" w:hAnsi="Times New Roman" w:cs="Times New Roman"/>
                <w:noProof/>
                <w:sz w:val="16"/>
                <w:szCs w:val="16"/>
                <w:lang w:val="en-GB"/>
              </w:rPr>
            </w:pPr>
          </w:p>
        </w:tc>
        <w:tc>
          <w:tcPr>
            <w:tcW w:w="851" w:type="dxa"/>
          </w:tcPr>
          <w:p w:rsidR="002C3753" w:rsidRPr="002C3753" w:rsidRDefault="002C3753" w:rsidP="002C3753">
            <w:pPr>
              <w:rPr>
                <w:rFonts w:ascii="Times New Roman" w:eastAsia="Calibri" w:hAnsi="Times New Roman" w:cs="Times New Roman"/>
                <w:noProof/>
                <w:sz w:val="16"/>
                <w:szCs w:val="16"/>
                <w:lang w:val="en-GB"/>
              </w:rPr>
            </w:pPr>
          </w:p>
        </w:tc>
        <w:tc>
          <w:tcPr>
            <w:tcW w:w="2447" w:type="dxa"/>
          </w:tcPr>
          <w:p w:rsidR="002C3753" w:rsidRPr="002C3753" w:rsidRDefault="002C3753" w:rsidP="002C3753">
            <w:pPr>
              <w:rPr>
                <w:rFonts w:ascii="Times New Roman" w:eastAsia="Calibri" w:hAnsi="Times New Roman" w:cs="Times New Roman"/>
                <w:noProof/>
                <w:sz w:val="16"/>
                <w:szCs w:val="16"/>
                <w:lang w:val="en-GB"/>
              </w:rPr>
            </w:pPr>
          </w:p>
        </w:tc>
      </w:tr>
      <w:tr w:rsidR="002C3753" w:rsidRPr="002C3753" w:rsidTr="00497168">
        <w:trPr>
          <w:jc w:val="center"/>
        </w:trPr>
        <w:tc>
          <w:tcPr>
            <w:tcW w:w="2762" w:type="dxa"/>
            <w:gridSpan w:val="2"/>
            <w:vMerge/>
          </w:tcPr>
          <w:p w:rsidR="002C3753" w:rsidRPr="002C3753" w:rsidRDefault="002C3753" w:rsidP="002C3753">
            <w:pPr>
              <w:rPr>
                <w:rFonts w:ascii="Times New Roman" w:eastAsia="Calibri" w:hAnsi="Times New Roman" w:cs="Times New Roman"/>
                <w:noProof/>
                <w:sz w:val="16"/>
                <w:szCs w:val="16"/>
                <w:lang w:val="en-GB"/>
              </w:rPr>
            </w:pPr>
          </w:p>
        </w:tc>
        <w:tc>
          <w:tcPr>
            <w:tcW w:w="1984" w:type="dxa"/>
            <w:shd w:val="clear" w:color="auto" w:fill="7F7F7F" w:themeFill="text1" w:themeFillTint="80"/>
          </w:tcPr>
          <w:p w:rsidR="002C3753" w:rsidRPr="002C3753" w:rsidRDefault="002C3753" w:rsidP="002C3753">
            <w:pPr>
              <w:rPr>
                <w:rFonts w:ascii="Times New Roman" w:eastAsia="Calibri" w:hAnsi="Times New Roman" w:cs="Times New Roman"/>
                <w:noProof/>
                <w:sz w:val="16"/>
                <w:szCs w:val="16"/>
                <w:lang w:val="en-GB"/>
              </w:rPr>
            </w:pPr>
          </w:p>
        </w:tc>
        <w:tc>
          <w:tcPr>
            <w:tcW w:w="1134" w:type="dxa"/>
            <w:shd w:val="clear" w:color="auto" w:fill="7F7F7F" w:themeFill="text1" w:themeFillTint="80"/>
          </w:tcPr>
          <w:p w:rsidR="002C3753" w:rsidRPr="002C3753" w:rsidRDefault="002C3753" w:rsidP="002C3753">
            <w:pPr>
              <w:rPr>
                <w:rFonts w:ascii="Times New Roman" w:eastAsia="Calibri" w:hAnsi="Times New Roman" w:cs="Times New Roman"/>
                <w:noProof/>
                <w:sz w:val="16"/>
                <w:szCs w:val="16"/>
                <w:lang w:val="en-GB"/>
              </w:rPr>
            </w:pPr>
          </w:p>
        </w:tc>
        <w:tc>
          <w:tcPr>
            <w:tcW w:w="1418" w:type="dxa"/>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Transition</w:t>
            </w:r>
          </w:p>
        </w:tc>
        <w:tc>
          <w:tcPr>
            <w:tcW w:w="1134" w:type="dxa"/>
          </w:tcPr>
          <w:p w:rsidR="002C3753" w:rsidRPr="002C3753" w:rsidRDefault="002C3753" w:rsidP="002C3753">
            <w:pPr>
              <w:rPr>
                <w:rFonts w:ascii="Times New Roman" w:eastAsia="Calibri" w:hAnsi="Times New Roman" w:cs="Times New Roman"/>
                <w:noProof/>
                <w:sz w:val="16"/>
                <w:szCs w:val="16"/>
                <w:lang w:val="en-GB"/>
              </w:rPr>
            </w:pPr>
          </w:p>
        </w:tc>
        <w:tc>
          <w:tcPr>
            <w:tcW w:w="992" w:type="dxa"/>
          </w:tcPr>
          <w:p w:rsidR="002C3753" w:rsidRPr="002C3753" w:rsidRDefault="002C3753" w:rsidP="002C3753">
            <w:pPr>
              <w:rPr>
                <w:rFonts w:ascii="Times New Roman" w:eastAsia="Calibri" w:hAnsi="Times New Roman" w:cs="Times New Roman"/>
                <w:noProof/>
                <w:sz w:val="16"/>
                <w:szCs w:val="16"/>
                <w:lang w:val="en-GB"/>
              </w:rPr>
            </w:pPr>
          </w:p>
        </w:tc>
        <w:tc>
          <w:tcPr>
            <w:tcW w:w="709" w:type="dxa"/>
          </w:tcPr>
          <w:p w:rsidR="002C3753" w:rsidRPr="002C3753" w:rsidRDefault="002C3753" w:rsidP="002C3753">
            <w:pPr>
              <w:rPr>
                <w:rFonts w:ascii="Times New Roman" w:eastAsia="Calibri" w:hAnsi="Times New Roman" w:cs="Times New Roman"/>
                <w:noProof/>
                <w:sz w:val="16"/>
                <w:szCs w:val="16"/>
                <w:lang w:val="en-GB"/>
              </w:rPr>
            </w:pPr>
          </w:p>
        </w:tc>
        <w:tc>
          <w:tcPr>
            <w:tcW w:w="708" w:type="dxa"/>
          </w:tcPr>
          <w:p w:rsidR="002C3753" w:rsidRPr="002C3753" w:rsidRDefault="002C3753" w:rsidP="002C3753">
            <w:pPr>
              <w:rPr>
                <w:rFonts w:ascii="Times New Roman" w:eastAsia="Calibri" w:hAnsi="Times New Roman" w:cs="Times New Roman"/>
                <w:noProof/>
                <w:sz w:val="16"/>
                <w:szCs w:val="16"/>
                <w:lang w:val="en-GB"/>
              </w:rPr>
            </w:pPr>
          </w:p>
        </w:tc>
        <w:tc>
          <w:tcPr>
            <w:tcW w:w="851" w:type="dxa"/>
          </w:tcPr>
          <w:p w:rsidR="002C3753" w:rsidRPr="002C3753" w:rsidRDefault="002C3753" w:rsidP="002C3753">
            <w:pPr>
              <w:rPr>
                <w:rFonts w:ascii="Times New Roman" w:eastAsia="Calibri" w:hAnsi="Times New Roman" w:cs="Times New Roman"/>
                <w:noProof/>
                <w:sz w:val="16"/>
                <w:szCs w:val="16"/>
                <w:lang w:val="en-GB"/>
              </w:rPr>
            </w:pPr>
          </w:p>
        </w:tc>
        <w:tc>
          <w:tcPr>
            <w:tcW w:w="2447" w:type="dxa"/>
          </w:tcPr>
          <w:p w:rsidR="002C3753" w:rsidRPr="002C3753" w:rsidRDefault="002C3753" w:rsidP="002C3753">
            <w:pPr>
              <w:rPr>
                <w:rFonts w:ascii="Times New Roman" w:eastAsia="Calibri" w:hAnsi="Times New Roman" w:cs="Times New Roman"/>
                <w:noProof/>
                <w:sz w:val="16"/>
                <w:szCs w:val="16"/>
                <w:lang w:val="en-GB"/>
              </w:rPr>
            </w:pPr>
          </w:p>
        </w:tc>
      </w:tr>
      <w:tr w:rsidR="002C3753" w:rsidRPr="002C3753" w:rsidTr="00497168">
        <w:trPr>
          <w:jc w:val="center"/>
        </w:trPr>
        <w:tc>
          <w:tcPr>
            <w:tcW w:w="2762" w:type="dxa"/>
            <w:gridSpan w:val="2"/>
            <w:vMerge/>
          </w:tcPr>
          <w:p w:rsidR="002C3753" w:rsidRPr="002C3753" w:rsidRDefault="002C3753" w:rsidP="002C3753">
            <w:pPr>
              <w:rPr>
                <w:rFonts w:ascii="Times New Roman" w:eastAsia="Calibri" w:hAnsi="Times New Roman" w:cs="Times New Roman"/>
                <w:noProof/>
                <w:sz w:val="16"/>
                <w:szCs w:val="16"/>
                <w:lang w:val="en-GB"/>
              </w:rPr>
            </w:pPr>
          </w:p>
        </w:tc>
        <w:tc>
          <w:tcPr>
            <w:tcW w:w="1984" w:type="dxa"/>
            <w:shd w:val="clear" w:color="auto" w:fill="7F7F7F" w:themeFill="text1" w:themeFillTint="80"/>
          </w:tcPr>
          <w:p w:rsidR="002C3753" w:rsidRPr="002C3753" w:rsidRDefault="002C3753" w:rsidP="002C3753">
            <w:pPr>
              <w:rPr>
                <w:rFonts w:ascii="Times New Roman" w:eastAsia="Calibri" w:hAnsi="Times New Roman" w:cs="Times New Roman"/>
                <w:noProof/>
                <w:sz w:val="16"/>
                <w:szCs w:val="16"/>
                <w:lang w:val="en-GB"/>
              </w:rPr>
            </w:pPr>
          </w:p>
        </w:tc>
        <w:tc>
          <w:tcPr>
            <w:tcW w:w="1134" w:type="dxa"/>
            <w:shd w:val="clear" w:color="auto" w:fill="7F7F7F" w:themeFill="text1" w:themeFillTint="80"/>
          </w:tcPr>
          <w:p w:rsidR="002C3753" w:rsidRPr="002C3753" w:rsidRDefault="002C3753" w:rsidP="002C3753">
            <w:pPr>
              <w:rPr>
                <w:rFonts w:ascii="Times New Roman" w:eastAsia="Calibri" w:hAnsi="Times New Roman" w:cs="Times New Roman"/>
                <w:noProof/>
                <w:sz w:val="16"/>
                <w:szCs w:val="16"/>
                <w:lang w:val="en-GB"/>
              </w:rPr>
            </w:pPr>
          </w:p>
        </w:tc>
        <w:tc>
          <w:tcPr>
            <w:tcW w:w="1418" w:type="dxa"/>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Less developed</w:t>
            </w:r>
          </w:p>
        </w:tc>
        <w:tc>
          <w:tcPr>
            <w:tcW w:w="1134" w:type="dxa"/>
          </w:tcPr>
          <w:p w:rsidR="002C3753" w:rsidRPr="002C3753" w:rsidRDefault="002C3753" w:rsidP="002C3753">
            <w:pPr>
              <w:rPr>
                <w:rFonts w:ascii="Times New Roman" w:eastAsia="Calibri" w:hAnsi="Times New Roman" w:cs="Times New Roman"/>
                <w:noProof/>
                <w:sz w:val="16"/>
                <w:szCs w:val="16"/>
                <w:lang w:val="en-GB"/>
              </w:rPr>
            </w:pPr>
          </w:p>
        </w:tc>
        <w:tc>
          <w:tcPr>
            <w:tcW w:w="992" w:type="dxa"/>
          </w:tcPr>
          <w:p w:rsidR="002C3753" w:rsidRPr="002C3753" w:rsidRDefault="002C3753" w:rsidP="002C3753">
            <w:pPr>
              <w:rPr>
                <w:rFonts w:ascii="Times New Roman" w:eastAsia="Calibri" w:hAnsi="Times New Roman" w:cs="Times New Roman"/>
                <w:noProof/>
                <w:sz w:val="16"/>
                <w:szCs w:val="16"/>
                <w:lang w:val="en-GB"/>
              </w:rPr>
            </w:pPr>
          </w:p>
        </w:tc>
        <w:tc>
          <w:tcPr>
            <w:tcW w:w="709" w:type="dxa"/>
          </w:tcPr>
          <w:p w:rsidR="002C3753" w:rsidRPr="002C3753" w:rsidRDefault="002C3753" w:rsidP="002C3753">
            <w:pPr>
              <w:rPr>
                <w:rFonts w:ascii="Times New Roman" w:eastAsia="Calibri" w:hAnsi="Times New Roman" w:cs="Times New Roman"/>
                <w:noProof/>
                <w:sz w:val="16"/>
                <w:szCs w:val="16"/>
                <w:lang w:val="en-GB"/>
              </w:rPr>
            </w:pPr>
          </w:p>
        </w:tc>
        <w:tc>
          <w:tcPr>
            <w:tcW w:w="708" w:type="dxa"/>
          </w:tcPr>
          <w:p w:rsidR="002C3753" w:rsidRPr="002C3753" w:rsidRDefault="002C3753" w:rsidP="002C3753">
            <w:pPr>
              <w:rPr>
                <w:rFonts w:ascii="Times New Roman" w:eastAsia="Calibri" w:hAnsi="Times New Roman" w:cs="Times New Roman"/>
                <w:noProof/>
                <w:sz w:val="16"/>
                <w:szCs w:val="16"/>
                <w:lang w:val="en-GB"/>
              </w:rPr>
            </w:pPr>
          </w:p>
        </w:tc>
        <w:tc>
          <w:tcPr>
            <w:tcW w:w="851" w:type="dxa"/>
          </w:tcPr>
          <w:p w:rsidR="002C3753" w:rsidRPr="002C3753" w:rsidRDefault="002C3753" w:rsidP="002C3753">
            <w:pPr>
              <w:rPr>
                <w:rFonts w:ascii="Times New Roman" w:eastAsia="Calibri" w:hAnsi="Times New Roman" w:cs="Times New Roman"/>
                <w:noProof/>
                <w:sz w:val="16"/>
                <w:szCs w:val="16"/>
                <w:lang w:val="en-GB"/>
              </w:rPr>
            </w:pPr>
          </w:p>
        </w:tc>
        <w:tc>
          <w:tcPr>
            <w:tcW w:w="2447" w:type="dxa"/>
          </w:tcPr>
          <w:p w:rsidR="002C3753" w:rsidRPr="002C3753" w:rsidRDefault="002C3753" w:rsidP="002C3753">
            <w:pPr>
              <w:rPr>
                <w:rFonts w:ascii="Times New Roman" w:eastAsia="Calibri" w:hAnsi="Times New Roman" w:cs="Times New Roman"/>
                <w:noProof/>
                <w:sz w:val="16"/>
                <w:szCs w:val="16"/>
                <w:lang w:val="en-GB"/>
              </w:rPr>
            </w:pPr>
          </w:p>
        </w:tc>
      </w:tr>
      <w:tr w:rsidR="002C3753" w:rsidRPr="002C3753" w:rsidTr="00497168">
        <w:trPr>
          <w:gridAfter w:val="9"/>
          <w:wAfter w:w="11377" w:type="dxa"/>
          <w:trHeight w:val="230"/>
          <w:jc w:val="center"/>
        </w:trPr>
        <w:tc>
          <w:tcPr>
            <w:tcW w:w="2762" w:type="dxa"/>
            <w:gridSpan w:val="2"/>
            <w:vMerge/>
          </w:tcPr>
          <w:p w:rsidR="002C3753" w:rsidRPr="002C3753" w:rsidRDefault="002C3753" w:rsidP="002C3753">
            <w:pPr>
              <w:rPr>
                <w:rFonts w:ascii="Times New Roman" w:eastAsia="Calibri" w:hAnsi="Times New Roman" w:cs="Times New Roman"/>
                <w:noProof/>
                <w:sz w:val="16"/>
                <w:szCs w:val="16"/>
                <w:lang w:val="en-GB"/>
              </w:rPr>
            </w:pPr>
          </w:p>
        </w:tc>
      </w:tr>
      <w:tr w:rsidR="002C3753" w:rsidRPr="002C3753" w:rsidTr="00497168">
        <w:trPr>
          <w:jc w:val="center"/>
        </w:trPr>
        <w:tc>
          <w:tcPr>
            <w:tcW w:w="2762" w:type="dxa"/>
            <w:gridSpan w:val="2"/>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lastRenderedPageBreak/>
              <w:t>Total CF</w:t>
            </w:r>
          </w:p>
        </w:tc>
        <w:tc>
          <w:tcPr>
            <w:tcW w:w="1984" w:type="dxa"/>
            <w:tcBorders>
              <w:bottom w:val="single" w:sz="4" w:space="0" w:color="auto"/>
            </w:tcBorders>
            <w:shd w:val="clear" w:color="auto" w:fill="7F7F7F" w:themeFill="text1" w:themeFillTint="80"/>
          </w:tcPr>
          <w:p w:rsidR="002C3753" w:rsidRPr="002C3753" w:rsidRDefault="002C3753" w:rsidP="002C3753">
            <w:pPr>
              <w:rPr>
                <w:rFonts w:ascii="Times New Roman" w:eastAsia="Calibri" w:hAnsi="Times New Roman" w:cs="Times New Roman"/>
                <w:noProof/>
                <w:sz w:val="16"/>
                <w:szCs w:val="16"/>
                <w:lang w:val="en-GB"/>
              </w:rPr>
            </w:pPr>
          </w:p>
        </w:tc>
        <w:tc>
          <w:tcPr>
            <w:tcW w:w="1134" w:type="dxa"/>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N/A</w:t>
            </w:r>
          </w:p>
        </w:tc>
        <w:tc>
          <w:tcPr>
            <w:tcW w:w="1418" w:type="dxa"/>
          </w:tcPr>
          <w:p w:rsidR="002C3753" w:rsidRPr="002C3753" w:rsidRDefault="002C3753" w:rsidP="002C3753">
            <w:pPr>
              <w:rPr>
                <w:rFonts w:ascii="Times New Roman" w:eastAsia="Calibri" w:hAnsi="Times New Roman" w:cs="Times New Roman"/>
                <w:noProof/>
                <w:sz w:val="16"/>
                <w:szCs w:val="16"/>
                <w:lang w:val="en-GB"/>
              </w:rPr>
            </w:pPr>
          </w:p>
        </w:tc>
        <w:tc>
          <w:tcPr>
            <w:tcW w:w="1134" w:type="dxa"/>
          </w:tcPr>
          <w:p w:rsidR="002C3753" w:rsidRPr="002C3753" w:rsidRDefault="002C3753" w:rsidP="002C3753">
            <w:pPr>
              <w:rPr>
                <w:rFonts w:ascii="Times New Roman" w:eastAsia="Calibri" w:hAnsi="Times New Roman" w:cs="Times New Roman"/>
                <w:noProof/>
                <w:sz w:val="16"/>
                <w:szCs w:val="16"/>
                <w:lang w:val="en-GB"/>
              </w:rPr>
            </w:pPr>
          </w:p>
        </w:tc>
        <w:tc>
          <w:tcPr>
            <w:tcW w:w="992" w:type="dxa"/>
          </w:tcPr>
          <w:p w:rsidR="002C3753" w:rsidRPr="002C3753" w:rsidRDefault="002C3753" w:rsidP="002C3753">
            <w:pPr>
              <w:rPr>
                <w:rFonts w:ascii="Times New Roman" w:eastAsia="Calibri" w:hAnsi="Times New Roman" w:cs="Times New Roman"/>
                <w:noProof/>
                <w:sz w:val="16"/>
                <w:szCs w:val="16"/>
                <w:lang w:val="en-GB"/>
              </w:rPr>
            </w:pPr>
          </w:p>
        </w:tc>
        <w:tc>
          <w:tcPr>
            <w:tcW w:w="709" w:type="dxa"/>
          </w:tcPr>
          <w:p w:rsidR="002C3753" w:rsidRPr="002C3753" w:rsidRDefault="002C3753" w:rsidP="002C3753">
            <w:pPr>
              <w:rPr>
                <w:rFonts w:ascii="Times New Roman" w:eastAsia="Calibri" w:hAnsi="Times New Roman" w:cs="Times New Roman"/>
                <w:noProof/>
                <w:sz w:val="16"/>
                <w:szCs w:val="16"/>
                <w:lang w:val="en-GB"/>
              </w:rPr>
            </w:pPr>
          </w:p>
        </w:tc>
        <w:tc>
          <w:tcPr>
            <w:tcW w:w="708" w:type="dxa"/>
          </w:tcPr>
          <w:p w:rsidR="002C3753" w:rsidRPr="002C3753" w:rsidRDefault="002C3753" w:rsidP="002C3753">
            <w:pPr>
              <w:rPr>
                <w:rFonts w:ascii="Times New Roman" w:eastAsia="Calibri" w:hAnsi="Times New Roman" w:cs="Times New Roman"/>
                <w:noProof/>
                <w:sz w:val="16"/>
                <w:szCs w:val="16"/>
                <w:lang w:val="en-GB"/>
              </w:rPr>
            </w:pPr>
          </w:p>
        </w:tc>
        <w:tc>
          <w:tcPr>
            <w:tcW w:w="851" w:type="dxa"/>
          </w:tcPr>
          <w:p w:rsidR="002C3753" w:rsidRPr="002C3753" w:rsidRDefault="002C3753" w:rsidP="002C3753">
            <w:pPr>
              <w:rPr>
                <w:rFonts w:ascii="Times New Roman" w:eastAsia="Calibri" w:hAnsi="Times New Roman" w:cs="Times New Roman"/>
                <w:noProof/>
                <w:sz w:val="16"/>
                <w:szCs w:val="16"/>
                <w:lang w:val="en-GB"/>
              </w:rPr>
            </w:pPr>
          </w:p>
        </w:tc>
        <w:tc>
          <w:tcPr>
            <w:tcW w:w="2447" w:type="dxa"/>
          </w:tcPr>
          <w:p w:rsidR="002C3753" w:rsidRPr="002C3753" w:rsidRDefault="002C3753" w:rsidP="002C3753">
            <w:pPr>
              <w:rPr>
                <w:rFonts w:ascii="Times New Roman" w:eastAsia="Calibri" w:hAnsi="Times New Roman" w:cs="Times New Roman"/>
                <w:noProof/>
                <w:sz w:val="16"/>
                <w:szCs w:val="16"/>
                <w:lang w:val="en-GB"/>
              </w:rPr>
            </w:pPr>
          </w:p>
        </w:tc>
      </w:tr>
      <w:tr w:rsidR="002C3753" w:rsidRPr="002C3753" w:rsidTr="00497168">
        <w:trPr>
          <w:jc w:val="center"/>
        </w:trPr>
        <w:tc>
          <w:tcPr>
            <w:tcW w:w="2762" w:type="dxa"/>
            <w:gridSpan w:val="2"/>
          </w:tcPr>
          <w:p w:rsidR="002C3753" w:rsidRPr="002C3753" w:rsidRDefault="002C3753" w:rsidP="002C3753">
            <w:pPr>
              <w:rPr>
                <w:rFonts w:ascii="Times New Roman" w:eastAsia="Calibri" w:hAnsi="Times New Roman" w:cs="Times New Roman"/>
                <w:noProof/>
                <w:sz w:val="16"/>
                <w:szCs w:val="16"/>
                <w:lang w:val="en-GB"/>
              </w:rPr>
            </w:pPr>
            <w:r w:rsidRPr="002C3753">
              <w:rPr>
                <w:rFonts w:ascii="Times New Roman" w:eastAsia="Calibri" w:hAnsi="Times New Roman" w:cs="Times New Roman"/>
                <w:noProof/>
                <w:sz w:val="16"/>
                <w:szCs w:val="16"/>
                <w:lang w:val="en-GB"/>
              </w:rPr>
              <w:t>Grand total</w:t>
            </w:r>
          </w:p>
        </w:tc>
        <w:tc>
          <w:tcPr>
            <w:tcW w:w="1984" w:type="dxa"/>
            <w:shd w:val="clear" w:color="auto" w:fill="7F7F7F" w:themeFill="text1" w:themeFillTint="80"/>
          </w:tcPr>
          <w:p w:rsidR="002C3753" w:rsidRPr="002C3753" w:rsidRDefault="002C3753" w:rsidP="002C3753">
            <w:pPr>
              <w:rPr>
                <w:rFonts w:ascii="Times New Roman" w:eastAsia="Calibri" w:hAnsi="Times New Roman" w:cs="Times New Roman"/>
                <w:noProof/>
                <w:sz w:val="16"/>
                <w:szCs w:val="16"/>
                <w:lang w:val="en-GB"/>
              </w:rPr>
            </w:pPr>
          </w:p>
        </w:tc>
        <w:tc>
          <w:tcPr>
            <w:tcW w:w="1134" w:type="dxa"/>
          </w:tcPr>
          <w:p w:rsidR="002C3753" w:rsidRPr="002C3753" w:rsidRDefault="002C3753" w:rsidP="002C3753">
            <w:pPr>
              <w:rPr>
                <w:rFonts w:ascii="Times New Roman" w:eastAsia="Calibri" w:hAnsi="Times New Roman" w:cs="Times New Roman"/>
                <w:noProof/>
                <w:sz w:val="16"/>
                <w:szCs w:val="16"/>
                <w:lang w:val="en-GB"/>
              </w:rPr>
            </w:pPr>
          </w:p>
        </w:tc>
        <w:tc>
          <w:tcPr>
            <w:tcW w:w="1418" w:type="dxa"/>
          </w:tcPr>
          <w:p w:rsidR="002C3753" w:rsidRPr="002C3753" w:rsidRDefault="002C3753" w:rsidP="002C3753">
            <w:pPr>
              <w:rPr>
                <w:rFonts w:ascii="Times New Roman" w:eastAsia="Calibri" w:hAnsi="Times New Roman" w:cs="Times New Roman"/>
                <w:noProof/>
                <w:sz w:val="16"/>
                <w:szCs w:val="16"/>
                <w:lang w:val="en-GB"/>
              </w:rPr>
            </w:pPr>
          </w:p>
        </w:tc>
        <w:tc>
          <w:tcPr>
            <w:tcW w:w="1134" w:type="dxa"/>
          </w:tcPr>
          <w:p w:rsidR="002C3753" w:rsidRPr="002C3753" w:rsidRDefault="002C3753" w:rsidP="002C3753">
            <w:pPr>
              <w:rPr>
                <w:rFonts w:ascii="Times New Roman" w:eastAsia="Calibri" w:hAnsi="Times New Roman" w:cs="Times New Roman"/>
                <w:noProof/>
                <w:sz w:val="16"/>
                <w:szCs w:val="16"/>
                <w:lang w:val="en-GB"/>
              </w:rPr>
            </w:pPr>
          </w:p>
        </w:tc>
        <w:tc>
          <w:tcPr>
            <w:tcW w:w="992" w:type="dxa"/>
          </w:tcPr>
          <w:p w:rsidR="002C3753" w:rsidRPr="002C3753" w:rsidRDefault="002C3753" w:rsidP="002C3753">
            <w:pPr>
              <w:rPr>
                <w:rFonts w:ascii="Times New Roman" w:eastAsia="Calibri" w:hAnsi="Times New Roman" w:cs="Times New Roman"/>
                <w:noProof/>
                <w:sz w:val="16"/>
                <w:szCs w:val="16"/>
                <w:lang w:val="en-GB"/>
              </w:rPr>
            </w:pPr>
          </w:p>
        </w:tc>
        <w:tc>
          <w:tcPr>
            <w:tcW w:w="709" w:type="dxa"/>
          </w:tcPr>
          <w:p w:rsidR="002C3753" w:rsidRPr="002C3753" w:rsidRDefault="002C3753" w:rsidP="002C3753">
            <w:pPr>
              <w:rPr>
                <w:rFonts w:ascii="Times New Roman" w:eastAsia="Calibri" w:hAnsi="Times New Roman" w:cs="Times New Roman"/>
                <w:noProof/>
                <w:sz w:val="16"/>
                <w:szCs w:val="16"/>
                <w:lang w:val="en-GB"/>
              </w:rPr>
            </w:pPr>
          </w:p>
        </w:tc>
        <w:tc>
          <w:tcPr>
            <w:tcW w:w="708" w:type="dxa"/>
          </w:tcPr>
          <w:p w:rsidR="002C3753" w:rsidRPr="002C3753" w:rsidRDefault="002C3753" w:rsidP="002C3753">
            <w:pPr>
              <w:rPr>
                <w:rFonts w:ascii="Times New Roman" w:eastAsia="Calibri" w:hAnsi="Times New Roman" w:cs="Times New Roman"/>
                <w:noProof/>
                <w:sz w:val="16"/>
                <w:szCs w:val="16"/>
                <w:lang w:val="en-GB"/>
              </w:rPr>
            </w:pPr>
          </w:p>
        </w:tc>
        <w:tc>
          <w:tcPr>
            <w:tcW w:w="851" w:type="dxa"/>
          </w:tcPr>
          <w:p w:rsidR="002C3753" w:rsidRPr="002C3753" w:rsidRDefault="002C3753" w:rsidP="002C3753">
            <w:pPr>
              <w:rPr>
                <w:rFonts w:ascii="Times New Roman" w:eastAsia="Calibri" w:hAnsi="Times New Roman" w:cs="Times New Roman"/>
                <w:noProof/>
                <w:sz w:val="16"/>
                <w:szCs w:val="16"/>
                <w:lang w:val="en-GB"/>
              </w:rPr>
            </w:pPr>
          </w:p>
        </w:tc>
        <w:tc>
          <w:tcPr>
            <w:tcW w:w="2447" w:type="dxa"/>
          </w:tcPr>
          <w:p w:rsidR="002C3753" w:rsidRPr="002C3753" w:rsidRDefault="002C3753" w:rsidP="002C3753">
            <w:pPr>
              <w:rPr>
                <w:rFonts w:ascii="Times New Roman" w:eastAsia="Calibri" w:hAnsi="Times New Roman" w:cs="Times New Roman"/>
                <w:noProof/>
                <w:sz w:val="16"/>
                <w:szCs w:val="16"/>
                <w:lang w:val="en-GB"/>
              </w:rPr>
            </w:pPr>
          </w:p>
        </w:tc>
      </w:tr>
    </w:tbl>
    <w:p w:rsidR="002C3753" w:rsidRPr="002C3753" w:rsidRDefault="002C3753" w:rsidP="002C3753">
      <w:pPr>
        <w:spacing w:after="0"/>
        <w:rPr>
          <w:rFonts w:ascii="Times New Roman" w:hAnsi="Times New Roman" w:cs="Times New Roman"/>
          <w:noProof/>
          <w:sz w:val="16"/>
          <w:szCs w:val="16"/>
          <w:lang w:val="en-GB"/>
        </w:rPr>
      </w:pPr>
      <w:r w:rsidRPr="002C3753">
        <w:rPr>
          <w:rFonts w:ascii="Times New Roman" w:hAnsi="Times New Roman" w:cs="Times New Roman"/>
          <w:noProof/>
          <w:sz w:val="16"/>
          <w:szCs w:val="16"/>
          <w:lang w:val="en-GB"/>
        </w:rPr>
        <w:t>* Prior to the mid-term review in 2025 for the ERDF, the ESF+, the CF and the JTF, financial appropriations for the years 2021 to 2025 only.</w:t>
      </w:r>
    </w:p>
    <w:p w:rsidR="002C3753" w:rsidRPr="002C3753" w:rsidRDefault="002C3753" w:rsidP="002C3753">
      <w:pPr>
        <w:spacing w:after="0"/>
        <w:rPr>
          <w:rFonts w:ascii="Times New Roman" w:hAnsi="Times New Roman" w:cs="Times New Roman"/>
          <w:noProof/>
          <w:sz w:val="16"/>
          <w:szCs w:val="16"/>
          <w:lang w:val="en-GB"/>
        </w:rPr>
      </w:pPr>
      <w:r w:rsidRPr="002C3753">
        <w:rPr>
          <w:rFonts w:ascii="Times New Roman" w:hAnsi="Times New Roman" w:cs="Times New Roman"/>
          <w:noProof/>
          <w:sz w:val="16"/>
          <w:szCs w:val="16"/>
          <w:lang w:val="en-GB"/>
        </w:rPr>
        <w:t>**For ERDF: less developed, transition, more developed, and, where applicable special allocation for outermost and northern sparsely populated regions. For ESF+: less developed, transition, more developed and, where applicable, additional allocation for outermost and northern sparsely populated regions. For CF: not applicable. For technical assistance, application of categories of region depends on selection of a fund.</w:t>
      </w:r>
    </w:p>
    <w:p w:rsidR="002C3753" w:rsidRPr="002C3753" w:rsidRDefault="002C3753" w:rsidP="002C3753">
      <w:pPr>
        <w:spacing w:after="0"/>
        <w:rPr>
          <w:rFonts w:ascii="Times New Roman" w:hAnsi="Times New Roman" w:cs="Times New Roman"/>
          <w:noProof/>
          <w:sz w:val="16"/>
          <w:szCs w:val="16"/>
          <w:lang w:val="en-GB"/>
        </w:rPr>
      </w:pPr>
      <w:r w:rsidRPr="002C3753">
        <w:rPr>
          <w:rFonts w:ascii="Times New Roman" w:hAnsi="Times New Roman" w:cs="Times New Roman"/>
          <w:noProof/>
          <w:sz w:val="16"/>
          <w:szCs w:val="16"/>
          <w:lang w:val="en-GB"/>
        </w:rPr>
        <w:t>*** Where relevant for all categories of region.</w:t>
      </w:r>
    </w:p>
    <w:p w:rsidR="002C3753" w:rsidRPr="002C3753" w:rsidRDefault="002C3753" w:rsidP="002C3753">
      <w:pPr>
        <w:spacing w:after="0"/>
        <w:rPr>
          <w:rFonts w:ascii="Times New Roman" w:hAnsi="Times New Roman" w:cs="Times New Roman"/>
          <w:noProof/>
          <w:sz w:val="16"/>
          <w:szCs w:val="16"/>
          <w:lang w:val="en-GB"/>
        </w:rPr>
      </w:pPr>
      <w:r w:rsidRPr="002C3753">
        <w:rPr>
          <w:rFonts w:ascii="Times New Roman" w:hAnsi="Times New Roman" w:cs="Times New Roman"/>
          <w:noProof/>
          <w:sz w:val="16"/>
          <w:szCs w:val="16"/>
          <w:lang w:val="en-GB"/>
        </w:rPr>
        <w:t>**** Indicate the total JTF resources as a result of Table 18 (i.e. a JTF allocation and the complementary support transferred from the ERDF and the ESF+).</w:t>
      </w:r>
      <w:r w:rsidRPr="002C3753">
        <w:rPr>
          <w:rFonts w:ascii="Times New Roman" w:hAnsi="Times New Roman" w:cs="Times New Roman"/>
          <w:noProof/>
          <w:sz w:val="20"/>
          <w:szCs w:val="16"/>
          <w:lang w:val="en-GB"/>
        </w:rPr>
        <w:t>”</w:t>
      </w:r>
    </w:p>
    <w:p w:rsidR="002C3753" w:rsidRPr="002C3753" w:rsidRDefault="002C3753" w:rsidP="002C3753">
      <w:pPr>
        <w:rPr>
          <w:rFonts w:ascii="Times New Roman" w:hAnsi="Times New Roman" w:cs="Times New Roman"/>
          <w:noProof/>
          <w:sz w:val="24"/>
          <w:szCs w:val="24"/>
          <w:lang w:val="en-GB"/>
        </w:rPr>
        <w:sectPr w:rsidR="002C3753" w:rsidRPr="002C3753">
          <w:headerReference w:type="even" r:id="rId23"/>
          <w:headerReference w:type="default" r:id="rId24"/>
          <w:footerReference w:type="even" r:id="rId25"/>
          <w:footerReference w:type="default" r:id="rId26"/>
          <w:headerReference w:type="first" r:id="rId27"/>
          <w:footerReference w:type="first" r:id="rId28"/>
          <w:pgSz w:w="16838" w:h="11906" w:orient="landscape"/>
          <w:pgMar w:top="1417" w:right="1417" w:bottom="1417" w:left="1417" w:header="708" w:footer="708" w:gutter="0"/>
          <w:cols w:space="720"/>
          <w:docGrid w:linePitch="360"/>
        </w:sectPr>
      </w:pPr>
    </w:p>
    <w:p w:rsidR="001A17A2" w:rsidRPr="001A17A2" w:rsidRDefault="001A17A2" w:rsidP="001A17A2">
      <w:pPr>
        <w:spacing w:before="120" w:after="120" w:line="360" w:lineRule="auto"/>
        <w:rPr>
          <w:rFonts w:ascii="Times New Roman" w:hAnsi="Times New Roman" w:cs="Times New Roman"/>
          <w:b/>
          <w:bCs/>
          <w:noProof/>
          <w:sz w:val="24"/>
          <w:lang w:val="en-GB"/>
        </w:rPr>
      </w:pPr>
      <w:r w:rsidRPr="001A17A2">
        <w:rPr>
          <w:rFonts w:ascii="Times New Roman" w:hAnsi="Times New Roman" w:cs="Times New Roman"/>
          <w:b/>
          <w:bCs/>
          <w:noProof/>
          <w:sz w:val="24"/>
          <w:lang w:val="en-GB"/>
        </w:rPr>
        <w:lastRenderedPageBreak/>
        <w:t>4.</w:t>
      </w:r>
      <w:r w:rsidRPr="001A17A2">
        <w:rPr>
          <w:rFonts w:ascii="Times New Roman" w:hAnsi="Times New Roman" w:cs="Times New Roman"/>
          <w:b/>
          <w:bCs/>
          <w:noProof/>
          <w:sz w:val="24"/>
          <w:lang w:val="en-GB"/>
        </w:rPr>
        <w:tab/>
        <w:t>Enabling conditions</w:t>
      </w:r>
    </w:p>
    <w:p w:rsidR="001A17A2" w:rsidRPr="001A17A2" w:rsidRDefault="001A17A2" w:rsidP="001A17A2">
      <w:pPr>
        <w:spacing w:before="120" w:after="120" w:line="360" w:lineRule="auto"/>
        <w:rPr>
          <w:rFonts w:ascii="Times New Roman" w:eastAsia="Times New Roman" w:hAnsi="Times New Roman" w:cs="Times New Roman"/>
          <w:b/>
          <w:i/>
          <w:iCs/>
          <w:noProof/>
          <w:sz w:val="24"/>
          <w:szCs w:val="24"/>
          <w:lang w:val="en-GB"/>
        </w:rPr>
      </w:pPr>
      <w:r w:rsidRPr="001A17A2">
        <w:rPr>
          <w:rFonts w:ascii="Times New Roman" w:eastAsia="Times New Roman" w:hAnsi="Times New Roman" w:cs="Times New Roman"/>
          <w:i/>
          <w:noProof/>
          <w:sz w:val="24"/>
          <w:szCs w:val="24"/>
          <w:lang w:val="en-GB"/>
        </w:rPr>
        <w:t>Reference: Article 17(3)(h)CPR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0"/>
        <w:gridCol w:w="716"/>
        <w:gridCol w:w="1409"/>
        <w:gridCol w:w="1095"/>
        <w:gridCol w:w="1756"/>
        <w:gridCol w:w="1095"/>
        <w:gridCol w:w="1117"/>
        <w:gridCol w:w="1247"/>
      </w:tblGrid>
      <w:tr w:rsidR="001A17A2" w:rsidRPr="001A17A2" w:rsidTr="004B0EE3">
        <w:tc>
          <w:tcPr>
            <w:tcW w:w="9629" w:type="dxa"/>
            <w:gridSpan w:val="8"/>
            <w:tcBorders>
              <w:top w:val="single" w:sz="4" w:space="0" w:color="auto"/>
              <w:left w:val="single" w:sz="4" w:space="0" w:color="auto"/>
              <w:bottom w:val="single" w:sz="4" w:space="0" w:color="auto"/>
              <w:right w:val="single" w:sz="4" w:space="0" w:color="auto"/>
            </w:tcBorders>
            <w:hideMark/>
          </w:tcPr>
          <w:p w:rsidR="001A17A2" w:rsidRPr="001A17A2" w:rsidRDefault="001A17A2" w:rsidP="001A17A2">
            <w:pPr>
              <w:spacing w:before="120" w:after="120"/>
              <w:rPr>
                <w:rFonts w:ascii="Times New Roman" w:eastAsia="Times New Roman" w:hAnsi="Times New Roman" w:cs="Times New Roman"/>
                <w:b/>
                <w:iCs/>
                <w:noProof/>
                <w:sz w:val="20"/>
                <w:lang w:val="en-US"/>
              </w:rPr>
            </w:pPr>
            <w:r w:rsidRPr="001A17A2">
              <w:rPr>
                <w:rFonts w:ascii="Times New Roman" w:eastAsia="Times New Roman" w:hAnsi="Times New Roman" w:cs="Times New Roman"/>
                <w:b/>
                <w:iCs/>
                <w:noProof/>
                <w:sz w:val="20"/>
                <w:lang w:val="en-US"/>
              </w:rPr>
              <w:t>Table 12: Enabling conditions</w:t>
            </w:r>
          </w:p>
        </w:tc>
      </w:tr>
      <w:tr w:rsidR="001A17A2" w:rsidRPr="001A17A2" w:rsidTr="004B0EE3">
        <w:tc>
          <w:tcPr>
            <w:tcW w:w="1375" w:type="dxa"/>
            <w:tcBorders>
              <w:top w:val="single" w:sz="4" w:space="0" w:color="auto"/>
              <w:left w:val="single" w:sz="4" w:space="0" w:color="auto"/>
              <w:bottom w:val="single" w:sz="4" w:space="0" w:color="auto"/>
              <w:right w:val="single" w:sz="4" w:space="0" w:color="auto"/>
            </w:tcBorders>
            <w:hideMark/>
          </w:tcPr>
          <w:p w:rsidR="001A17A2" w:rsidRPr="001A17A2" w:rsidRDefault="001A17A2" w:rsidP="001A17A2">
            <w:pPr>
              <w:spacing w:before="120" w:after="120"/>
              <w:rPr>
                <w:rFonts w:ascii="Times New Roman" w:eastAsia="Times New Roman" w:hAnsi="Times New Roman" w:cs="Times New Roman"/>
                <w:b/>
                <w:iCs/>
                <w:noProof/>
                <w:sz w:val="20"/>
                <w:lang w:val="en-US"/>
              </w:rPr>
            </w:pPr>
            <w:r w:rsidRPr="001A17A2">
              <w:rPr>
                <w:rFonts w:ascii="Times New Roman" w:eastAsia="Times New Roman" w:hAnsi="Times New Roman" w:cs="Times New Roman"/>
                <w:b/>
                <w:iCs/>
                <w:noProof/>
                <w:sz w:val="20"/>
                <w:lang w:val="en-US"/>
              </w:rPr>
              <w:t>Enabling conditions</w:t>
            </w:r>
          </w:p>
        </w:tc>
        <w:tc>
          <w:tcPr>
            <w:tcW w:w="698" w:type="dxa"/>
            <w:tcBorders>
              <w:top w:val="single" w:sz="4" w:space="0" w:color="auto"/>
              <w:left w:val="single" w:sz="4" w:space="0" w:color="auto"/>
              <w:bottom w:val="single" w:sz="4" w:space="0" w:color="auto"/>
              <w:right w:val="single" w:sz="4" w:space="0" w:color="auto"/>
            </w:tcBorders>
            <w:hideMark/>
          </w:tcPr>
          <w:p w:rsidR="001A17A2" w:rsidRPr="001A17A2" w:rsidRDefault="001A17A2" w:rsidP="001A17A2">
            <w:pPr>
              <w:spacing w:before="120" w:after="120"/>
              <w:rPr>
                <w:rFonts w:ascii="Times New Roman" w:eastAsia="Times New Roman" w:hAnsi="Times New Roman" w:cs="Times New Roman"/>
                <w:b/>
                <w:iCs/>
                <w:noProof/>
                <w:sz w:val="20"/>
                <w:lang w:val="en-US"/>
              </w:rPr>
            </w:pPr>
            <w:r w:rsidRPr="001A17A2">
              <w:rPr>
                <w:rFonts w:ascii="Times New Roman" w:eastAsia="Times New Roman" w:hAnsi="Times New Roman" w:cs="Times New Roman"/>
                <w:b/>
                <w:iCs/>
                <w:noProof/>
                <w:sz w:val="20"/>
                <w:lang w:val="en-US"/>
              </w:rPr>
              <w:t>Fund</w:t>
            </w:r>
          </w:p>
        </w:tc>
        <w:tc>
          <w:tcPr>
            <w:tcW w:w="1366" w:type="dxa"/>
            <w:tcBorders>
              <w:top w:val="single" w:sz="4" w:space="0" w:color="auto"/>
              <w:left w:val="single" w:sz="4" w:space="0" w:color="auto"/>
              <w:bottom w:val="single" w:sz="4" w:space="0" w:color="auto"/>
              <w:right w:val="single" w:sz="4" w:space="0" w:color="auto"/>
            </w:tcBorders>
            <w:hideMark/>
          </w:tcPr>
          <w:p w:rsidR="001A17A2" w:rsidRPr="001A17A2" w:rsidRDefault="001A17A2" w:rsidP="001A17A2">
            <w:pPr>
              <w:spacing w:before="120" w:after="120"/>
              <w:rPr>
                <w:rFonts w:ascii="Times New Roman" w:eastAsia="Times New Roman" w:hAnsi="Times New Roman" w:cs="Times New Roman"/>
                <w:b/>
                <w:iCs/>
                <w:noProof/>
                <w:sz w:val="20"/>
                <w:lang w:val="en-US"/>
              </w:rPr>
            </w:pPr>
            <w:r w:rsidRPr="001A17A2">
              <w:rPr>
                <w:rFonts w:ascii="Times New Roman" w:eastAsia="Times New Roman" w:hAnsi="Times New Roman" w:cs="Times New Roman"/>
                <w:b/>
                <w:iCs/>
                <w:noProof/>
                <w:sz w:val="20"/>
                <w:lang w:val="en-US"/>
              </w:rPr>
              <w:t>Selected specific objective</w:t>
            </w:r>
          </w:p>
          <w:p w:rsidR="001A17A2" w:rsidRPr="001A17A2" w:rsidRDefault="001A17A2" w:rsidP="001A17A2">
            <w:pPr>
              <w:spacing w:before="120" w:after="120"/>
              <w:rPr>
                <w:rFonts w:ascii="Times New Roman" w:eastAsia="Times New Roman" w:hAnsi="Times New Roman" w:cs="Times New Roman"/>
                <w:bCs/>
                <w:iCs/>
                <w:noProof/>
                <w:sz w:val="20"/>
                <w:lang w:val="en-US"/>
              </w:rPr>
            </w:pPr>
            <w:r w:rsidRPr="001A17A2">
              <w:rPr>
                <w:rFonts w:ascii="Times New Roman" w:eastAsia="Times New Roman" w:hAnsi="Times New Roman" w:cs="Times New Roman"/>
                <w:bCs/>
                <w:iCs/>
                <w:noProof/>
                <w:sz w:val="20"/>
                <w:lang w:val="en-US"/>
              </w:rPr>
              <w:t>(N/A to the EMFF)</w:t>
            </w:r>
          </w:p>
        </w:tc>
        <w:tc>
          <w:tcPr>
            <w:tcW w:w="1063" w:type="dxa"/>
            <w:tcBorders>
              <w:top w:val="single" w:sz="4" w:space="0" w:color="auto"/>
              <w:left w:val="single" w:sz="4" w:space="0" w:color="auto"/>
              <w:bottom w:val="single" w:sz="4" w:space="0" w:color="auto"/>
              <w:right w:val="single" w:sz="4" w:space="0" w:color="auto"/>
            </w:tcBorders>
            <w:hideMark/>
          </w:tcPr>
          <w:p w:rsidR="001A17A2" w:rsidRPr="001A17A2" w:rsidRDefault="001A17A2" w:rsidP="001A17A2">
            <w:pPr>
              <w:spacing w:before="120" w:after="120"/>
              <w:rPr>
                <w:rFonts w:ascii="Times New Roman" w:eastAsia="Times New Roman" w:hAnsi="Times New Roman" w:cs="Times New Roman"/>
                <w:b/>
                <w:iCs/>
                <w:noProof/>
                <w:sz w:val="20"/>
                <w:lang w:val="en-US"/>
              </w:rPr>
            </w:pPr>
            <w:r w:rsidRPr="001A17A2">
              <w:rPr>
                <w:rFonts w:ascii="Times New Roman" w:eastAsia="Times New Roman" w:hAnsi="Times New Roman" w:cs="Times New Roman"/>
                <w:b/>
                <w:iCs/>
                <w:noProof/>
                <w:sz w:val="20"/>
                <w:lang w:val="en-US"/>
              </w:rPr>
              <w:t>Fulfilment of enabling condition</w:t>
            </w:r>
          </w:p>
        </w:tc>
        <w:tc>
          <w:tcPr>
            <w:tcW w:w="1769" w:type="dxa"/>
            <w:tcBorders>
              <w:top w:val="single" w:sz="4" w:space="0" w:color="auto"/>
              <w:left w:val="single" w:sz="4" w:space="0" w:color="auto"/>
              <w:bottom w:val="single" w:sz="4" w:space="0" w:color="auto"/>
              <w:right w:val="single" w:sz="4" w:space="0" w:color="auto"/>
            </w:tcBorders>
            <w:hideMark/>
          </w:tcPr>
          <w:p w:rsidR="001A17A2" w:rsidRPr="001A17A2" w:rsidRDefault="001A17A2" w:rsidP="001A17A2">
            <w:pPr>
              <w:spacing w:before="120" w:after="120"/>
              <w:rPr>
                <w:rFonts w:ascii="Times New Roman" w:eastAsia="Times New Roman" w:hAnsi="Times New Roman" w:cs="Times New Roman"/>
                <w:b/>
                <w:iCs/>
                <w:noProof/>
                <w:sz w:val="20"/>
                <w:lang w:val="en-US"/>
              </w:rPr>
            </w:pPr>
            <w:r w:rsidRPr="001A17A2">
              <w:rPr>
                <w:rFonts w:ascii="Times New Roman" w:eastAsia="Times New Roman" w:hAnsi="Times New Roman" w:cs="Times New Roman"/>
                <w:b/>
                <w:iCs/>
                <w:noProof/>
                <w:sz w:val="20"/>
                <w:lang w:val="en-US"/>
              </w:rPr>
              <w:t xml:space="preserve">Criteria </w:t>
            </w:r>
          </w:p>
        </w:tc>
        <w:tc>
          <w:tcPr>
            <w:tcW w:w="1063" w:type="dxa"/>
            <w:tcBorders>
              <w:top w:val="single" w:sz="4" w:space="0" w:color="auto"/>
              <w:left w:val="single" w:sz="4" w:space="0" w:color="auto"/>
              <w:bottom w:val="single" w:sz="4" w:space="0" w:color="auto"/>
              <w:right w:val="single" w:sz="4" w:space="0" w:color="auto"/>
            </w:tcBorders>
            <w:hideMark/>
          </w:tcPr>
          <w:p w:rsidR="001A17A2" w:rsidRPr="001A17A2" w:rsidRDefault="001A17A2" w:rsidP="001A17A2">
            <w:pPr>
              <w:spacing w:before="120" w:after="120"/>
              <w:rPr>
                <w:rFonts w:ascii="Times New Roman" w:eastAsia="Times New Roman" w:hAnsi="Times New Roman" w:cs="Times New Roman"/>
                <w:b/>
                <w:iCs/>
                <w:noProof/>
                <w:sz w:val="20"/>
                <w:lang w:val="en-US"/>
              </w:rPr>
            </w:pPr>
            <w:r w:rsidRPr="001A17A2">
              <w:rPr>
                <w:rFonts w:ascii="Times New Roman" w:eastAsia="Times New Roman" w:hAnsi="Times New Roman" w:cs="Times New Roman"/>
                <w:b/>
                <w:iCs/>
                <w:noProof/>
                <w:sz w:val="20"/>
                <w:lang w:val="en-US"/>
              </w:rPr>
              <w:t>Fulfilment of criteria</w:t>
            </w:r>
          </w:p>
        </w:tc>
        <w:tc>
          <w:tcPr>
            <w:tcW w:w="1085" w:type="dxa"/>
            <w:tcBorders>
              <w:top w:val="single" w:sz="4" w:space="0" w:color="auto"/>
              <w:left w:val="single" w:sz="4" w:space="0" w:color="auto"/>
              <w:bottom w:val="single" w:sz="4" w:space="0" w:color="auto"/>
              <w:right w:val="single" w:sz="4" w:space="0" w:color="auto"/>
            </w:tcBorders>
            <w:hideMark/>
          </w:tcPr>
          <w:p w:rsidR="001A17A2" w:rsidRPr="001A17A2" w:rsidRDefault="001A17A2" w:rsidP="001A17A2">
            <w:pPr>
              <w:spacing w:before="120" w:after="120"/>
              <w:rPr>
                <w:rFonts w:ascii="Times New Roman" w:eastAsia="Times New Roman" w:hAnsi="Times New Roman" w:cs="Times New Roman"/>
                <w:b/>
                <w:iCs/>
                <w:noProof/>
                <w:sz w:val="20"/>
                <w:lang w:val="en-US"/>
              </w:rPr>
            </w:pPr>
            <w:r w:rsidRPr="001A17A2">
              <w:rPr>
                <w:rFonts w:ascii="Times New Roman" w:eastAsia="Times New Roman" w:hAnsi="Times New Roman" w:cs="Times New Roman"/>
                <w:b/>
                <w:iCs/>
                <w:noProof/>
                <w:sz w:val="20"/>
                <w:lang w:val="en-US"/>
              </w:rPr>
              <w:t xml:space="preserve">Reference to relevant documents </w:t>
            </w:r>
          </w:p>
        </w:tc>
        <w:tc>
          <w:tcPr>
            <w:tcW w:w="1210" w:type="dxa"/>
            <w:tcBorders>
              <w:top w:val="single" w:sz="4" w:space="0" w:color="auto"/>
              <w:left w:val="single" w:sz="4" w:space="0" w:color="auto"/>
              <w:bottom w:val="single" w:sz="4" w:space="0" w:color="auto"/>
              <w:right w:val="single" w:sz="4" w:space="0" w:color="auto"/>
            </w:tcBorders>
            <w:hideMark/>
          </w:tcPr>
          <w:p w:rsidR="001A17A2" w:rsidRPr="001A17A2" w:rsidRDefault="001A17A2" w:rsidP="001A17A2">
            <w:pPr>
              <w:spacing w:before="120" w:after="120"/>
              <w:rPr>
                <w:rFonts w:ascii="Times New Roman" w:eastAsia="Times New Roman" w:hAnsi="Times New Roman" w:cs="Times New Roman"/>
                <w:b/>
                <w:iCs/>
                <w:noProof/>
                <w:sz w:val="20"/>
                <w:lang w:val="en-US"/>
              </w:rPr>
            </w:pPr>
            <w:r w:rsidRPr="001A17A2">
              <w:rPr>
                <w:rFonts w:ascii="Times New Roman" w:eastAsia="Times New Roman" w:hAnsi="Times New Roman" w:cs="Times New Roman"/>
                <w:b/>
                <w:iCs/>
                <w:noProof/>
                <w:sz w:val="20"/>
                <w:lang w:val="en-US"/>
              </w:rPr>
              <w:t xml:space="preserve">Justification </w:t>
            </w:r>
          </w:p>
        </w:tc>
      </w:tr>
      <w:tr w:rsidR="0014507E" w:rsidRPr="001A17A2" w:rsidTr="004B0EE3">
        <w:tc>
          <w:tcPr>
            <w:tcW w:w="1375" w:type="dxa"/>
            <w:tcBorders>
              <w:top w:val="single" w:sz="4" w:space="0" w:color="auto"/>
              <w:left w:val="single" w:sz="4" w:space="0" w:color="auto"/>
              <w:bottom w:val="single" w:sz="4" w:space="0" w:color="auto"/>
              <w:right w:val="single" w:sz="4" w:space="0" w:color="auto"/>
            </w:tcBorders>
          </w:tcPr>
          <w:p w:rsidR="0014507E" w:rsidRPr="00AE688A" w:rsidRDefault="0014507E" w:rsidP="0014507E">
            <w:pPr>
              <w:spacing w:before="120" w:after="120"/>
              <w:rPr>
                <w:rFonts w:ascii="Times New Roman" w:eastAsia="Times New Roman" w:hAnsi="Times New Roman" w:cs="Times New Roman"/>
                <w:iCs/>
                <w:noProof/>
                <w:sz w:val="20"/>
                <w:lang w:val="fr-FR"/>
              </w:rPr>
            </w:pPr>
            <w:r w:rsidRPr="00AE688A">
              <w:rPr>
                <w:rFonts w:ascii="Times New Roman" w:eastAsia="Times New Roman" w:hAnsi="Times New Roman" w:cs="Times New Roman"/>
                <w:iCs/>
                <w:noProof/>
                <w:sz w:val="20"/>
                <w:lang w:val="fr-FR"/>
              </w:rPr>
              <w:t>Buna guvernanță a strategiei naționale sau regionale de specializare inteligentă</w:t>
            </w:r>
          </w:p>
        </w:tc>
        <w:tc>
          <w:tcPr>
            <w:tcW w:w="698" w:type="dxa"/>
            <w:tcBorders>
              <w:top w:val="single" w:sz="4" w:space="0" w:color="auto"/>
              <w:left w:val="single" w:sz="4" w:space="0" w:color="auto"/>
              <w:bottom w:val="single" w:sz="4" w:space="0" w:color="auto"/>
              <w:right w:val="single" w:sz="4" w:space="0" w:color="auto"/>
            </w:tcBorders>
          </w:tcPr>
          <w:p w:rsidR="0014507E" w:rsidRPr="00AE688A" w:rsidRDefault="0014507E" w:rsidP="0014507E">
            <w:pPr>
              <w:spacing w:before="120" w:after="120"/>
              <w:rPr>
                <w:rFonts w:ascii="Times New Roman" w:eastAsia="Times New Roman" w:hAnsi="Times New Roman" w:cs="Times New Roman"/>
                <w:iCs/>
                <w:noProof/>
                <w:sz w:val="20"/>
                <w:lang w:val="fr-FR"/>
              </w:rPr>
            </w:pPr>
            <w:r>
              <w:rPr>
                <w:rFonts w:ascii="Times New Roman" w:eastAsia="Times New Roman" w:hAnsi="Times New Roman" w:cs="Times New Roman"/>
                <w:iCs/>
                <w:noProof/>
                <w:sz w:val="20"/>
                <w:lang w:val="fr-FR"/>
              </w:rPr>
              <w:t>FEDR</w:t>
            </w:r>
          </w:p>
        </w:tc>
        <w:tc>
          <w:tcPr>
            <w:tcW w:w="1366" w:type="dxa"/>
            <w:tcBorders>
              <w:top w:val="single" w:sz="4" w:space="0" w:color="auto"/>
              <w:left w:val="single" w:sz="4" w:space="0" w:color="auto"/>
              <w:bottom w:val="single" w:sz="4" w:space="0" w:color="auto"/>
              <w:right w:val="single" w:sz="4" w:space="0" w:color="auto"/>
            </w:tcBorders>
          </w:tcPr>
          <w:p w:rsidR="0014507E" w:rsidRPr="00AE688A" w:rsidRDefault="0014507E" w:rsidP="0014507E">
            <w:pPr>
              <w:spacing w:after="0" w:line="240" w:lineRule="auto"/>
              <w:rPr>
                <w:rFonts w:ascii="Times New Roman" w:eastAsia="Times New Roman" w:hAnsi="Times New Roman" w:cs="Times New Roman"/>
                <w:iCs/>
                <w:noProof/>
                <w:sz w:val="20"/>
                <w:lang w:val="fr-FR"/>
              </w:rPr>
            </w:pPr>
            <w:r w:rsidRPr="00AE688A">
              <w:rPr>
                <w:rFonts w:ascii="Times New Roman" w:eastAsia="Times New Roman" w:hAnsi="Times New Roman" w:cs="Times New Roman"/>
                <w:iCs/>
                <w:noProof/>
                <w:sz w:val="20"/>
                <w:lang w:val="fr-FR"/>
              </w:rPr>
              <w:t>(i) Dezvoltarea capacităților de cercetare și inovare și adoptarea tehnologiilor avansate</w:t>
            </w:r>
          </w:p>
          <w:p w:rsidR="0014507E" w:rsidRPr="00402952" w:rsidRDefault="0014507E" w:rsidP="0014507E">
            <w:pPr>
              <w:spacing w:after="0" w:line="240" w:lineRule="auto"/>
              <w:rPr>
                <w:rFonts w:ascii="Times New Roman" w:eastAsia="Times New Roman" w:hAnsi="Times New Roman" w:cs="Times New Roman"/>
                <w:iCs/>
                <w:noProof/>
                <w:sz w:val="20"/>
                <w:lang w:val="fr-FR"/>
              </w:rPr>
            </w:pPr>
            <w:r w:rsidRPr="00402952">
              <w:rPr>
                <w:rFonts w:ascii="Times New Roman" w:eastAsia="Times New Roman" w:hAnsi="Times New Roman" w:cs="Times New Roman"/>
                <w:iCs/>
                <w:noProof/>
                <w:sz w:val="20"/>
                <w:lang w:val="fr-FR"/>
              </w:rPr>
              <w:t>(ii) Fructificarea avantajelor digitalizării, în beneficiul cetățenilor, al companiilor și al guvernelor</w:t>
            </w:r>
          </w:p>
          <w:p w:rsidR="0014507E" w:rsidRPr="00402952" w:rsidRDefault="0014507E" w:rsidP="0014507E">
            <w:pPr>
              <w:spacing w:after="0" w:line="240" w:lineRule="auto"/>
              <w:rPr>
                <w:rFonts w:ascii="Times New Roman" w:eastAsia="Times New Roman" w:hAnsi="Times New Roman" w:cs="Times New Roman"/>
                <w:iCs/>
                <w:noProof/>
                <w:sz w:val="20"/>
                <w:lang w:val="fr-FR"/>
              </w:rPr>
            </w:pPr>
            <w:r w:rsidRPr="00402952">
              <w:rPr>
                <w:rFonts w:ascii="Times New Roman" w:eastAsia="Times New Roman" w:hAnsi="Times New Roman" w:cs="Times New Roman"/>
                <w:iCs/>
                <w:noProof/>
                <w:sz w:val="20"/>
                <w:lang w:val="fr-FR"/>
              </w:rPr>
              <w:t>(iii) Impulsionarea creșterii și competitivității IMM-urilor</w:t>
            </w:r>
          </w:p>
          <w:p w:rsidR="0014507E" w:rsidRPr="00402952" w:rsidRDefault="0014507E" w:rsidP="0014507E">
            <w:pPr>
              <w:spacing w:after="0" w:line="240" w:lineRule="auto"/>
              <w:rPr>
                <w:rFonts w:ascii="Times New Roman" w:eastAsia="Times New Roman" w:hAnsi="Times New Roman" w:cs="Times New Roman"/>
                <w:iCs/>
                <w:noProof/>
                <w:sz w:val="20"/>
                <w:lang w:val="fr-FR"/>
              </w:rPr>
            </w:pPr>
            <w:r w:rsidRPr="00402952">
              <w:rPr>
                <w:rFonts w:ascii="Times New Roman" w:eastAsia="Times New Roman" w:hAnsi="Times New Roman" w:cs="Times New Roman"/>
                <w:iCs/>
                <w:noProof/>
                <w:sz w:val="20"/>
                <w:lang w:val="fr-FR"/>
              </w:rPr>
              <w:t>(iv) Dezvoltarea competențelor pentru specializare inteligentă, tranziție industrială și antreprenoriat</w:t>
            </w:r>
          </w:p>
        </w:tc>
        <w:tc>
          <w:tcPr>
            <w:tcW w:w="1063" w:type="dxa"/>
            <w:tcBorders>
              <w:top w:val="single" w:sz="4" w:space="0" w:color="auto"/>
              <w:left w:val="single" w:sz="4" w:space="0" w:color="auto"/>
              <w:bottom w:val="single" w:sz="4" w:space="0" w:color="auto"/>
              <w:right w:val="single" w:sz="4" w:space="0" w:color="auto"/>
            </w:tcBorders>
            <w:hideMark/>
          </w:tcPr>
          <w:p w:rsidR="0014507E" w:rsidRPr="00402952" w:rsidRDefault="0014507E" w:rsidP="0014507E">
            <w:pPr>
              <w:spacing w:before="120" w:after="120"/>
              <w:rPr>
                <w:rFonts w:ascii="Times New Roman" w:eastAsia="Times New Roman" w:hAnsi="Times New Roman" w:cs="Times New Roman"/>
                <w:iCs/>
                <w:noProof/>
                <w:sz w:val="20"/>
                <w:lang w:val="fr-FR"/>
              </w:rPr>
            </w:pPr>
          </w:p>
        </w:tc>
        <w:tc>
          <w:tcPr>
            <w:tcW w:w="1769" w:type="dxa"/>
            <w:tcBorders>
              <w:top w:val="single" w:sz="4" w:space="0" w:color="auto"/>
              <w:left w:val="single" w:sz="4" w:space="0" w:color="auto"/>
              <w:bottom w:val="single" w:sz="4" w:space="0" w:color="auto"/>
              <w:right w:val="single" w:sz="4" w:space="0" w:color="auto"/>
            </w:tcBorders>
            <w:hideMark/>
          </w:tcPr>
          <w:p w:rsidR="0014507E" w:rsidRPr="00402952" w:rsidRDefault="0014507E" w:rsidP="0014507E">
            <w:pPr>
              <w:spacing w:after="0" w:line="240" w:lineRule="auto"/>
              <w:rPr>
                <w:rFonts w:ascii="Times New Roman" w:eastAsia="Times New Roman" w:hAnsi="Times New Roman" w:cs="Times New Roman"/>
                <w:iCs/>
                <w:noProof/>
                <w:sz w:val="20"/>
                <w:lang w:val="fr-FR"/>
              </w:rPr>
            </w:pPr>
            <w:r w:rsidRPr="00402952">
              <w:rPr>
                <w:rFonts w:ascii="Times New Roman" w:eastAsia="Times New Roman" w:hAnsi="Times New Roman" w:cs="Times New Roman"/>
                <w:i/>
                <w:iCs/>
                <w:noProof/>
                <w:sz w:val="20"/>
                <w:lang w:val="fr-FR"/>
              </w:rPr>
              <w:t>Strategia (strategiile) de specializare inteligentă trebuie să fie sprijinită (sprijinite) d</w:t>
            </w:r>
            <w:r w:rsidRPr="00402952">
              <w:rPr>
                <w:rFonts w:ascii="Times New Roman" w:eastAsia="Times New Roman" w:hAnsi="Times New Roman" w:cs="Times New Roman"/>
                <w:iCs/>
                <w:noProof/>
                <w:sz w:val="20"/>
                <w:lang w:val="fr-FR"/>
              </w:rPr>
              <w:t>e:</w:t>
            </w:r>
          </w:p>
          <w:p w:rsidR="0014507E" w:rsidRPr="00402952" w:rsidRDefault="0014507E" w:rsidP="0014507E">
            <w:pPr>
              <w:spacing w:after="0" w:line="240" w:lineRule="auto"/>
              <w:rPr>
                <w:rFonts w:ascii="Times New Roman" w:eastAsia="Times New Roman" w:hAnsi="Times New Roman" w:cs="Times New Roman"/>
                <w:iCs/>
                <w:noProof/>
                <w:sz w:val="20"/>
                <w:lang w:val="fr-FR"/>
              </w:rPr>
            </w:pPr>
            <w:r w:rsidRPr="00402952">
              <w:rPr>
                <w:rFonts w:ascii="Times New Roman" w:eastAsia="Times New Roman" w:hAnsi="Times New Roman" w:cs="Times New Roman"/>
                <w:iCs/>
                <w:noProof/>
                <w:sz w:val="20"/>
                <w:lang w:val="fr-FR"/>
              </w:rPr>
              <w:t>C1. O analiză la zi a factorilor care împiedică diseminarea inovării, inclusiv digitalizarea</w:t>
            </w:r>
          </w:p>
          <w:p w:rsidR="0014507E" w:rsidRPr="00AE688A" w:rsidRDefault="0014507E" w:rsidP="0014507E">
            <w:pPr>
              <w:spacing w:after="0" w:line="240" w:lineRule="auto"/>
              <w:rPr>
                <w:rFonts w:ascii="Times New Roman" w:eastAsia="Times New Roman" w:hAnsi="Times New Roman" w:cs="Times New Roman"/>
                <w:iCs/>
                <w:noProof/>
                <w:sz w:val="20"/>
                <w:lang w:val="fr-FR"/>
              </w:rPr>
            </w:pPr>
            <w:r w:rsidRPr="00AE688A">
              <w:rPr>
                <w:rFonts w:ascii="Times New Roman" w:eastAsia="Times New Roman" w:hAnsi="Times New Roman" w:cs="Times New Roman"/>
                <w:iCs/>
                <w:noProof/>
                <w:sz w:val="20"/>
                <w:lang w:val="fr-FR"/>
              </w:rPr>
              <w:t>C2. Existența unei instituții sau a unui organism național/</w:t>
            </w:r>
            <w:r w:rsidR="00CF3F30">
              <w:rPr>
                <w:rFonts w:ascii="Times New Roman" w:eastAsia="Times New Roman" w:hAnsi="Times New Roman" w:cs="Times New Roman"/>
                <w:iCs/>
                <w:noProof/>
                <w:sz w:val="20"/>
                <w:lang w:val="fr-FR"/>
              </w:rPr>
              <w:t xml:space="preserve"> </w:t>
            </w:r>
            <w:r w:rsidRPr="00AE688A">
              <w:rPr>
                <w:rFonts w:ascii="Times New Roman" w:eastAsia="Times New Roman" w:hAnsi="Times New Roman" w:cs="Times New Roman"/>
                <w:iCs/>
                <w:noProof/>
                <w:sz w:val="20"/>
                <w:lang w:val="fr-FR"/>
              </w:rPr>
              <w:t>regional competent responsabil cu managementul strategiei de specializare inteligentă</w:t>
            </w:r>
          </w:p>
          <w:p w:rsidR="0014507E" w:rsidRPr="00AE688A" w:rsidRDefault="0014507E" w:rsidP="0014507E">
            <w:pPr>
              <w:spacing w:after="0" w:line="240" w:lineRule="auto"/>
              <w:rPr>
                <w:rFonts w:ascii="Times New Roman" w:eastAsia="Times New Roman" w:hAnsi="Times New Roman" w:cs="Times New Roman"/>
                <w:iCs/>
                <w:noProof/>
                <w:sz w:val="20"/>
                <w:lang w:val="fr-FR"/>
              </w:rPr>
            </w:pPr>
            <w:r w:rsidRPr="00AE688A">
              <w:rPr>
                <w:rFonts w:ascii="Times New Roman" w:eastAsia="Times New Roman" w:hAnsi="Times New Roman" w:cs="Times New Roman"/>
                <w:iCs/>
                <w:noProof/>
                <w:sz w:val="20"/>
                <w:lang w:val="fr-FR"/>
              </w:rPr>
              <w:t>C3. Instrumente de monitorizare și evaluare pentru a măsura performanțele în direcția atingerii obiectivelor strategiei</w:t>
            </w:r>
          </w:p>
          <w:p w:rsidR="0014507E" w:rsidRPr="00AE688A" w:rsidRDefault="0014507E" w:rsidP="0014507E">
            <w:pPr>
              <w:spacing w:after="0" w:line="240" w:lineRule="auto"/>
              <w:rPr>
                <w:rFonts w:ascii="Times New Roman" w:eastAsia="Times New Roman" w:hAnsi="Times New Roman" w:cs="Times New Roman"/>
                <w:iCs/>
                <w:noProof/>
                <w:sz w:val="20"/>
                <w:lang w:val="fr-FR"/>
              </w:rPr>
            </w:pPr>
            <w:r w:rsidRPr="00AE688A">
              <w:rPr>
                <w:rFonts w:ascii="Times New Roman" w:eastAsia="Times New Roman" w:hAnsi="Times New Roman" w:cs="Times New Roman"/>
                <w:iCs/>
                <w:noProof/>
                <w:sz w:val="20"/>
                <w:lang w:val="fr-FR"/>
              </w:rPr>
              <w:t>C4. Funcționarea eficace a procesului de descoperire antreprenorială</w:t>
            </w:r>
          </w:p>
          <w:p w:rsidR="0014507E" w:rsidRPr="00AE688A" w:rsidRDefault="0014507E" w:rsidP="0014507E">
            <w:pPr>
              <w:spacing w:after="0" w:line="240" w:lineRule="auto"/>
              <w:rPr>
                <w:rFonts w:ascii="Times New Roman" w:eastAsia="Times New Roman" w:hAnsi="Times New Roman" w:cs="Times New Roman"/>
                <w:iCs/>
                <w:noProof/>
                <w:sz w:val="20"/>
                <w:lang w:val="fr-FR"/>
              </w:rPr>
            </w:pPr>
            <w:r w:rsidRPr="00AE688A">
              <w:rPr>
                <w:rFonts w:ascii="Times New Roman" w:eastAsia="Times New Roman" w:hAnsi="Times New Roman" w:cs="Times New Roman"/>
                <w:iCs/>
                <w:noProof/>
                <w:sz w:val="20"/>
                <w:lang w:val="fr-FR"/>
              </w:rPr>
              <w:t>C5. Acțiuni necesare pentru îmbunătățirea sistemelor de cercetare și inovare naționale sau regionale, daca este relevant</w:t>
            </w:r>
          </w:p>
          <w:p w:rsidR="0014507E" w:rsidRPr="00AE688A" w:rsidRDefault="0014507E" w:rsidP="0014507E">
            <w:pPr>
              <w:spacing w:after="0" w:line="240" w:lineRule="auto"/>
              <w:rPr>
                <w:rFonts w:ascii="Times New Roman" w:eastAsia="Times New Roman" w:hAnsi="Times New Roman" w:cs="Times New Roman"/>
                <w:iCs/>
                <w:noProof/>
                <w:sz w:val="20"/>
                <w:lang w:val="fr-FR"/>
              </w:rPr>
            </w:pPr>
            <w:r w:rsidRPr="00AE688A">
              <w:rPr>
                <w:rFonts w:ascii="Times New Roman" w:eastAsia="Times New Roman" w:hAnsi="Times New Roman" w:cs="Times New Roman"/>
                <w:iCs/>
                <w:noProof/>
                <w:sz w:val="20"/>
                <w:lang w:val="fr-FR"/>
              </w:rPr>
              <w:t>C6. Acțiuni pentru managementul tranziției industriale, daca este relevant</w:t>
            </w:r>
          </w:p>
          <w:p w:rsidR="0014507E" w:rsidRPr="008335FE" w:rsidRDefault="0014507E" w:rsidP="0014507E">
            <w:pPr>
              <w:spacing w:after="0" w:line="240" w:lineRule="auto"/>
              <w:rPr>
                <w:rFonts w:ascii="Times New Roman" w:eastAsia="Times New Roman" w:hAnsi="Times New Roman" w:cs="Times New Roman"/>
                <w:iCs/>
                <w:noProof/>
                <w:sz w:val="20"/>
                <w:lang w:val="fr-FR"/>
              </w:rPr>
            </w:pPr>
            <w:r w:rsidRPr="00AE688A">
              <w:rPr>
                <w:rFonts w:ascii="Times New Roman" w:eastAsia="Times New Roman" w:hAnsi="Times New Roman" w:cs="Times New Roman"/>
                <w:iCs/>
                <w:noProof/>
                <w:sz w:val="20"/>
                <w:lang w:val="fr-FR"/>
              </w:rPr>
              <w:t xml:space="preserve">C7. Măsuri în sprijinul </w:t>
            </w:r>
            <w:r w:rsidRPr="00AE688A">
              <w:rPr>
                <w:rFonts w:ascii="Times New Roman" w:eastAsia="Times New Roman" w:hAnsi="Times New Roman" w:cs="Times New Roman"/>
                <w:iCs/>
                <w:noProof/>
                <w:sz w:val="20"/>
                <w:lang w:val="fr-FR"/>
              </w:rPr>
              <w:lastRenderedPageBreak/>
              <w:t>colaborării internaționale</w:t>
            </w:r>
          </w:p>
        </w:tc>
        <w:tc>
          <w:tcPr>
            <w:tcW w:w="1063" w:type="dxa"/>
            <w:tcBorders>
              <w:top w:val="single" w:sz="4" w:space="0" w:color="auto"/>
              <w:left w:val="single" w:sz="4" w:space="0" w:color="auto"/>
              <w:bottom w:val="single" w:sz="4" w:space="0" w:color="auto"/>
              <w:right w:val="single" w:sz="4" w:space="0" w:color="auto"/>
            </w:tcBorders>
            <w:hideMark/>
          </w:tcPr>
          <w:p w:rsidR="0014507E" w:rsidRPr="001A17A2" w:rsidRDefault="0014507E" w:rsidP="0014507E">
            <w:pPr>
              <w:spacing w:before="120" w:after="120"/>
              <w:rPr>
                <w:rFonts w:ascii="Times New Roman" w:eastAsia="Times New Roman" w:hAnsi="Times New Roman" w:cs="Times New Roman"/>
                <w:iCs/>
                <w:noProof/>
                <w:sz w:val="20"/>
                <w:lang w:val="en-US"/>
              </w:rPr>
            </w:pPr>
            <w:r w:rsidRPr="001A17A2">
              <w:rPr>
                <w:rFonts w:ascii="Times New Roman" w:eastAsia="Times New Roman" w:hAnsi="Times New Roman" w:cs="Times New Roman"/>
                <w:iCs/>
                <w:noProof/>
                <w:sz w:val="20"/>
                <w:lang w:val="en-US"/>
              </w:rPr>
              <w:lastRenderedPageBreak/>
              <w:t>Y/N</w:t>
            </w:r>
          </w:p>
        </w:tc>
        <w:tc>
          <w:tcPr>
            <w:tcW w:w="1085" w:type="dxa"/>
            <w:tcBorders>
              <w:top w:val="single" w:sz="4" w:space="0" w:color="auto"/>
              <w:left w:val="single" w:sz="4" w:space="0" w:color="auto"/>
              <w:bottom w:val="single" w:sz="4" w:space="0" w:color="auto"/>
              <w:right w:val="single" w:sz="4" w:space="0" w:color="auto"/>
            </w:tcBorders>
            <w:hideMark/>
          </w:tcPr>
          <w:p w:rsidR="0014507E" w:rsidRPr="001A17A2" w:rsidRDefault="0014507E" w:rsidP="0014507E">
            <w:pPr>
              <w:spacing w:before="120" w:after="120"/>
              <w:rPr>
                <w:rFonts w:ascii="Times New Roman" w:eastAsia="Times New Roman" w:hAnsi="Times New Roman" w:cs="Times New Roman"/>
                <w:iCs/>
                <w:noProof/>
                <w:sz w:val="20"/>
                <w:lang w:val="en-US"/>
              </w:rPr>
            </w:pPr>
            <w:r w:rsidRPr="001A17A2">
              <w:rPr>
                <w:rFonts w:ascii="Times New Roman" w:eastAsia="Times New Roman" w:hAnsi="Times New Roman" w:cs="Times New Roman"/>
                <w:iCs/>
                <w:noProof/>
                <w:sz w:val="20"/>
                <w:lang w:val="en-US"/>
              </w:rPr>
              <w:t>[500]</w:t>
            </w:r>
          </w:p>
        </w:tc>
        <w:tc>
          <w:tcPr>
            <w:tcW w:w="1210" w:type="dxa"/>
            <w:tcBorders>
              <w:top w:val="single" w:sz="4" w:space="0" w:color="auto"/>
              <w:left w:val="single" w:sz="4" w:space="0" w:color="auto"/>
              <w:bottom w:val="single" w:sz="4" w:space="0" w:color="auto"/>
              <w:right w:val="single" w:sz="4" w:space="0" w:color="auto"/>
            </w:tcBorders>
            <w:hideMark/>
          </w:tcPr>
          <w:p w:rsidR="0014507E" w:rsidRPr="001A17A2" w:rsidRDefault="0014507E" w:rsidP="0014507E">
            <w:pPr>
              <w:spacing w:before="120" w:after="120"/>
              <w:rPr>
                <w:rFonts w:ascii="Times New Roman" w:eastAsia="Times New Roman" w:hAnsi="Times New Roman" w:cs="Times New Roman"/>
                <w:iCs/>
                <w:noProof/>
                <w:sz w:val="20"/>
                <w:lang w:val="en-US"/>
              </w:rPr>
            </w:pPr>
            <w:r w:rsidRPr="001A17A2">
              <w:rPr>
                <w:rFonts w:ascii="Times New Roman" w:eastAsia="Times New Roman" w:hAnsi="Times New Roman" w:cs="Times New Roman"/>
                <w:iCs/>
                <w:noProof/>
                <w:sz w:val="20"/>
                <w:lang w:val="en-US"/>
              </w:rPr>
              <w:t>[1 000]</w:t>
            </w:r>
          </w:p>
        </w:tc>
      </w:tr>
      <w:tr w:rsidR="0014507E" w:rsidRPr="001A17A2" w:rsidTr="004B0EE3">
        <w:tc>
          <w:tcPr>
            <w:tcW w:w="1375" w:type="dxa"/>
            <w:tcBorders>
              <w:top w:val="single" w:sz="4" w:space="0" w:color="auto"/>
              <w:left w:val="single" w:sz="4" w:space="0" w:color="auto"/>
              <w:bottom w:val="single" w:sz="4" w:space="0" w:color="auto"/>
              <w:right w:val="single" w:sz="4" w:space="0" w:color="auto"/>
            </w:tcBorders>
          </w:tcPr>
          <w:p w:rsidR="0014507E" w:rsidRPr="001A17A2" w:rsidRDefault="0014507E" w:rsidP="0014507E">
            <w:pPr>
              <w:spacing w:before="120" w:after="120"/>
              <w:rPr>
                <w:rFonts w:ascii="Times New Roman" w:eastAsia="Times New Roman" w:hAnsi="Times New Roman" w:cs="Times New Roman"/>
                <w:iCs/>
                <w:noProof/>
                <w:sz w:val="20"/>
                <w:lang w:val="en-US"/>
              </w:rPr>
            </w:pPr>
          </w:p>
        </w:tc>
        <w:tc>
          <w:tcPr>
            <w:tcW w:w="698" w:type="dxa"/>
            <w:tcBorders>
              <w:top w:val="single" w:sz="4" w:space="0" w:color="auto"/>
              <w:left w:val="single" w:sz="4" w:space="0" w:color="auto"/>
              <w:bottom w:val="single" w:sz="4" w:space="0" w:color="auto"/>
              <w:right w:val="single" w:sz="4" w:space="0" w:color="auto"/>
            </w:tcBorders>
          </w:tcPr>
          <w:p w:rsidR="0014507E" w:rsidRPr="001A17A2" w:rsidRDefault="0014507E" w:rsidP="0014507E">
            <w:pPr>
              <w:spacing w:before="120" w:after="120"/>
              <w:rPr>
                <w:rFonts w:ascii="Times New Roman" w:eastAsia="Times New Roman" w:hAnsi="Times New Roman" w:cs="Times New Roman"/>
                <w:iCs/>
                <w:noProof/>
                <w:sz w:val="20"/>
                <w:lang w:val="en-US"/>
              </w:rPr>
            </w:pPr>
          </w:p>
        </w:tc>
        <w:tc>
          <w:tcPr>
            <w:tcW w:w="1366" w:type="dxa"/>
            <w:tcBorders>
              <w:top w:val="single" w:sz="4" w:space="0" w:color="auto"/>
              <w:left w:val="single" w:sz="4" w:space="0" w:color="auto"/>
              <w:bottom w:val="single" w:sz="4" w:space="0" w:color="auto"/>
              <w:right w:val="single" w:sz="4" w:space="0" w:color="auto"/>
            </w:tcBorders>
          </w:tcPr>
          <w:p w:rsidR="0014507E" w:rsidRPr="001A17A2" w:rsidRDefault="0014507E" w:rsidP="0014507E">
            <w:pPr>
              <w:spacing w:before="120" w:after="120"/>
              <w:rPr>
                <w:rFonts w:ascii="Times New Roman" w:eastAsia="Times New Roman" w:hAnsi="Times New Roman" w:cs="Times New Roman"/>
                <w:iCs/>
                <w:noProof/>
                <w:sz w:val="20"/>
                <w:lang w:val="en-US"/>
              </w:rPr>
            </w:pPr>
          </w:p>
        </w:tc>
        <w:tc>
          <w:tcPr>
            <w:tcW w:w="1063" w:type="dxa"/>
            <w:tcBorders>
              <w:top w:val="single" w:sz="4" w:space="0" w:color="auto"/>
              <w:left w:val="single" w:sz="4" w:space="0" w:color="auto"/>
              <w:bottom w:val="single" w:sz="4" w:space="0" w:color="auto"/>
              <w:right w:val="single" w:sz="4" w:space="0" w:color="auto"/>
            </w:tcBorders>
          </w:tcPr>
          <w:p w:rsidR="0014507E" w:rsidRPr="001A17A2" w:rsidRDefault="0014507E" w:rsidP="0014507E">
            <w:pPr>
              <w:spacing w:before="120" w:after="120"/>
              <w:rPr>
                <w:rFonts w:ascii="Times New Roman" w:eastAsia="Times New Roman" w:hAnsi="Times New Roman" w:cs="Times New Roman"/>
                <w:iCs/>
                <w:noProof/>
                <w:sz w:val="20"/>
                <w:lang w:val="en-US"/>
              </w:rPr>
            </w:pPr>
          </w:p>
        </w:tc>
        <w:tc>
          <w:tcPr>
            <w:tcW w:w="1769" w:type="dxa"/>
            <w:tcBorders>
              <w:top w:val="single" w:sz="4" w:space="0" w:color="auto"/>
              <w:left w:val="single" w:sz="4" w:space="0" w:color="auto"/>
              <w:bottom w:val="single" w:sz="4" w:space="0" w:color="auto"/>
              <w:right w:val="single" w:sz="4" w:space="0" w:color="auto"/>
            </w:tcBorders>
            <w:hideMark/>
          </w:tcPr>
          <w:p w:rsidR="0014507E" w:rsidRPr="00AE688A" w:rsidRDefault="0014507E" w:rsidP="0014507E">
            <w:pPr>
              <w:spacing w:after="0" w:line="240" w:lineRule="auto"/>
              <w:rPr>
                <w:rFonts w:ascii="Times New Roman" w:eastAsia="Times New Roman" w:hAnsi="Times New Roman" w:cs="Times New Roman"/>
                <w:iCs/>
                <w:noProof/>
                <w:sz w:val="20"/>
                <w:lang w:val="fr-FR"/>
              </w:rPr>
            </w:pPr>
          </w:p>
        </w:tc>
        <w:tc>
          <w:tcPr>
            <w:tcW w:w="1063" w:type="dxa"/>
            <w:tcBorders>
              <w:top w:val="single" w:sz="4" w:space="0" w:color="auto"/>
              <w:left w:val="single" w:sz="4" w:space="0" w:color="auto"/>
              <w:bottom w:val="single" w:sz="4" w:space="0" w:color="auto"/>
              <w:right w:val="single" w:sz="4" w:space="0" w:color="auto"/>
            </w:tcBorders>
            <w:hideMark/>
          </w:tcPr>
          <w:p w:rsidR="0014507E" w:rsidRPr="001A17A2" w:rsidRDefault="0014507E" w:rsidP="0014507E">
            <w:pPr>
              <w:spacing w:before="120" w:after="120"/>
              <w:rPr>
                <w:rFonts w:ascii="Times New Roman" w:eastAsia="Times New Roman" w:hAnsi="Times New Roman" w:cs="Times New Roman"/>
                <w:iCs/>
                <w:noProof/>
                <w:sz w:val="20"/>
                <w:lang w:val="en-US"/>
              </w:rPr>
            </w:pPr>
            <w:r w:rsidRPr="001A17A2">
              <w:rPr>
                <w:rFonts w:ascii="Times New Roman" w:eastAsia="Times New Roman" w:hAnsi="Times New Roman" w:cs="Times New Roman"/>
                <w:iCs/>
                <w:noProof/>
                <w:sz w:val="20"/>
                <w:lang w:val="en-US"/>
              </w:rPr>
              <w:t>Y/N</w:t>
            </w:r>
          </w:p>
        </w:tc>
        <w:tc>
          <w:tcPr>
            <w:tcW w:w="1085" w:type="dxa"/>
            <w:tcBorders>
              <w:top w:val="single" w:sz="4" w:space="0" w:color="auto"/>
              <w:left w:val="single" w:sz="4" w:space="0" w:color="auto"/>
              <w:bottom w:val="single" w:sz="4" w:space="0" w:color="auto"/>
              <w:right w:val="single" w:sz="4" w:space="0" w:color="auto"/>
            </w:tcBorders>
          </w:tcPr>
          <w:p w:rsidR="0014507E" w:rsidRPr="001A17A2" w:rsidRDefault="0014507E" w:rsidP="0014507E">
            <w:pPr>
              <w:spacing w:before="120" w:after="120"/>
              <w:rPr>
                <w:rFonts w:ascii="Times New Roman" w:eastAsia="Times New Roman" w:hAnsi="Times New Roman" w:cs="Times New Roman"/>
                <w:iCs/>
                <w:noProof/>
                <w:sz w:val="20"/>
                <w:lang w:val="en-US"/>
              </w:rPr>
            </w:pPr>
          </w:p>
        </w:tc>
        <w:tc>
          <w:tcPr>
            <w:tcW w:w="1210" w:type="dxa"/>
            <w:tcBorders>
              <w:top w:val="single" w:sz="4" w:space="0" w:color="auto"/>
              <w:left w:val="single" w:sz="4" w:space="0" w:color="auto"/>
              <w:bottom w:val="single" w:sz="4" w:space="0" w:color="auto"/>
              <w:right w:val="single" w:sz="4" w:space="0" w:color="auto"/>
            </w:tcBorders>
          </w:tcPr>
          <w:p w:rsidR="0014507E" w:rsidRPr="001A17A2" w:rsidRDefault="0014507E" w:rsidP="0014507E">
            <w:pPr>
              <w:spacing w:before="120" w:after="120"/>
              <w:rPr>
                <w:rFonts w:ascii="Times New Roman" w:eastAsia="Times New Roman" w:hAnsi="Times New Roman" w:cs="Times New Roman"/>
                <w:iCs/>
                <w:noProof/>
                <w:sz w:val="20"/>
                <w:lang w:val="en-US"/>
              </w:rPr>
            </w:pPr>
          </w:p>
        </w:tc>
      </w:tr>
      <w:tr w:rsidR="0014507E" w:rsidRPr="001A17A2" w:rsidTr="004B0EE3">
        <w:tc>
          <w:tcPr>
            <w:tcW w:w="1375" w:type="dxa"/>
            <w:tcBorders>
              <w:top w:val="single" w:sz="4" w:space="0" w:color="auto"/>
              <w:left w:val="single" w:sz="4" w:space="0" w:color="auto"/>
              <w:bottom w:val="single" w:sz="4" w:space="0" w:color="auto"/>
              <w:right w:val="single" w:sz="4" w:space="0" w:color="auto"/>
            </w:tcBorders>
          </w:tcPr>
          <w:p w:rsidR="0014507E" w:rsidRPr="00627D1D" w:rsidRDefault="0014507E" w:rsidP="0014507E">
            <w:pPr>
              <w:spacing w:before="120" w:after="120"/>
              <w:rPr>
                <w:rFonts w:ascii="Times New Roman" w:eastAsia="Times New Roman" w:hAnsi="Times New Roman" w:cs="Times New Roman"/>
                <w:iCs/>
                <w:noProof/>
                <w:sz w:val="20"/>
              </w:rPr>
            </w:pPr>
            <w:r w:rsidRPr="00627D1D">
              <w:rPr>
                <w:rFonts w:ascii="Times New Roman" w:eastAsia="Times New Roman" w:hAnsi="Times New Roman" w:cs="Times New Roman"/>
                <w:iCs/>
                <w:noProof/>
                <w:sz w:val="20"/>
              </w:rPr>
              <w:t>Un cadru de politică strategic pentru sprijinirea renovărilor destinate să îmbunătățească eficiența energetică a clădirilor rezidențiale și nerezidențiale</w:t>
            </w:r>
          </w:p>
        </w:tc>
        <w:tc>
          <w:tcPr>
            <w:tcW w:w="698" w:type="dxa"/>
            <w:tcBorders>
              <w:top w:val="single" w:sz="4" w:space="0" w:color="auto"/>
              <w:left w:val="single" w:sz="4" w:space="0" w:color="auto"/>
              <w:bottom w:val="single" w:sz="4" w:space="0" w:color="auto"/>
              <w:right w:val="single" w:sz="4" w:space="0" w:color="auto"/>
            </w:tcBorders>
          </w:tcPr>
          <w:p w:rsidR="0014507E" w:rsidRPr="00627D1D" w:rsidRDefault="0014507E" w:rsidP="0014507E">
            <w:pPr>
              <w:spacing w:before="120" w:after="120"/>
              <w:rPr>
                <w:rFonts w:ascii="Times New Roman" w:eastAsia="Times New Roman" w:hAnsi="Times New Roman" w:cs="Times New Roman"/>
                <w:iCs/>
                <w:noProof/>
                <w:sz w:val="20"/>
              </w:rPr>
            </w:pPr>
          </w:p>
        </w:tc>
        <w:tc>
          <w:tcPr>
            <w:tcW w:w="1366" w:type="dxa"/>
            <w:tcBorders>
              <w:top w:val="single" w:sz="4" w:space="0" w:color="auto"/>
              <w:left w:val="single" w:sz="4" w:space="0" w:color="auto"/>
              <w:bottom w:val="single" w:sz="4" w:space="0" w:color="auto"/>
              <w:right w:val="single" w:sz="4" w:space="0" w:color="auto"/>
            </w:tcBorders>
          </w:tcPr>
          <w:p w:rsidR="0014507E" w:rsidRPr="00627D1D" w:rsidRDefault="0014507E" w:rsidP="0014507E">
            <w:pPr>
              <w:spacing w:before="120" w:after="120"/>
              <w:rPr>
                <w:rFonts w:ascii="Times New Roman" w:eastAsia="Times New Roman" w:hAnsi="Times New Roman" w:cs="Times New Roman"/>
                <w:iCs/>
                <w:noProof/>
                <w:sz w:val="20"/>
              </w:rPr>
            </w:pPr>
            <w:r w:rsidRPr="00627D1D">
              <w:rPr>
                <w:rFonts w:ascii="Times New Roman" w:eastAsia="Times New Roman" w:hAnsi="Times New Roman" w:cs="Times New Roman"/>
                <w:iCs/>
                <w:noProof/>
                <w:sz w:val="20"/>
              </w:rPr>
              <w:t>b (i) Promovarea eficienței energetice și reducerea emisiilor de gaze cu efect de seră</w:t>
            </w:r>
          </w:p>
        </w:tc>
        <w:tc>
          <w:tcPr>
            <w:tcW w:w="1063" w:type="dxa"/>
            <w:tcBorders>
              <w:top w:val="single" w:sz="4" w:space="0" w:color="auto"/>
              <w:left w:val="single" w:sz="4" w:space="0" w:color="auto"/>
              <w:bottom w:val="single" w:sz="4" w:space="0" w:color="auto"/>
              <w:right w:val="single" w:sz="4" w:space="0" w:color="auto"/>
            </w:tcBorders>
          </w:tcPr>
          <w:p w:rsidR="0014507E" w:rsidRPr="00627D1D" w:rsidRDefault="0014507E" w:rsidP="0014507E">
            <w:pPr>
              <w:spacing w:before="120" w:after="120"/>
              <w:rPr>
                <w:rFonts w:ascii="Times New Roman" w:eastAsia="Times New Roman" w:hAnsi="Times New Roman" w:cs="Times New Roman"/>
                <w:iCs/>
                <w:noProof/>
                <w:sz w:val="20"/>
              </w:rPr>
            </w:pPr>
          </w:p>
        </w:tc>
        <w:tc>
          <w:tcPr>
            <w:tcW w:w="1769" w:type="dxa"/>
            <w:tcBorders>
              <w:top w:val="single" w:sz="4" w:space="0" w:color="auto"/>
              <w:left w:val="single" w:sz="4" w:space="0" w:color="auto"/>
              <w:bottom w:val="single" w:sz="4" w:space="0" w:color="auto"/>
              <w:right w:val="single" w:sz="4" w:space="0" w:color="auto"/>
            </w:tcBorders>
          </w:tcPr>
          <w:p w:rsidR="0014507E" w:rsidRPr="008335FE" w:rsidRDefault="0014507E" w:rsidP="0014507E">
            <w:pPr>
              <w:spacing w:after="0" w:line="240" w:lineRule="auto"/>
              <w:rPr>
                <w:rFonts w:ascii="Times New Roman" w:eastAsia="Times New Roman" w:hAnsi="Times New Roman" w:cs="Times New Roman"/>
                <w:iCs/>
                <w:noProof/>
                <w:sz w:val="20"/>
              </w:rPr>
            </w:pPr>
            <w:r w:rsidRPr="008335FE">
              <w:rPr>
                <w:rFonts w:ascii="Times New Roman" w:eastAsia="Times New Roman" w:hAnsi="Times New Roman" w:cs="Times New Roman"/>
                <w:iCs/>
                <w:noProof/>
                <w:sz w:val="20"/>
              </w:rPr>
              <w:t>C1. Este adoptată o strategie națională de renovare pe termen lung pentru sprijinirea renovării parcului național de clădiri rezidențiale și nerezidențiale, în conformitate cu cerințele Directivei 2010/31/UE privind performanța energetică a clădirilor, care:</w:t>
            </w:r>
          </w:p>
          <w:p w:rsidR="0014507E" w:rsidRPr="008335FE" w:rsidRDefault="0014507E" w:rsidP="00E16AA6">
            <w:pPr>
              <w:pStyle w:val="Listparagraf"/>
              <w:numPr>
                <w:ilvl w:val="0"/>
                <w:numId w:val="63"/>
              </w:numPr>
              <w:spacing w:before="0" w:after="0" w:line="240" w:lineRule="auto"/>
              <w:ind w:left="461" w:hanging="283"/>
              <w:rPr>
                <w:rFonts w:eastAsia="Times New Roman"/>
                <w:iCs/>
                <w:noProof/>
                <w:sz w:val="20"/>
              </w:rPr>
            </w:pPr>
            <w:r w:rsidRPr="008335FE">
              <w:rPr>
                <w:rFonts w:eastAsia="Times New Roman"/>
                <w:iCs/>
                <w:noProof/>
                <w:sz w:val="20"/>
              </w:rPr>
              <w:t>a.implică obiective de etapă orientative pentru 2030 și 2040, și ținte pentru 2050</w:t>
            </w:r>
          </w:p>
          <w:p w:rsidR="0014507E" w:rsidRPr="008335FE" w:rsidRDefault="0014507E" w:rsidP="00E16AA6">
            <w:pPr>
              <w:pStyle w:val="Listparagraf"/>
              <w:numPr>
                <w:ilvl w:val="0"/>
                <w:numId w:val="63"/>
              </w:numPr>
              <w:spacing w:before="0" w:after="0" w:line="240" w:lineRule="auto"/>
              <w:ind w:left="461" w:hanging="283"/>
              <w:rPr>
                <w:rFonts w:eastAsia="Times New Roman"/>
                <w:iCs/>
                <w:noProof/>
                <w:sz w:val="20"/>
              </w:rPr>
            </w:pPr>
            <w:r w:rsidRPr="008335FE">
              <w:rPr>
                <w:rFonts w:eastAsia="Times New Roman"/>
                <w:iCs/>
                <w:noProof/>
                <w:sz w:val="20"/>
              </w:rPr>
              <w:t>b.oferă o descriere orientativă a resurselor bugetare necesare pentru a sprijini implementarea strategiei</w:t>
            </w:r>
          </w:p>
          <w:p w:rsidR="0014507E" w:rsidRPr="008335FE" w:rsidRDefault="0014507E" w:rsidP="00E16AA6">
            <w:pPr>
              <w:pStyle w:val="Listparagraf"/>
              <w:numPr>
                <w:ilvl w:val="0"/>
                <w:numId w:val="63"/>
              </w:numPr>
              <w:spacing w:before="0" w:after="0" w:line="240" w:lineRule="auto"/>
              <w:ind w:left="461" w:hanging="283"/>
              <w:rPr>
                <w:rFonts w:eastAsia="Times New Roman"/>
                <w:iCs/>
                <w:noProof/>
                <w:sz w:val="20"/>
              </w:rPr>
            </w:pPr>
            <w:r w:rsidRPr="008335FE">
              <w:rPr>
                <w:rFonts w:eastAsia="Times New Roman"/>
                <w:iCs/>
                <w:noProof/>
                <w:sz w:val="20"/>
              </w:rPr>
              <w:t>c.definește mecanisme eficace pentru promovarea investițiilor în renovarea clădirilor</w:t>
            </w:r>
          </w:p>
          <w:p w:rsidR="0014507E" w:rsidRPr="00627D1D" w:rsidRDefault="0014507E" w:rsidP="0014507E">
            <w:pPr>
              <w:spacing w:after="0" w:line="240" w:lineRule="auto"/>
              <w:rPr>
                <w:rFonts w:ascii="Times New Roman" w:eastAsia="Times New Roman" w:hAnsi="Times New Roman" w:cs="Times New Roman"/>
                <w:iCs/>
                <w:noProof/>
                <w:sz w:val="20"/>
              </w:rPr>
            </w:pPr>
            <w:r w:rsidRPr="008335FE">
              <w:rPr>
                <w:rFonts w:ascii="Times New Roman" w:eastAsia="Times New Roman" w:hAnsi="Times New Roman" w:cs="Times New Roman"/>
                <w:iCs/>
                <w:noProof/>
                <w:sz w:val="20"/>
              </w:rPr>
              <w:t>C2. Măsuri de îmbunătățire a eficienței energetice pentru a realiza economiile de energie necesare</w:t>
            </w:r>
          </w:p>
        </w:tc>
        <w:tc>
          <w:tcPr>
            <w:tcW w:w="1063" w:type="dxa"/>
            <w:tcBorders>
              <w:top w:val="single" w:sz="4" w:space="0" w:color="auto"/>
              <w:left w:val="single" w:sz="4" w:space="0" w:color="auto"/>
              <w:bottom w:val="single" w:sz="4" w:space="0" w:color="auto"/>
              <w:right w:val="single" w:sz="4" w:space="0" w:color="auto"/>
            </w:tcBorders>
          </w:tcPr>
          <w:p w:rsidR="0014507E" w:rsidRPr="001A17A2" w:rsidRDefault="0014507E" w:rsidP="0014507E">
            <w:pPr>
              <w:spacing w:before="120" w:after="120"/>
              <w:rPr>
                <w:rFonts w:ascii="Times New Roman" w:eastAsia="Times New Roman" w:hAnsi="Times New Roman" w:cs="Times New Roman"/>
                <w:iCs/>
                <w:noProof/>
                <w:sz w:val="20"/>
                <w:lang w:val="en-US"/>
              </w:rPr>
            </w:pPr>
          </w:p>
        </w:tc>
        <w:tc>
          <w:tcPr>
            <w:tcW w:w="1085" w:type="dxa"/>
            <w:tcBorders>
              <w:top w:val="single" w:sz="4" w:space="0" w:color="auto"/>
              <w:left w:val="single" w:sz="4" w:space="0" w:color="auto"/>
              <w:bottom w:val="single" w:sz="4" w:space="0" w:color="auto"/>
              <w:right w:val="single" w:sz="4" w:space="0" w:color="auto"/>
            </w:tcBorders>
          </w:tcPr>
          <w:p w:rsidR="0014507E" w:rsidRPr="001A17A2" w:rsidRDefault="0014507E" w:rsidP="0014507E">
            <w:pPr>
              <w:spacing w:before="120" w:after="120"/>
              <w:rPr>
                <w:rFonts w:ascii="Times New Roman" w:eastAsia="Times New Roman" w:hAnsi="Times New Roman" w:cs="Times New Roman"/>
                <w:iCs/>
                <w:noProof/>
                <w:sz w:val="20"/>
                <w:lang w:val="en-US"/>
              </w:rPr>
            </w:pPr>
          </w:p>
        </w:tc>
        <w:tc>
          <w:tcPr>
            <w:tcW w:w="1210" w:type="dxa"/>
            <w:tcBorders>
              <w:top w:val="single" w:sz="4" w:space="0" w:color="auto"/>
              <w:left w:val="single" w:sz="4" w:space="0" w:color="auto"/>
              <w:bottom w:val="single" w:sz="4" w:space="0" w:color="auto"/>
              <w:right w:val="single" w:sz="4" w:space="0" w:color="auto"/>
            </w:tcBorders>
          </w:tcPr>
          <w:p w:rsidR="0014507E" w:rsidRPr="001A17A2" w:rsidRDefault="0014507E" w:rsidP="0014507E">
            <w:pPr>
              <w:spacing w:before="120" w:after="120"/>
              <w:rPr>
                <w:rFonts w:ascii="Times New Roman" w:eastAsia="Times New Roman" w:hAnsi="Times New Roman" w:cs="Times New Roman"/>
                <w:iCs/>
                <w:noProof/>
                <w:sz w:val="20"/>
                <w:lang w:val="en-US"/>
              </w:rPr>
            </w:pPr>
          </w:p>
        </w:tc>
      </w:tr>
      <w:tr w:rsidR="0014507E" w:rsidRPr="001A17A2" w:rsidTr="004B0EE3">
        <w:tc>
          <w:tcPr>
            <w:tcW w:w="1375" w:type="dxa"/>
            <w:tcBorders>
              <w:top w:val="single" w:sz="4" w:space="0" w:color="auto"/>
              <w:left w:val="single" w:sz="4" w:space="0" w:color="auto"/>
              <w:bottom w:val="single" w:sz="4" w:space="0" w:color="auto"/>
              <w:right w:val="single" w:sz="4" w:space="0" w:color="auto"/>
            </w:tcBorders>
          </w:tcPr>
          <w:p w:rsidR="0014507E" w:rsidRPr="00383D52" w:rsidRDefault="0014507E" w:rsidP="0014507E">
            <w:pPr>
              <w:spacing w:before="120" w:after="120"/>
              <w:rPr>
                <w:rFonts w:ascii="Times New Roman" w:eastAsia="Times New Roman" w:hAnsi="Times New Roman" w:cs="Times New Roman"/>
                <w:iCs/>
                <w:noProof/>
                <w:sz w:val="20"/>
              </w:rPr>
            </w:pPr>
            <w:r w:rsidRPr="008335FE">
              <w:rPr>
                <w:rFonts w:ascii="Times New Roman" w:eastAsia="Times New Roman" w:hAnsi="Times New Roman" w:cs="Times New Roman"/>
                <w:iCs/>
                <w:noProof/>
                <w:sz w:val="20"/>
              </w:rPr>
              <w:t>Planificarea globală a transporturilor la nivelul corespunzător</w:t>
            </w:r>
          </w:p>
        </w:tc>
        <w:tc>
          <w:tcPr>
            <w:tcW w:w="698" w:type="dxa"/>
            <w:tcBorders>
              <w:top w:val="single" w:sz="4" w:space="0" w:color="auto"/>
              <w:left w:val="single" w:sz="4" w:space="0" w:color="auto"/>
              <w:bottom w:val="single" w:sz="4" w:space="0" w:color="auto"/>
              <w:right w:val="single" w:sz="4" w:space="0" w:color="auto"/>
            </w:tcBorders>
          </w:tcPr>
          <w:p w:rsidR="0014507E" w:rsidRPr="00383D52" w:rsidRDefault="0014507E" w:rsidP="0014507E">
            <w:pPr>
              <w:spacing w:before="120" w:after="120"/>
              <w:rPr>
                <w:rFonts w:ascii="Times New Roman" w:eastAsia="Times New Roman" w:hAnsi="Times New Roman" w:cs="Times New Roman"/>
                <w:iCs/>
                <w:noProof/>
                <w:sz w:val="20"/>
              </w:rPr>
            </w:pPr>
          </w:p>
        </w:tc>
        <w:tc>
          <w:tcPr>
            <w:tcW w:w="1366" w:type="dxa"/>
            <w:tcBorders>
              <w:top w:val="single" w:sz="4" w:space="0" w:color="auto"/>
              <w:left w:val="single" w:sz="4" w:space="0" w:color="auto"/>
              <w:bottom w:val="single" w:sz="4" w:space="0" w:color="auto"/>
              <w:right w:val="single" w:sz="4" w:space="0" w:color="auto"/>
            </w:tcBorders>
          </w:tcPr>
          <w:p w:rsidR="0014507E" w:rsidRDefault="0014507E" w:rsidP="0014507E">
            <w:pPr>
              <w:rPr>
                <w:rFonts w:ascii="Times New Roman" w:eastAsia="Times New Roman" w:hAnsi="Times New Roman" w:cs="Times New Roman"/>
                <w:iCs/>
                <w:noProof/>
                <w:sz w:val="20"/>
              </w:rPr>
            </w:pPr>
            <w:r>
              <w:rPr>
                <w:rFonts w:ascii="Times New Roman" w:eastAsia="Times New Roman" w:hAnsi="Times New Roman" w:cs="Times New Roman"/>
                <w:iCs/>
                <w:noProof/>
                <w:sz w:val="20"/>
              </w:rPr>
              <w:t xml:space="preserve">c </w:t>
            </w:r>
            <w:r w:rsidRPr="008335FE">
              <w:rPr>
                <w:rFonts w:ascii="Times New Roman" w:eastAsia="Times New Roman" w:hAnsi="Times New Roman" w:cs="Times New Roman"/>
                <w:iCs/>
                <w:noProof/>
                <w:sz w:val="20"/>
              </w:rPr>
              <w:t xml:space="preserve">(iii) Dezvoltarea unei mobilități naționale, regionale și locale durabile, </w:t>
            </w:r>
            <w:r w:rsidRPr="008335FE">
              <w:rPr>
                <w:rFonts w:ascii="Times New Roman" w:eastAsia="Times New Roman" w:hAnsi="Times New Roman" w:cs="Times New Roman"/>
                <w:iCs/>
                <w:noProof/>
                <w:sz w:val="20"/>
              </w:rPr>
              <w:lastRenderedPageBreak/>
              <w:t xml:space="preserve">reziliente în fața schimbărilor </w:t>
            </w:r>
          </w:p>
          <w:p w:rsidR="0014507E" w:rsidRDefault="0014507E" w:rsidP="0014507E">
            <w:pPr>
              <w:rPr>
                <w:rFonts w:ascii="Times New Roman" w:eastAsia="Times New Roman" w:hAnsi="Times New Roman" w:cs="Times New Roman"/>
                <w:iCs/>
                <w:noProof/>
                <w:sz w:val="20"/>
              </w:rPr>
            </w:pPr>
          </w:p>
          <w:p w:rsidR="0014507E" w:rsidRDefault="0014507E" w:rsidP="0014507E">
            <w:pPr>
              <w:rPr>
                <w:rFonts w:ascii="Times New Roman" w:eastAsia="Times New Roman" w:hAnsi="Times New Roman" w:cs="Times New Roman"/>
                <w:iCs/>
                <w:noProof/>
                <w:sz w:val="20"/>
              </w:rPr>
            </w:pPr>
          </w:p>
          <w:p w:rsidR="0014507E" w:rsidRPr="008335FE" w:rsidRDefault="0014507E" w:rsidP="0014507E">
            <w:pPr>
              <w:rPr>
                <w:rFonts w:ascii="Times New Roman" w:eastAsia="Times New Roman" w:hAnsi="Times New Roman" w:cs="Times New Roman"/>
                <w:iCs/>
                <w:noProof/>
                <w:sz w:val="20"/>
              </w:rPr>
            </w:pPr>
            <w:r w:rsidRPr="008335FE">
              <w:rPr>
                <w:rFonts w:ascii="Times New Roman" w:eastAsia="Times New Roman" w:hAnsi="Times New Roman" w:cs="Times New Roman"/>
                <w:iCs/>
                <w:noProof/>
                <w:sz w:val="20"/>
              </w:rPr>
              <w:t>climatice, inteligente și intermodale, inclusiv îmbunătățirea accesului la TEN-T și a mobilității transfrontaliere</w:t>
            </w:r>
          </w:p>
          <w:p w:rsidR="0014507E" w:rsidRPr="00383D52" w:rsidRDefault="0014507E" w:rsidP="0014507E">
            <w:pPr>
              <w:spacing w:before="120" w:after="120"/>
              <w:rPr>
                <w:rFonts w:ascii="Times New Roman" w:eastAsia="Times New Roman" w:hAnsi="Times New Roman" w:cs="Times New Roman"/>
                <w:iCs/>
                <w:noProof/>
                <w:sz w:val="20"/>
              </w:rPr>
            </w:pPr>
          </w:p>
        </w:tc>
        <w:tc>
          <w:tcPr>
            <w:tcW w:w="1063" w:type="dxa"/>
            <w:tcBorders>
              <w:top w:val="single" w:sz="4" w:space="0" w:color="auto"/>
              <w:left w:val="single" w:sz="4" w:space="0" w:color="auto"/>
              <w:bottom w:val="single" w:sz="4" w:space="0" w:color="auto"/>
              <w:right w:val="single" w:sz="4" w:space="0" w:color="auto"/>
            </w:tcBorders>
          </w:tcPr>
          <w:p w:rsidR="0014507E" w:rsidRPr="00383D52" w:rsidRDefault="0014507E" w:rsidP="0014507E">
            <w:pPr>
              <w:spacing w:before="120" w:after="120"/>
              <w:rPr>
                <w:rFonts w:ascii="Times New Roman" w:eastAsia="Times New Roman" w:hAnsi="Times New Roman" w:cs="Times New Roman"/>
                <w:iCs/>
                <w:noProof/>
                <w:sz w:val="20"/>
              </w:rPr>
            </w:pPr>
          </w:p>
        </w:tc>
        <w:tc>
          <w:tcPr>
            <w:tcW w:w="1769" w:type="dxa"/>
            <w:tcBorders>
              <w:top w:val="single" w:sz="4" w:space="0" w:color="auto"/>
              <w:left w:val="single" w:sz="4" w:space="0" w:color="auto"/>
              <w:bottom w:val="single" w:sz="4" w:space="0" w:color="auto"/>
              <w:right w:val="single" w:sz="4" w:space="0" w:color="auto"/>
            </w:tcBorders>
          </w:tcPr>
          <w:p w:rsidR="0014507E" w:rsidRPr="008335FE" w:rsidRDefault="0014507E" w:rsidP="0014507E">
            <w:pPr>
              <w:spacing w:after="0" w:line="240" w:lineRule="auto"/>
              <w:rPr>
                <w:rFonts w:ascii="Times New Roman" w:eastAsia="Times New Roman" w:hAnsi="Times New Roman" w:cs="Times New Roman"/>
                <w:iCs/>
                <w:noProof/>
                <w:sz w:val="20"/>
              </w:rPr>
            </w:pPr>
            <w:r w:rsidRPr="008335FE">
              <w:rPr>
                <w:rFonts w:ascii="Times New Roman" w:eastAsia="Times New Roman" w:hAnsi="Times New Roman" w:cs="Times New Roman"/>
                <w:iCs/>
                <w:noProof/>
                <w:sz w:val="20"/>
              </w:rPr>
              <w:t>Se efectuează o cartografiere multinodală a infrastructurilor existente și a celor planificate până în 2030, care:</w:t>
            </w:r>
          </w:p>
          <w:p w:rsidR="0014507E" w:rsidRDefault="0014507E" w:rsidP="0014507E">
            <w:pPr>
              <w:spacing w:after="0" w:line="240" w:lineRule="auto"/>
              <w:rPr>
                <w:rFonts w:ascii="Times New Roman" w:eastAsia="Times New Roman" w:hAnsi="Times New Roman" w:cs="Times New Roman"/>
                <w:iCs/>
                <w:noProof/>
                <w:sz w:val="20"/>
              </w:rPr>
            </w:pPr>
            <w:r w:rsidRPr="008335FE">
              <w:rPr>
                <w:rFonts w:ascii="Times New Roman" w:eastAsia="Times New Roman" w:hAnsi="Times New Roman" w:cs="Times New Roman"/>
                <w:iCs/>
                <w:noProof/>
                <w:sz w:val="20"/>
              </w:rPr>
              <w:t xml:space="preserve">C1.conține o </w:t>
            </w:r>
            <w:r w:rsidRPr="008335FE">
              <w:rPr>
                <w:rFonts w:ascii="Times New Roman" w:eastAsia="Times New Roman" w:hAnsi="Times New Roman" w:cs="Times New Roman"/>
                <w:iCs/>
                <w:noProof/>
                <w:sz w:val="20"/>
              </w:rPr>
              <w:lastRenderedPageBreak/>
              <w:t>justificare economică a investițiilor planificate, susținută de o analiză solidă a cererii și de o modelare a traficului, care ar trebui să ia în considerare impactul preconizat al liberalizării sectorului feroviar</w:t>
            </w:r>
          </w:p>
          <w:p w:rsidR="0014507E" w:rsidRDefault="0014507E" w:rsidP="0014507E">
            <w:pPr>
              <w:spacing w:after="0" w:line="240" w:lineRule="auto"/>
              <w:rPr>
                <w:rFonts w:ascii="Times New Roman" w:eastAsia="Times New Roman" w:hAnsi="Times New Roman" w:cs="Times New Roman"/>
                <w:iCs/>
                <w:noProof/>
                <w:sz w:val="20"/>
              </w:rPr>
            </w:pPr>
            <w:r w:rsidRPr="008335FE">
              <w:rPr>
                <w:rFonts w:ascii="Times New Roman" w:eastAsia="Times New Roman" w:hAnsi="Times New Roman" w:cs="Times New Roman"/>
                <w:iCs/>
                <w:noProof/>
                <w:sz w:val="20"/>
              </w:rPr>
              <w:t>C2.reflectă planurile privind calitatea aerului, ținând seama în special de planurile naționale de decarbonizare</w:t>
            </w:r>
          </w:p>
          <w:p w:rsidR="0014507E" w:rsidRDefault="0014507E" w:rsidP="0014507E">
            <w:pPr>
              <w:spacing w:after="0" w:line="240" w:lineRule="auto"/>
              <w:rPr>
                <w:rFonts w:ascii="Times New Roman" w:eastAsia="Times New Roman" w:hAnsi="Times New Roman" w:cs="Times New Roman"/>
                <w:iCs/>
                <w:noProof/>
                <w:sz w:val="20"/>
              </w:rPr>
            </w:pPr>
            <w:r w:rsidRPr="008335FE">
              <w:rPr>
                <w:rFonts w:ascii="Times New Roman" w:eastAsia="Times New Roman" w:hAnsi="Times New Roman" w:cs="Times New Roman"/>
                <w:iCs/>
                <w:noProof/>
                <w:sz w:val="20"/>
              </w:rPr>
              <w:t>C3.include investițiile în coridoarele rețelei centrale TEN-T, astfel cum sunt definite în Regulamentul (UE) nr. 1316/2013, în conformitate cu respectivele planuri de lucru ale rețelei TEN-T</w:t>
            </w:r>
          </w:p>
          <w:p w:rsidR="0014507E" w:rsidRDefault="0014507E" w:rsidP="0014507E">
            <w:pPr>
              <w:spacing w:after="0" w:line="240" w:lineRule="auto"/>
            </w:pPr>
            <w:r w:rsidRPr="008335FE">
              <w:rPr>
                <w:rFonts w:ascii="Times New Roman" w:eastAsia="Times New Roman" w:hAnsi="Times New Roman" w:cs="Times New Roman"/>
                <w:iCs/>
                <w:noProof/>
                <w:sz w:val="20"/>
              </w:rPr>
              <w:t>C4.în ceea ce privește investițiile din afara rețelei centrale TEN-T, garantează complementaritatea prin asigurarea unei conectivități suficiente la rețeaua centrală TEN-T și la nodurile acesteia pentru regiunile și comunitățile locale</w:t>
            </w:r>
          </w:p>
          <w:p w:rsidR="0014507E" w:rsidRDefault="0014507E" w:rsidP="0014507E">
            <w:pPr>
              <w:spacing w:after="0" w:line="240" w:lineRule="auto"/>
              <w:rPr>
                <w:rFonts w:ascii="Times New Roman" w:eastAsia="Times New Roman" w:hAnsi="Times New Roman" w:cs="Times New Roman"/>
                <w:iCs/>
                <w:noProof/>
                <w:sz w:val="20"/>
              </w:rPr>
            </w:pPr>
            <w:r w:rsidRPr="008335FE">
              <w:rPr>
                <w:rFonts w:ascii="Times New Roman" w:eastAsia="Times New Roman" w:hAnsi="Times New Roman" w:cs="Times New Roman"/>
                <w:iCs/>
                <w:noProof/>
                <w:sz w:val="20"/>
              </w:rPr>
              <w:t>C5. unde este cazul, raportează implementarea ERTMS conform cu Regulamentul de implementare al Comisiei EU 2017/6 din 5 ianuarie 2017 referitor la planul de implementare ERTMS.</w:t>
            </w:r>
          </w:p>
          <w:p w:rsidR="0014507E" w:rsidRDefault="0014507E" w:rsidP="0014507E">
            <w:pPr>
              <w:spacing w:after="0" w:line="240" w:lineRule="auto"/>
              <w:rPr>
                <w:rFonts w:ascii="Times New Roman" w:eastAsia="Times New Roman" w:hAnsi="Times New Roman" w:cs="Times New Roman"/>
                <w:iCs/>
                <w:noProof/>
                <w:sz w:val="20"/>
              </w:rPr>
            </w:pPr>
            <w:r w:rsidRPr="008335FE">
              <w:rPr>
                <w:rFonts w:ascii="Times New Roman" w:eastAsia="Times New Roman" w:hAnsi="Times New Roman" w:cs="Times New Roman"/>
                <w:iCs/>
                <w:noProof/>
                <w:sz w:val="20"/>
              </w:rPr>
              <w:t xml:space="preserve">C6.promovează multimodalitatea, </w:t>
            </w:r>
            <w:r w:rsidRPr="008335FE">
              <w:rPr>
                <w:rFonts w:ascii="Times New Roman" w:eastAsia="Times New Roman" w:hAnsi="Times New Roman" w:cs="Times New Roman"/>
                <w:iCs/>
                <w:noProof/>
                <w:sz w:val="20"/>
              </w:rPr>
              <w:lastRenderedPageBreak/>
              <w:t>identificând nevoile de terminale multimodale sau de transbordare din cadrul transportului de pasageri sau marfă, precum și nevoile de moduri active de transport</w:t>
            </w:r>
          </w:p>
          <w:p w:rsidR="0014507E" w:rsidRDefault="0014507E" w:rsidP="0014507E">
            <w:pPr>
              <w:spacing w:after="0" w:line="240" w:lineRule="auto"/>
              <w:rPr>
                <w:rFonts w:ascii="Times New Roman" w:eastAsia="Times New Roman" w:hAnsi="Times New Roman" w:cs="Times New Roman"/>
                <w:iCs/>
                <w:noProof/>
                <w:sz w:val="20"/>
              </w:rPr>
            </w:pPr>
            <w:r w:rsidRPr="008335FE">
              <w:rPr>
                <w:rFonts w:ascii="Times New Roman" w:eastAsia="Times New Roman" w:hAnsi="Times New Roman" w:cs="Times New Roman"/>
                <w:iCs/>
                <w:noProof/>
                <w:sz w:val="20"/>
              </w:rPr>
              <w:t>C7.include măsuri vizând promovarea combustibililor alternativi, în conformitate cu cadrele naționale de politi</w:t>
            </w:r>
            <w:r>
              <w:t xml:space="preserve"> C8. </w:t>
            </w:r>
            <w:r w:rsidRPr="00132731">
              <w:rPr>
                <w:rFonts w:ascii="Times New Roman" w:eastAsia="Times New Roman" w:hAnsi="Times New Roman" w:cs="Times New Roman"/>
                <w:iCs/>
                <w:noProof/>
                <w:sz w:val="20"/>
              </w:rPr>
              <w:t>Include un rezumat al evaluării riscurilor de siguranță rutieră, în conformitate cu strategiile naționale de siguranță rutieră existente, împreună cu o cartografiere a drumurilor și secțiunilor afectate și furnizarea cu prioritate a investițiilor corespunzătoare</w:t>
            </w:r>
            <w:r w:rsidRPr="008335FE">
              <w:rPr>
                <w:rFonts w:ascii="Times New Roman" w:eastAsia="Times New Roman" w:hAnsi="Times New Roman" w:cs="Times New Roman"/>
                <w:iCs/>
                <w:noProof/>
                <w:sz w:val="20"/>
              </w:rPr>
              <w:t>că relevante</w:t>
            </w:r>
          </w:p>
          <w:p w:rsidR="0014507E" w:rsidRPr="00383D52" w:rsidRDefault="0014507E" w:rsidP="0014507E">
            <w:pPr>
              <w:spacing w:after="0" w:line="240" w:lineRule="auto"/>
              <w:rPr>
                <w:rFonts w:ascii="Times New Roman" w:eastAsia="Times New Roman" w:hAnsi="Times New Roman" w:cs="Times New Roman"/>
                <w:iCs/>
                <w:noProof/>
                <w:sz w:val="20"/>
              </w:rPr>
            </w:pPr>
            <w:r w:rsidRPr="00132731">
              <w:rPr>
                <w:rFonts w:ascii="Times New Roman" w:eastAsia="Times New Roman" w:hAnsi="Times New Roman" w:cs="Times New Roman"/>
                <w:iCs/>
                <w:noProof/>
                <w:sz w:val="20"/>
              </w:rPr>
              <w:t>C9. furnizează informații privind resursele bugetare și de finanțare corespunzătoare investițiilor planificate și necesare pentru acoperirea costurilor de exploatare și de întreținere a infrastructurilor existente și a celor planificate</w:t>
            </w:r>
          </w:p>
        </w:tc>
        <w:tc>
          <w:tcPr>
            <w:tcW w:w="1063" w:type="dxa"/>
            <w:tcBorders>
              <w:top w:val="single" w:sz="4" w:space="0" w:color="auto"/>
              <w:left w:val="single" w:sz="4" w:space="0" w:color="auto"/>
              <w:bottom w:val="single" w:sz="4" w:space="0" w:color="auto"/>
              <w:right w:val="single" w:sz="4" w:space="0" w:color="auto"/>
            </w:tcBorders>
          </w:tcPr>
          <w:p w:rsidR="0014507E" w:rsidRPr="001A17A2" w:rsidRDefault="0014507E" w:rsidP="0014507E">
            <w:pPr>
              <w:spacing w:before="120" w:after="120"/>
              <w:rPr>
                <w:rFonts w:ascii="Times New Roman" w:eastAsia="Times New Roman" w:hAnsi="Times New Roman" w:cs="Times New Roman"/>
                <w:iCs/>
                <w:noProof/>
                <w:sz w:val="20"/>
                <w:lang w:val="en-US"/>
              </w:rPr>
            </w:pPr>
          </w:p>
        </w:tc>
        <w:tc>
          <w:tcPr>
            <w:tcW w:w="1085" w:type="dxa"/>
            <w:tcBorders>
              <w:top w:val="single" w:sz="4" w:space="0" w:color="auto"/>
              <w:left w:val="single" w:sz="4" w:space="0" w:color="auto"/>
              <w:bottom w:val="single" w:sz="4" w:space="0" w:color="auto"/>
              <w:right w:val="single" w:sz="4" w:space="0" w:color="auto"/>
            </w:tcBorders>
          </w:tcPr>
          <w:p w:rsidR="0014507E" w:rsidRPr="001A17A2" w:rsidRDefault="0014507E" w:rsidP="0014507E">
            <w:pPr>
              <w:spacing w:before="120" w:after="120"/>
              <w:rPr>
                <w:rFonts w:ascii="Times New Roman" w:eastAsia="Times New Roman" w:hAnsi="Times New Roman" w:cs="Times New Roman"/>
                <w:iCs/>
                <w:noProof/>
                <w:sz w:val="20"/>
                <w:lang w:val="en-US"/>
              </w:rPr>
            </w:pPr>
          </w:p>
        </w:tc>
        <w:tc>
          <w:tcPr>
            <w:tcW w:w="1210" w:type="dxa"/>
            <w:tcBorders>
              <w:top w:val="single" w:sz="4" w:space="0" w:color="auto"/>
              <w:left w:val="single" w:sz="4" w:space="0" w:color="auto"/>
              <w:bottom w:val="single" w:sz="4" w:space="0" w:color="auto"/>
              <w:right w:val="single" w:sz="4" w:space="0" w:color="auto"/>
            </w:tcBorders>
          </w:tcPr>
          <w:p w:rsidR="0014507E" w:rsidRPr="001A17A2" w:rsidRDefault="0014507E" w:rsidP="0014507E">
            <w:pPr>
              <w:spacing w:before="120" w:after="120"/>
              <w:rPr>
                <w:rFonts w:ascii="Times New Roman" w:eastAsia="Times New Roman" w:hAnsi="Times New Roman" w:cs="Times New Roman"/>
                <w:iCs/>
                <w:noProof/>
                <w:sz w:val="20"/>
                <w:lang w:val="en-US"/>
              </w:rPr>
            </w:pPr>
          </w:p>
        </w:tc>
      </w:tr>
      <w:tr w:rsidR="0014507E" w:rsidRPr="001A17A2" w:rsidTr="004B0EE3">
        <w:tc>
          <w:tcPr>
            <w:tcW w:w="1375" w:type="dxa"/>
            <w:tcBorders>
              <w:top w:val="single" w:sz="4" w:space="0" w:color="auto"/>
              <w:left w:val="single" w:sz="4" w:space="0" w:color="auto"/>
              <w:bottom w:val="single" w:sz="4" w:space="0" w:color="auto"/>
              <w:right w:val="single" w:sz="4" w:space="0" w:color="auto"/>
            </w:tcBorders>
          </w:tcPr>
          <w:p w:rsidR="0014507E" w:rsidRPr="00627D1D" w:rsidRDefault="0014507E" w:rsidP="0014507E">
            <w:pPr>
              <w:spacing w:before="120" w:after="120"/>
              <w:ind w:right="-108"/>
              <w:rPr>
                <w:rFonts w:ascii="Times New Roman" w:eastAsia="Times New Roman" w:hAnsi="Times New Roman" w:cs="Times New Roman"/>
                <w:iCs/>
                <w:noProof/>
                <w:sz w:val="20"/>
              </w:rPr>
            </w:pPr>
            <w:r w:rsidRPr="00132731">
              <w:rPr>
                <w:rFonts w:ascii="Times New Roman" w:eastAsia="Times New Roman" w:hAnsi="Times New Roman" w:cs="Times New Roman"/>
                <w:iCs/>
                <w:noProof/>
                <w:sz w:val="20"/>
              </w:rPr>
              <w:lastRenderedPageBreak/>
              <w:t>Un cadru de politică strategic pentru sistemul de educație și formare, la toate nivelurile</w:t>
            </w:r>
          </w:p>
        </w:tc>
        <w:tc>
          <w:tcPr>
            <w:tcW w:w="698" w:type="dxa"/>
            <w:tcBorders>
              <w:top w:val="single" w:sz="4" w:space="0" w:color="auto"/>
              <w:left w:val="single" w:sz="4" w:space="0" w:color="auto"/>
              <w:bottom w:val="single" w:sz="4" w:space="0" w:color="auto"/>
              <w:right w:val="single" w:sz="4" w:space="0" w:color="auto"/>
            </w:tcBorders>
          </w:tcPr>
          <w:p w:rsidR="0014507E" w:rsidRPr="00627D1D" w:rsidRDefault="0014507E" w:rsidP="0014507E">
            <w:pPr>
              <w:spacing w:before="120" w:after="120"/>
              <w:rPr>
                <w:rFonts w:ascii="Times New Roman" w:eastAsia="Times New Roman" w:hAnsi="Times New Roman" w:cs="Times New Roman"/>
                <w:iCs/>
                <w:noProof/>
                <w:sz w:val="20"/>
              </w:rPr>
            </w:pPr>
          </w:p>
        </w:tc>
        <w:tc>
          <w:tcPr>
            <w:tcW w:w="1366" w:type="dxa"/>
            <w:tcBorders>
              <w:top w:val="single" w:sz="4" w:space="0" w:color="auto"/>
              <w:left w:val="single" w:sz="4" w:space="0" w:color="auto"/>
              <w:bottom w:val="single" w:sz="4" w:space="0" w:color="auto"/>
              <w:right w:val="single" w:sz="4" w:space="0" w:color="auto"/>
            </w:tcBorders>
          </w:tcPr>
          <w:p w:rsidR="0014507E" w:rsidRPr="00627D1D" w:rsidRDefault="0014507E" w:rsidP="0014507E">
            <w:pPr>
              <w:spacing w:before="120" w:after="120"/>
              <w:rPr>
                <w:rFonts w:ascii="Times New Roman" w:eastAsia="Times New Roman" w:hAnsi="Times New Roman" w:cs="Times New Roman"/>
                <w:iCs/>
                <w:noProof/>
                <w:sz w:val="20"/>
              </w:rPr>
            </w:pPr>
            <w:r w:rsidRPr="00627D1D">
              <w:rPr>
                <w:rFonts w:ascii="Times New Roman" w:eastAsia="Times New Roman" w:hAnsi="Times New Roman" w:cs="Times New Roman"/>
                <w:iCs/>
                <w:noProof/>
                <w:sz w:val="20"/>
              </w:rPr>
              <w:t xml:space="preserve">d (ii) îmbunătățirea accesului la servicii de calitate și favorabile incluziunii în educație, formare și </w:t>
            </w:r>
            <w:r w:rsidRPr="00627D1D">
              <w:rPr>
                <w:rFonts w:ascii="Times New Roman" w:eastAsia="Times New Roman" w:hAnsi="Times New Roman" w:cs="Times New Roman"/>
                <w:iCs/>
                <w:noProof/>
                <w:sz w:val="20"/>
              </w:rPr>
              <w:lastRenderedPageBreak/>
              <w:t>învățarea pe tot parcursul vieții prin dezvoltarea infrastructurii;</w:t>
            </w:r>
          </w:p>
        </w:tc>
        <w:tc>
          <w:tcPr>
            <w:tcW w:w="1063" w:type="dxa"/>
            <w:tcBorders>
              <w:top w:val="single" w:sz="4" w:space="0" w:color="auto"/>
              <w:left w:val="single" w:sz="4" w:space="0" w:color="auto"/>
              <w:bottom w:val="single" w:sz="4" w:space="0" w:color="auto"/>
              <w:right w:val="single" w:sz="4" w:space="0" w:color="auto"/>
            </w:tcBorders>
          </w:tcPr>
          <w:p w:rsidR="0014507E" w:rsidRPr="00627D1D" w:rsidRDefault="0014507E" w:rsidP="0014507E">
            <w:pPr>
              <w:spacing w:before="120" w:after="120"/>
              <w:rPr>
                <w:rFonts w:ascii="Times New Roman" w:eastAsia="Times New Roman" w:hAnsi="Times New Roman" w:cs="Times New Roman"/>
                <w:iCs/>
                <w:noProof/>
                <w:sz w:val="20"/>
              </w:rPr>
            </w:pPr>
          </w:p>
        </w:tc>
        <w:tc>
          <w:tcPr>
            <w:tcW w:w="1769" w:type="dxa"/>
            <w:tcBorders>
              <w:top w:val="single" w:sz="4" w:space="0" w:color="auto"/>
              <w:left w:val="single" w:sz="4" w:space="0" w:color="auto"/>
              <w:bottom w:val="single" w:sz="4" w:space="0" w:color="auto"/>
              <w:right w:val="single" w:sz="4" w:space="0" w:color="auto"/>
            </w:tcBorders>
          </w:tcPr>
          <w:p w:rsidR="0014507E" w:rsidRDefault="0014507E" w:rsidP="0014507E">
            <w:pPr>
              <w:spacing w:after="0" w:line="240" w:lineRule="auto"/>
              <w:rPr>
                <w:rFonts w:ascii="Times New Roman" w:eastAsia="Times New Roman" w:hAnsi="Times New Roman" w:cs="Times New Roman"/>
                <w:iCs/>
                <w:noProof/>
                <w:sz w:val="20"/>
              </w:rPr>
            </w:pPr>
            <w:r w:rsidRPr="00132731">
              <w:rPr>
                <w:rFonts w:ascii="Times New Roman" w:eastAsia="Times New Roman" w:hAnsi="Times New Roman" w:cs="Times New Roman"/>
                <w:iCs/>
                <w:noProof/>
                <w:sz w:val="20"/>
              </w:rPr>
              <w:t>Existența unui cadru de politică strategic la nivel național și/</w:t>
            </w:r>
            <w:r w:rsidR="00CF3F30">
              <w:rPr>
                <w:rFonts w:ascii="Times New Roman" w:eastAsia="Times New Roman" w:hAnsi="Times New Roman" w:cs="Times New Roman"/>
                <w:iCs/>
                <w:noProof/>
                <w:sz w:val="20"/>
              </w:rPr>
              <w:t xml:space="preserve"> </w:t>
            </w:r>
            <w:r w:rsidRPr="00132731">
              <w:rPr>
                <w:rFonts w:ascii="Times New Roman" w:eastAsia="Times New Roman" w:hAnsi="Times New Roman" w:cs="Times New Roman"/>
                <w:iCs/>
                <w:noProof/>
                <w:sz w:val="20"/>
              </w:rPr>
              <w:t>sau regional pentru sistemul de educație și formare, care cuprinde:</w:t>
            </w:r>
          </w:p>
          <w:p w:rsidR="0014507E" w:rsidRDefault="0014507E" w:rsidP="0014507E">
            <w:pPr>
              <w:spacing w:after="0" w:line="240" w:lineRule="auto"/>
              <w:rPr>
                <w:rFonts w:ascii="Times New Roman" w:eastAsia="Times New Roman" w:hAnsi="Times New Roman" w:cs="Times New Roman"/>
                <w:iCs/>
                <w:noProof/>
                <w:sz w:val="20"/>
              </w:rPr>
            </w:pPr>
            <w:r w:rsidRPr="00132731">
              <w:rPr>
                <w:rFonts w:ascii="Times New Roman" w:eastAsia="Times New Roman" w:hAnsi="Times New Roman" w:cs="Times New Roman"/>
                <w:iCs/>
                <w:noProof/>
                <w:sz w:val="20"/>
              </w:rPr>
              <w:t xml:space="preserve">C1.sisteme de anticipare și </w:t>
            </w:r>
            <w:r w:rsidRPr="00132731">
              <w:rPr>
                <w:rFonts w:ascii="Times New Roman" w:eastAsia="Times New Roman" w:hAnsi="Times New Roman" w:cs="Times New Roman"/>
                <w:iCs/>
                <w:noProof/>
                <w:sz w:val="20"/>
              </w:rPr>
              <w:lastRenderedPageBreak/>
              <w:t>previziuni privind competențele, bazate pe date concrete, precum și mecanisme și servicii de monitorizare</w:t>
            </w:r>
          </w:p>
          <w:p w:rsidR="0014507E" w:rsidRDefault="0014507E" w:rsidP="0014507E">
            <w:pPr>
              <w:spacing w:after="0" w:line="240" w:lineRule="auto"/>
              <w:rPr>
                <w:rFonts w:ascii="Times New Roman" w:eastAsia="Times New Roman" w:hAnsi="Times New Roman" w:cs="Times New Roman"/>
                <w:iCs/>
                <w:noProof/>
                <w:sz w:val="20"/>
              </w:rPr>
            </w:pPr>
            <w:r w:rsidRPr="00132731">
              <w:rPr>
                <w:rFonts w:ascii="Times New Roman" w:eastAsia="Times New Roman" w:hAnsi="Times New Roman" w:cs="Times New Roman"/>
                <w:iCs/>
                <w:noProof/>
                <w:sz w:val="20"/>
              </w:rPr>
              <w:t>C2.măsuri care să garanteze un acces egal, participarea și absolvirea unor programe de educație și formare de calitate, relevante și incluzive și dobândirea de competențe-cheie la toate nivelurile, inclusiv în învățământul superior</w:t>
            </w:r>
          </w:p>
          <w:p w:rsidR="0014507E" w:rsidRDefault="0014507E" w:rsidP="0014507E">
            <w:pPr>
              <w:spacing w:after="0" w:line="240" w:lineRule="auto"/>
              <w:rPr>
                <w:rFonts w:ascii="Times New Roman" w:eastAsia="Times New Roman" w:hAnsi="Times New Roman" w:cs="Times New Roman"/>
                <w:iCs/>
                <w:noProof/>
                <w:sz w:val="20"/>
              </w:rPr>
            </w:pPr>
            <w:r w:rsidRPr="00132731">
              <w:rPr>
                <w:rFonts w:ascii="Times New Roman" w:eastAsia="Times New Roman" w:hAnsi="Times New Roman" w:cs="Times New Roman"/>
                <w:iCs/>
                <w:noProof/>
                <w:sz w:val="20"/>
              </w:rPr>
              <w:t>C3.un mecanism de coordonare la toate nivelurile sistemului de educație și formare, inclusiv la nivelul învățământului terțiar, și o atribuire clară a responsabilităților între autoritățile naționale relevante și/sau organismele regionale</w:t>
            </w:r>
          </w:p>
          <w:p w:rsidR="0014507E" w:rsidRDefault="0014507E" w:rsidP="0014507E">
            <w:pPr>
              <w:spacing w:after="0" w:line="240" w:lineRule="auto"/>
              <w:rPr>
                <w:rFonts w:ascii="Times New Roman" w:eastAsia="Times New Roman" w:hAnsi="Times New Roman" w:cs="Times New Roman"/>
                <w:iCs/>
                <w:noProof/>
                <w:sz w:val="20"/>
              </w:rPr>
            </w:pPr>
            <w:r w:rsidRPr="00132731">
              <w:rPr>
                <w:rFonts w:ascii="Times New Roman" w:eastAsia="Times New Roman" w:hAnsi="Times New Roman" w:cs="Times New Roman"/>
                <w:iCs/>
                <w:noProof/>
                <w:sz w:val="20"/>
              </w:rPr>
              <w:t>C4.modalități de monitorizare, evaluare și revizuire a cadrului de politică strategic</w:t>
            </w:r>
          </w:p>
          <w:p w:rsidR="0014507E" w:rsidRDefault="0014507E" w:rsidP="0014507E">
            <w:pPr>
              <w:spacing w:after="0" w:line="240" w:lineRule="auto"/>
              <w:rPr>
                <w:rFonts w:ascii="Times New Roman" w:eastAsia="Times New Roman" w:hAnsi="Times New Roman" w:cs="Times New Roman"/>
                <w:iCs/>
                <w:noProof/>
                <w:sz w:val="20"/>
              </w:rPr>
            </w:pPr>
            <w:r w:rsidRPr="00132731">
              <w:rPr>
                <w:rFonts w:ascii="Times New Roman" w:eastAsia="Times New Roman" w:hAnsi="Times New Roman" w:cs="Times New Roman"/>
                <w:iCs/>
                <w:noProof/>
                <w:sz w:val="20"/>
              </w:rPr>
              <w:t>C5.măsuri care să vizeze adulții cu calificări și competențe reduse și persoanele provenind din medii socioeconomice dezavantajate, și parcursuri de perfecționare profesională</w:t>
            </w:r>
          </w:p>
          <w:p w:rsidR="0014507E" w:rsidRPr="00627D1D" w:rsidRDefault="0014507E" w:rsidP="0014507E">
            <w:pPr>
              <w:spacing w:after="0" w:line="240" w:lineRule="auto"/>
              <w:rPr>
                <w:rFonts w:ascii="Times New Roman" w:eastAsia="Times New Roman" w:hAnsi="Times New Roman" w:cs="Times New Roman"/>
                <w:iCs/>
                <w:noProof/>
                <w:sz w:val="20"/>
              </w:rPr>
            </w:pPr>
            <w:r w:rsidRPr="00132731">
              <w:rPr>
                <w:rFonts w:ascii="Times New Roman" w:eastAsia="Times New Roman" w:hAnsi="Times New Roman" w:cs="Times New Roman"/>
                <w:iCs/>
                <w:noProof/>
                <w:sz w:val="20"/>
              </w:rPr>
              <w:t xml:space="preserve">C6. Măsuri de sprijinire a cadrelor didactice, a formatorilor și a personalului universitar în ceea ce privește metode de învățare </w:t>
            </w:r>
            <w:r w:rsidRPr="00132731">
              <w:rPr>
                <w:rFonts w:ascii="Times New Roman" w:eastAsia="Times New Roman" w:hAnsi="Times New Roman" w:cs="Times New Roman"/>
                <w:iCs/>
                <w:noProof/>
                <w:sz w:val="20"/>
              </w:rPr>
              <w:lastRenderedPageBreak/>
              <w:t>adecvate, evaluarea și validarea competențelor-cheie măsuri destinate a promova mobilitatea cursanților și a personalului și colaborarea transnațională a formatorilor și a personalului didactic, inclusiv prin recunoașterea rezultatelor studiilor și a calificărilor.</w:t>
            </w:r>
          </w:p>
        </w:tc>
        <w:tc>
          <w:tcPr>
            <w:tcW w:w="1063" w:type="dxa"/>
            <w:tcBorders>
              <w:top w:val="single" w:sz="4" w:space="0" w:color="auto"/>
              <w:left w:val="single" w:sz="4" w:space="0" w:color="auto"/>
              <w:bottom w:val="single" w:sz="4" w:space="0" w:color="auto"/>
              <w:right w:val="single" w:sz="4" w:space="0" w:color="auto"/>
            </w:tcBorders>
          </w:tcPr>
          <w:p w:rsidR="0014507E" w:rsidRPr="001A17A2" w:rsidRDefault="0014507E" w:rsidP="0014507E">
            <w:pPr>
              <w:spacing w:before="120" w:after="120"/>
              <w:rPr>
                <w:rFonts w:ascii="Times New Roman" w:eastAsia="Times New Roman" w:hAnsi="Times New Roman" w:cs="Times New Roman"/>
                <w:iCs/>
                <w:noProof/>
                <w:sz w:val="20"/>
                <w:lang w:val="en-US"/>
              </w:rPr>
            </w:pPr>
          </w:p>
        </w:tc>
        <w:tc>
          <w:tcPr>
            <w:tcW w:w="1085" w:type="dxa"/>
            <w:tcBorders>
              <w:top w:val="single" w:sz="4" w:space="0" w:color="auto"/>
              <w:left w:val="single" w:sz="4" w:space="0" w:color="auto"/>
              <w:bottom w:val="single" w:sz="4" w:space="0" w:color="auto"/>
              <w:right w:val="single" w:sz="4" w:space="0" w:color="auto"/>
            </w:tcBorders>
          </w:tcPr>
          <w:p w:rsidR="0014507E" w:rsidRPr="001A17A2" w:rsidRDefault="0014507E" w:rsidP="0014507E">
            <w:pPr>
              <w:spacing w:before="120" w:after="120"/>
              <w:rPr>
                <w:rFonts w:ascii="Times New Roman" w:eastAsia="Times New Roman" w:hAnsi="Times New Roman" w:cs="Times New Roman"/>
                <w:iCs/>
                <w:noProof/>
                <w:sz w:val="20"/>
                <w:lang w:val="en-US"/>
              </w:rPr>
            </w:pPr>
          </w:p>
        </w:tc>
        <w:tc>
          <w:tcPr>
            <w:tcW w:w="1210" w:type="dxa"/>
            <w:tcBorders>
              <w:top w:val="single" w:sz="4" w:space="0" w:color="auto"/>
              <w:left w:val="single" w:sz="4" w:space="0" w:color="auto"/>
              <w:bottom w:val="single" w:sz="4" w:space="0" w:color="auto"/>
              <w:right w:val="single" w:sz="4" w:space="0" w:color="auto"/>
            </w:tcBorders>
          </w:tcPr>
          <w:p w:rsidR="0014507E" w:rsidRPr="001A17A2" w:rsidRDefault="0014507E" w:rsidP="0014507E">
            <w:pPr>
              <w:spacing w:before="120" w:after="120"/>
              <w:rPr>
                <w:rFonts w:ascii="Times New Roman" w:eastAsia="Times New Roman" w:hAnsi="Times New Roman" w:cs="Times New Roman"/>
                <w:iCs/>
                <w:noProof/>
                <w:sz w:val="20"/>
                <w:lang w:val="en-US"/>
              </w:rPr>
            </w:pPr>
          </w:p>
        </w:tc>
      </w:tr>
    </w:tbl>
    <w:p w:rsidR="001A17A2" w:rsidRPr="001A17A2" w:rsidRDefault="001A17A2" w:rsidP="001A17A2">
      <w:pPr>
        <w:spacing w:before="120" w:after="120" w:line="360" w:lineRule="auto"/>
        <w:rPr>
          <w:rFonts w:ascii="Times New Roman" w:hAnsi="Times New Roman" w:cs="Times New Roman"/>
          <w:b/>
          <w:noProof/>
          <w:sz w:val="24"/>
          <w:lang w:val="fr-BE"/>
        </w:rPr>
      </w:pPr>
      <w:r w:rsidRPr="001A17A2">
        <w:rPr>
          <w:rFonts w:ascii="Times New Roman" w:hAnsi="Times New Roman" w:cs="Times New Roman"/>
          <w:b/>
          <w:noProof/>
          <w:sz w:val="24"/>
          <w:lang w:val="fr-BE"/>
        </w:rPr>
        <w:lastRenderedPageBreak/>
        <w:br w:type="page"/>
      </w:r>
      <w:r w:rsidRPr="001A17A2">
        <w:rPr>
          <w:rFonts w:ascii="Times New Roman" w:hAnsi="Times New Roman" w:cs="Times New Roman"/>
          <w:b/>
          <w:noProof/>
          <w:sz w:val="24"/>
          <w:lang w:val="fr-BE"/>
        </w:rPr>
        <w:lastRenderedPageBreak/>
        <w:t>5.</w:t>
      </w:r>
      <w:r w:rsidRPr="001A17A2">
        <w:rPr>
          <w:rFonts w:ascii="Times New Roman" w:hAnsi="Times New Roman" w:cs="Times New Roman"/>
          <w:b/>
          <w:noProof/>
          <w:sz w:val="24"/>
          <w:lang w:val="fr-BE"/>
        </w:rPr>
        <w:tab/>
        <w:t xml:space="preserve">Programme authorities </w:t>
      </w:r>
    </w:p>
    <w:p w:rsidR="001A17A2" w:rsidRPr="001A17A2" w:rsidRDefault="001A17A2" w:rsidP="001A17A2">
      <w:pPr>
        <w:spacing w:before="120" w:after="120" w:line="360" w:lineRule="auto"/>
        <w:rPr>
          <w:rFonts w:ascii="Times New Roman" w:eastAsia="Times New Roman" w:hAnsi="Times New Roman" w:cs="Times New Roman"/>
          <w:b/>
          <w:i/>
          <w:iCs/>
          <w:noProof/>
          <w:sz w:val="24"/>
          <w:szCs w:val="24"/>
          <w:lang w:val="fr-BE"/>
        </w:rPr>
      </w:pPr>
      <w:r w:rsidRPr="001A17A2">
        <w:rPr>
          <w:rFonts w:ascii="Times New Roman" w:eastAsia="Times New Roman" w:hAnsi="Times New Roman" w:cs="Times New Roman"/>
          <w:i/>
          <w:noProof/>
          <w:sz w:val="24"/>
          <w:szCs w:val="24"/>
          <w:lang w:val="fr-BE"/>
        </w:rPr>
        <w:t>Reference: Article 17(3)(j); Article 65, Article 78 CPR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2"/>
        <w:gridCol w:w="2403"/>
        <w:gridCol w:w="2057"/>
        <w:gridCol w:w="2376"/>
      </w:tblGrid>
      <w:tr w:rsidR="001A17A2" w:rsidRPr="001A17A2" w:rsidTr="004F32B2">
        <w:tc>
          <w:tcPr>
            <w:tcW w:w="9288" w:type="dxa"/>
            <w:gridSpan w:val="4"/>
            <w:tcBorders>
              <w:top w:val="single" w:sz="4" w:space="0" w:color="auto"/>
              <w:left w:val="single" w:sz="4" w:space="0" w:color="auto"/>
              <w:bottom w:val="single" w:sz="4" w:space="0" w:color="auto"/>
              <w:right w:val="single" w:sz="4" w:space="0" w:color="auto"/>
            </w:tcBorders>
            <w:hideMark/>
          </w:tcPr>
          <w:p w:rsidR="001A17A2" w:rsidRPr="001A17A2" w:rsidRDefault="001A17A2" w:rsidP="001A17A2">
            <w:pPr>
              <w:spacing w:before="120" w:after="120" w:line="360" w:lineRule="auto"/>
              <w:rPr>
                <w:rFonts w:ascii="Times New Roman" w:hAnsi="Times New Roman" w:cs="Times New Roman"/>
                <w:b/>
                <w:noProof/>
                <w:sz w:val="20"/>
                <w:lang w:val="en-US"/>
              </w:rPr>
            </w:pPr>
            <w:r w:rsidRPr="001A17A2">
              <w:rPr>
                <w:rFonts w:ascii="Times New Roman" w:hAnsi="Times New Roman" w:cs="Times New Roman"/>
                <w:b/>
                <w:noProof/>
                <w:sz w:val="20"/>
                <w:lang w:val="en-US"/>
              </w:rPr>
              <w:t>Table 13: Programme authorities</w:t>
            </w:r>
          </w:p>
        </w:tc>
      </w:tr>
      <w:tr w:rsidR="001A17A2" w:rsidRPr="001A17A2" w:rsidTr="004F32B2">
        <w:tc>
          <w:tcPr>
            <w:tcW w:w="2452" w:type="dxa"/>
            <w:tcBorders>
              <w:top w:val="single" w:sz="4" w:space="0" w:color="auto"/>
              <w:left w:val="single" w:sz="4" w:space="0" w:color="auto"/>
              <w:bottom w:val="single" w:sz="4" w:space="0" w:color="auto"/>
              <w:right w:val="single" w:sz="4" w:space="0" w:color="auto"/>
            </w:tcBorders>
            <w:hideMark/>
          </w:tcPr>
          <w:p w:rsidR="001A17A2" w:rsidRPr="001A17A2" w:rsidRDefault="001A17A2" w:rsidP="001A17A2">
            <w:pPr>
              <w:spacing w:before="120" w:after="120" w:line="360" w:lineRule="auto"/>
              <w:rPr>
                <w:rFonts w:ascii="Times New Roman" w:hAnsi="Times New Roman" w:cs="Times New Roman"/>
                <w:b/>
                <w:noProof/>
                <w:sz w:val="20"/>
                <w:lang w:val="en-US"/>
              </w:rPr>
            </w:pPr>
            <w:r w:rsidRPr="001A17A2">
              <w:rPr>
                <w:rFonts w:ascii="Times New Roman" w:hAnsi="Times New Roman" w:cs="Times New Roman"/>
                <w:b/>
                <w:noProof/>
                <w:sz w:val="20"/>
                <w:lang w:val="en-US"/>
              </w:rPr>
              <w:t xml:space="preserve">Programme authorities </w:t>
            </w:r>
          </w:p>
        </w:tc>
        <w:tc>
          <w:tcPr>
            <w:tcW w:w="2403" w:type="dxa"/>
            <w:tcBorders>
              <w:top w:val="single" w:sz="4" w:space="0" w:color="auto"/>
              <w:left w:val="single" w:sz="4" w:space="0" w:color="auto"/>
              <w:bottom w:val="single" w:sz="4" w:space="0" w:color="auto"/>
              <w:right w:val="single" w:sz="4" w:space="0" w:color="auto"/>
            </w:tcBorders>
            <w:hideMark/>
          </w:tcPr>
          <w:p w:rsidR="001A17A2" w:rsidRPr="001A17A2" w:rsidRDefault="001A17A2" w:rsidP="001A17A2">
            <w:pPr>
              <w:spacing w:before="120" w:after="120" w:line="360" w:lineRule="auto"/>
              <w:rPr>
                <w:rFonts w:ascii="Times New Roman" w:hAnsi="Times New Roman" w:cs="Times New Roman"/>
                <w:b/>
                <w:noProof/>
                <w:sz w:val="20"/>
                <w:lang w:val="en-US"/>
              </w:rPr>
            </w:pPr>
            <w:r w:rsidRPr="001A17A2">
              <w:rPr>
                <w:rFonts w:ascii="Times New Roman" w:hAnsi="Times New Roman" w:cs="Times New Roman"/>
                <w:b/>
                <w:noProof/>
                <w:sz w:val="20"/>
                <w:lang w:val="en-US"/>
              </w:rPr>
              <w:t xml:space="preserve">Name of the institution </w:t>
            </w:r>
            <w:r w:rsidRPr="001A17A2">
              <w:rPr>
                <w:rFonts w:ascii="Times New Roman" w:hAnsi="Times New Roman" w:cs="Times New Roman"/>
                <w:noProof/>
                <w:sz w:val="20"/>
                <w:lang w:val="en-US"/>
              </w:rPr>
              <w:t>[500]</w:t>
            </w:r>
          </w:p>
        </w:tc>
        <w:tc>
          <w:tcPr>
            <w:tcW w:w="2057" w:type="dxa"/>
            <w:tcBorders>
              <w:top w:val="single" w:sz="4" w:space="0" w:color="auto"/>
              <w:left w:val="single" w:sz="4" w:space="0" w:color="auto"/>
              <w:bottom w:val="single" w:sz="4" w:space="0" w:color="auto"/>
              <w:right w:val="single" w:sz="4" w:space="0" w:color="auto"/>
            </w:tcBorders>
          </w:tcPr>
          <w:p w:rsidR="001A17A2" w:rsidRPr="001A17A2" w:rsidRDefault="001A17A2" w:rsidP="001A17A2">
            <w:pPr>
              <w:spacing w:before="120" w:after="120" w:line="360" w:lineRule="auto"/>
              <w:rPr>
                <w:rFonts w:ascii="Times New Roman" w:hAnsi="Times New Roman" w:cs="Times New Roman"/>
                <w:b/>
                <w:noProof/>
                <w:sz w:val="20"/>
                <w:lang w:val="en-US"/>
              </w:rPr>
            </w:pPr>
            <w:r w:rsidRPr="001A17A2">
              <w:rPr>
                <w:rFonts w:ascii="Times New Roman" w:hAnsi="Times New Roman" w:cs="Times New Roman"/>
                <w:b/>
                <w:noProof/>
                <w:sz w:val="20"/>
                <w:lang w:val="en-US"/>
              </w:rPr>
              <w:t xml:space="preserve">Contact name </w:t>
            </w:r>
            <w:r w:rsidRPr="001A17A2">
              <w:rPr>
                <w:rFonts w:ascii="Times New Roman" w:hAnsi="Times New Roman" w:cs="Times New Roman"/>
                <w:noProof/>
                <w:sz w:val="20"/>
                <w:lang w:val="en-US"/>
              </w:rPr>
              <w:t>[200]</w:t>
            </w:r>
          </w:p>
          <w:p w:rsidR="001A17A2" w:rsidRPr="001A17A2" w:rsidRDefault="001A17A2" w:rsidP="001A17A2">
            <w:pPr>
              <w:spacing w:before="120" w:after="120" w:line="360" w:lineRule="auto"/>
              <w:rPr>
                <w:rFonts w:ascii="Times New Roman" w:hAnsi="Times New Roman" w:cs="Times New Roman"/>
                <w:b/>
                <w:noProof/>
                <w:sz w:val="20"/>
                <w:lang w:val="en-US"/>
              </w:rPr>
            </w:pPr>
          </w:p>
        </w:tc>
        <w:tc>
          <w:tcPr>
            <w:tcW w:w="2376" w:type="dxa"/>
            <w:tcBorders>
              <w:top w:val="single" w:sz="4" w:space="0" w:color="auto"/>
              <w:left w:val="single" w:sz="4" w:space="0" w:color="auto"/>
              <w:bottom w:val="single" w:sz="4" w:space="0" w:color="auto"/>
              <w:right w:val="single" w:sz="4" w:space="0" w:color="auto"/>
            </w:tcBorders>
            <w:hideMark/>
          </w:tcPr>
          <w:p w:rsidR="001A17A2" w:rsidRPr="001A17A2" w:rsidRDefault="001A17A2" w:rsidP="001A17A2">
            <w:pPr>
              <w:spacing w:before="120" w:after="120" w:line="360" w:lineRule="auto"/>
              <w:rPr>
                <w:rFonts w:ascii="Times New Roman" w:hAnsi="Times New Roman" w:cs="Times New Roman"/>
                <w:b/>
                <w:noProof/>
                <w:sz w:val="20"/>
                <w:lang w:val="en-US"/>
              </w:rPr>
            </w:pPr>
            <w:r w:rsidRPr="001A17A2">
              <w:rPr>
                <w:rFonts w:ascii="Times New Roman" w:hAnsi="Times New Roman" w:cs="Times New Roman"/>
                <w:b/>
                <w:noProof/>
                <w:sz w:val="20"/>
                <w:lang w:val="en-US"/>
              </w:rPr>
              <w:t xml:space="preserve">E-mail </w:t>
            </w:r>
            <w:r w:rsidRPr="001A17A2">
              <w:rPr>
                <w:rFonts w:ascii="Times New Roman" w:hAnsi="Times New Roman" w:cs="Times New Roman"/>
                <w:noProof/>
                <w:sz w:val="20"/>
                <w:lang w:val="en-US"/>
              </w:rPr>
              <w:t>[200]</w:t>
            </w:r>
          </w:p>
        </w:tc>
      </w:tr>
      <w:tr w:rsidR="00B15508" w:rsidRPr="001A17A2" w:rsidTr="004F32B2">
        <w:tc>
          <w:tcPr>
            <w:tcW w:w="2452" w:type="dxa"/>
            <w:tcBorders>
              <w:top w:val="single" w:sz="4" w:space="0" w:color="auto"/>
              <w:left w:val="single" w:sz="4" w:space="0" w:color="auto"/>
              <w:bottom w:val="single" w:sz="4" w:space="0" w:color="auto"/>
              <w:right w:val="single" w:sz="4" w:space="0" w:color="auto"/>
            </w:tcBorders>
            <w:hideMark/>
          </w:tcPr>
          <w:p w:rsidR="00B15508" w:rsidRPr="001A17A2" w:rsidRDefault="00B15508" w:rsidP="00B15508">
            <w:pPr>
              <w:spacing w:before="120" w:after="120" w:line="360" w:lineRule="auto"/>
              <w:rPr>
                <w:rFonts w:ascii="Times New Roman" w:hAnsi="Times New Roman" w:cs="Times New Roman"/>
                <w:noProof/>
                <w:sz w:val="20"/>
                <w:lang w:val="en-US"/>
              </w:rPr>
            </w:pPr>
            <w:r w:rsidRPr="001A17A2">
              <w:rPr>
                <w:rFonts w:ascii="Times New Roman" w:hAnsi="Times New Roman" w:cs="Times New Roman"/>
                <w:noProof/>
                <w:sz w:val="20"/>
                <w:lang w:val="en-US"/>
              </w:rPr>
              <w:t>Managing authority</w:t>
            </w:r>
          </w:p>
        </w:tc>
        <w:tc>
          <w:tcPr>
            <w:tcW w:w="2403" w:type="dxa"/>
            <w:tcBorders>
              <w:top w:val="single" w:sz="4" w:space="0" w:color="auto"/>
              <w:left w:val="single" w:sz="4" w:space="0" w:color="auto"/>
              <w:bottom w:val="single" w:sz="4" w:space="0" w:color="auto"/>
              <w:right w:val="single" w:sz="4" w:space="0" w:color="auto"/>
            </w:tcBorders>
          </w:tcPr>
          <w:p w:rsidR="00B15508" w:rsidRPr="001A17A2" w:rsidRDefault="00112EFA" w:rsidP="00B15508">
            <w:pPr>
              <w:spacing w:before="120" w:after="120" w:line="360" w:lineRule="auto"/>
              <w:rPr>
                <w:rFonts w:ascii="Times New Roman" w:hAnsi="Times New Roman" w:cs="Times New Roman"/>
                <w:noProof/>
                <w:sz w:val="20"/>
                <w:lang w:val="en-US"/>
              </w:rPr>
            </w:pPr>
            <w:r>
              <w:rPr>
                <w:rFonts w:ascii="Times New Roman" w:hAnsi="Times New Roman" w:cs="Times New Roman"/>
                <w:noProof/>
                <w:sz w:val="20"/>
                <w:lang w:val="en-US"/>
              </w:rPr>
              <w:t>Agenția pentru Dezvoltare Regională</w:t>
            </w:r>
            <w:r w:rsidR="00B15508">
              <w:rPr>
                <w:rFonts w:ascii="Times New Roman" w:hAnsi="Times New Roman" w:cs="Times New Roman"/>
                <w:noProof/>
                <w:sz w:val="20"/>
                <w:lang w:val="en-US"/>
              </w:rPr>
              <w:t xml:space="preserve"> Centru</w:t>
            </w:r>
          </w:p>
        </w:tc>
        <w:tc>
          <w:tcPr>
            <w:tcW w:w="2057" w:type="dxa"/>
            <w:tcBorders>
              <w:top w:val="single" w:sz="4" w:space="0" w:color="auto"/>
              <w:left w:val="single" w:sz="4" w:space="0" w:color="auto"/>
              <w:bottom w:val="single" w:sz="4" w:space="0" w:color="auto"/>
              <w:right w:val="single" w:sz="4" w:space="0" w:color="auto"/>
            </w:tcBorders>
          </w:tcPr>
          <w:p w:rsidR="00B15508" w:rsidRPr="001A17A2" w:rsidRDefault="00112EFA" w:rsidP="00B15508">
            <w:pPr>
              <w:spacing w:before="120" w:after="120" w:line="360" w:lineRule="auto"/>
              <w:rPr>
                <w:rFonts w:ascii="Times New Roman" w:hAnsi="Times New Roman" w:cs="Times New Roman"/>
                <w:noProof/>
                <w:sz w:val="20"/>
                <w:lang w:val="en-US"/>
              </w:rPr>
            </w:pPr>
            <w:r>
              <w:rPr>
                <w:rFonts w:ascii="Times New Roman" w:hAnsi="Times New Roman" w:cs="Times New Roman"/>
                <w:noProof/>
                <w:sz w:val="20"/>
                <w:lang w:val="en-US"/>
              </w:rPr>
              <w:t>Simion Cretu</w:t>
            </w:r>
            <w:r w:rsidR="004B0EE3">
              <w:rPr>
                <w:rFonts w:ascii="Times New Roman" w:hAnsi="Times New Roman" w:cs="Times New Roman"/>
                <w:noProof/>
                <w:sz w:val="20"/>
                <w:lang w:val="en-US"/>
              </w:rPr>
              <w:t xml:space="preserve"> – Director General</w:t>
            </w:r>
          </w:p>
        </w:tc>
        <w:tc>
          <w:tcPr>
            <w:tcW w:w="2376" w:type="dxa"/>
            <w:tcBorders>
              <w:top w:val="single" w:sz="4" w:space="0" w:color="auto"/>
              <w:left w:val="single" w:sz="4" w:space="0" w:color="auto"/>
              <w:bottom w:val="single" w:sz="4" w:space="0" w:color="auto"/>
              <w:right w:val="single" w:sz="4" w:space="0" w:color="auto"/>
            </w:tcBorders>
          </w:tcPr>
          <w:p w:rsidR="00B15508" w:rsidRPr="001A17A2" w:rsidRDefault="00112EFA" w:rsidP="00B15508">
            <w:pPr>
              <w:spacing w:before="120" w:after="120" w:line="360" w:lineRule="auto"/>
              <w:rPr>
                <w:rFonts w:ascii="Times New Roman" w:hAnsi="Times New Roman" w:cs="Times New Roman"/>
                <w:noProof/>
                <w:sz w:val="20"/>
                <w:lang w:val="en-US"/>
              </w:rPr>
            </w:pPr>
            <w:r>
              <w:rPr>
                <w:rFonts w:ascii="Times New Roman" w:hAnsi="Times New Roman" w:cs="Times New Roman"/>
                <w:noProof/>
                <w:sz w:val="20"/>
                <w:lang w:val="en-US"/>
              </w:rPr>
              <w:t>office@adrcentru.ro</w:t>
            </w:r>
          </w:p>
        </w:tc>
      </w:tr>
      <w:tr w:rsidR="00B15508" w:rsidRPr="001A17A2" w:rsidTr="004F32B2">
        <w:tc>
          <w:tcPr>
            <w:tcW w:w="2452" w:type="dxa"/>
            <w:tcBorders>
              <w:top w:val="single" w:sz="4" w:space="0" w:color="auto"/>
              <w:left w:val="single" w:sz="4" w:space="0" w:color="auto"/>
              <w:bottom w:val="single" w:sz="4" w:space="0" w:color="auto"/>
              <w:right w:val="single" w:sz="4" w:space="0" w:color="auto"/>
            </w:tcBorders>
            <w:hideMark/>
          </w:tcPr>
          <w:p w:rsidR="00B15508" w:rsidRPr="001A17A2" w:rsidRDefault="00B15508" w:rsidP="00B15508">
            <w:pPr>
              <w:spacing w:before="120" w:after="120" w:line="360" w:lineRule="auto"/>
              <w:rPr>
                <w:rFonts w:ascii="Times New Roman" w:hAnsi="Times New Roman" w:cs="Times New Roman"/>
                <w:noProof/>
                <w:sz w:val="20"/>
                <w:lang w:val="en-US"/>
              </w:rPr>
            </w:pPr>
            <w:r w:rsidRPr="001A17A2">
              <w:rPr>
                <w:rFonts w:ascii="Times New Roman" w:hAnsi="Times New Roman" w:cs="Times New Roman"/>
                <w:noProof/>
                <w:sz w:val="20"/>
                <w:lang w:val="en-US"/>
              </w:rPr>
              <w:t>Audit authority</w:t>
            </w:r>
          </w:p>
        </w:tc>
        <w:tc>
          <w:tcPr>
            <w:tcW w:w="2403" w:type="dxa"/>
            <w:tcBorders>
              <w:top w:val="single" w:sz="4" w:space="0" w:color="auto"/>
              <w:left w:val="single" w:sz="4" w:space="0" w:color="auto"/>
              <w:bottom w:val="single" w:sz="4" w:space="0" w:color="auto"/>
              <w:right w:val="single" w:sz="4" w:space="0" w:color="auto"/>
            </w:tcBorders>
          </w:tcPr>
          <w:p w:rsidR="00B15508" w:rsidRPr="003F2E69" w:rsidRDefault="00B15508" w:rsidP="00B15508">
            <w:pPr>
              <w:spacing w:before="120" w:after="120" w:line="360" w:lineRule="auto"/>
              <w:rPr>
                <w:rFonts w:ascii="Times New Roman" w:hAnsi="Times New Roman" w:cs="Times New Roman"/>
                <w:noProof/>
                <w:sz w:val="20"/>
                <w:szCs w:val="20"/>
                <w:lang w:val="en-US"/>
              </w:rPr>
            </w:pPr>
            <w:r w:rsidRPr="003F2E69">
              <w:rPr>
                <w:rFonts w:ascii="Times New Roman" w:hAnsi="Times New Roman" w:cs="Times New Roman"/>
                <w:sz w:val="20"/>
                <w:szCs w:val="20"/>
              </w:rPr>
              <w:t>Autoritatea de Audit – Organism independent pe lângă Curtea de Conturi a României</w:t>
            </w:r>
          </w:p>
        </w:tc>
        <w:tc>
          <w:tcPr>
            <w:tcW w:w="2057" w:type="dxa"/>
            <w:tcBorders>
              <w:top w:val="single" w:sz="4" w:space="0" w:color="auto"/>
              <w:left w:val="single" w:sz="4" w:space="0" w:color="auto"/>
              <w:bottom w:val="single" w:sz="4" w:space="0" w:color="auto"/>
              <w:right w:val="single" w:sz="4" w:space="0" w:color="auto"/>
            </w:tcBorders>
          </w:tcPr>
          <w:p w:rsidR="00B15508" w:rsidRPr="001A17A2" w:rsidRDefault="00B15508" w:rsidP="00B15508">
            <w:pPr>
              <w:spacing w:before="120" w:after="120" w:line="360" w:lineRule="auto"/>
              <w:rPr>
                <w:rFonts w:ascii="Times New Roman" w:hAnsi="Times New Roman" w:cs="Times New Roman"/>
                <w:noProof/>
                <w:sz w:val="20"/>
                <w:lang w:val="en-US"/>
              </w:rPr>
            </w:pPr>
          </w:p>
        </w:tc>
        <w:tc>
          <w:tcPr>
            <w:tcW w:w="2376" w:type="dxa"/>
            <w:tcBorders>
              <w:top w:val="single" w:sz="4" w:space="0" w:color="auto"/>
              <w:left w:val="single" w:sz="4" w:space="0" w:color="auto"/>
              <w:bottom w:val="single" w:sz="4" w:space="0" w:color="auto"/>
              <w:right w:val="single" w:sz="4" w:space="0" w:color="auto"/>
            </w:tcBorders>
          </w:tcPr>
          <w:p w:rsidR="00B15508" w:rsidRPr="001A17A2" w:rsidRDefault="00B15508" w:rsidP="00B15508">
            <w:pPr>
              <w:spacing w:before="120" w:after="120" w:line="360" w:lineRule="auto"/>
              <w:rPr>
                <w:rFonts w:ascii="Times New Roman" w:hAnsi="Times New Roman" w:cs="Times New Roman"/>
                <w:noProof/>
                <w:sz w:val="20"/>
                <w:lang w:val="en-US"/>
              </w:rPr>
            </w:pPr>
          </w:p>
        </w:tc>
      </w:tr>
      <w:tr w:rsidR="00B15508" w:rsidRPr="001A17A2" w:rsidTr="004F32B2">
        <w:tc>
          <w:tcPr>
            <w:tcW w:w="2452" w:type="dxa"/>
            <w:tcBorders>
              <w:top w:val="single" w:sz="4" w:space="0" w:color="auto"/>
              <w:left w:val="single" w:sz="4" w:space="0" w:color="auto"/>
              <w:bottom w:val="single" w:sz="4" w:space="0" w:color="auto"/>
              <w:right w:val="single" w:sz="4" w:space="0" w:color="auto"/>
            </w:tcBorders>
            <w:hideMark/>
          </w:tcPr>
          <w:p w:rsidR="00B15508" w:rsidRPr="001A17A2" w:rsidRDefault="00B15508" w:rsidP="00B15508">
            <w:pPr>
              <w:spacing w:before="120" w:after="120" w:line="360" w:lineRule="auto"/>
              <w:rPr>
                <w:rFonts w:ascii="Times New Roman" w:hAnsi="Times New Roman" w:cs="Times New Roman"/>
                <w:noProof/>
                <w:sz w:val="20"/>
                <w:lang w:val="en-US"/>
              </w:rPr>
            </w:pPr>
            <w:r w:rsidRPr="001A17A2">
              <w:rPr>
                <w:rFonts w:ascii="Times New Roman" w:hAnsi="Times New Roman" w:cs="Times New Roman"/>
                <w:noProof/>
                <w:sz w:val="20"/>
                <w:lang w:val="en-US"/>
              </w:rPr>
              <w:t>Body which receives payments from the Commission</w:t>
            </w:r>
          </w:p>
        </w:tc>
        <w:tc>
          <w:tcPr>
            <w:tcW w:w="2403" w:type="dxa"/>
            <w:tcBorders>
              <w:top w:val="single" w:sz="4" w:space="0" w:color="auto"/>
              <w:left w:val="single" w:sz="4" w:space="0" w:color="auto"/>
              <w:bottom w:val="single" w:sz="4" w:space="0" w:color="auto"/>
              <w:right w:val="single" w:sz="4" w:space="0" w:color="auto"/>
            </w:tcBorders>
          </w:tcPr>
          <w:p w:rsidR="00B15508" w:rsidRPr="003F2E69" w:rsidRDefault="00B15508" w:rsidP="00B15508">
            <w:pPr>
              <w:spacing w:before="120" w:after="120" w:line="360" w:lineRule="auto"/>
              <w:rPr>
                <w:rFonts w:ascii="Times New Roman" w:hAnsi="Times New Roman" w:cs="Times New Roman"/>
                <w:noProof/>
                <w:sz w:val="20"/>
                <w:szCs w:val="20"/>
                <w:lang w:val="en-US"/>
              </w:rPr>
            </w:pPr>
            <w:r w:rsidRPr="003F2E69">
              <w:rPr>
                <w:rFonts w:ascii="Times New Roman" w:hAnsi="Times New Roman" w:cs="Times New Roman"/>
                <w:sz w:val="20"/>
                <w:szCs w:val="20"/>
              </w:rPr>
              <w:t>Ministerul Finanțelor Publice prin Autoritatea de Certificare și Plată</w:t>
            </w:r>
          </w:p>
        </w:tc>
        <w:tc>
          <w:tcPr>
            <w:tcW w:w="2057" w:type="dxa"/>
            <w:tcBorders>
              <w:top w:val="single" w:sz="4" w:space="0" w:color="auto"/>
              <w:left w:val="single" w:sz="4" w:space="0" w:color="auto"/>
              <w:bottom w:val="single" w:sz="4" w:space="0" w:color="auto"/>
              <w:right w:val="single" w:sz="4" w:space="0" w:color="auto"/>
            </w:tcBorders>
          </w:tcPr>
          <w:p w:rsidR="00B15508" w:rsidRPr="001A17A2" w:rsidRDefault="00B15508" w:rsidP="00B15508">
            <w:pPr>
              <w:spacing w:before="120" w:after="120" w:line="360" w:lineRule="auto"/>
              <w:rPr>
                <w:rFonts w:ascii="Times New Roman" w:hAnsi="Times New Roman" w:cs="Times New Roman"/>
                <w:noProof/>
                <w:sz w:val="20"/>
                <w:lang w:val="en-US"/>
              </w:rPr>
            </w:pPr>
          </w:p>
        </w:tc>
        <w:tc>
          <w:tcPr>
            <w:tcW w:w="2376" w:type="dxa"/>
            <w:tcBorders>
              <w:top w:val="single" w:sz="4" w:space="0" w:color="auto"/>
              <w:left w:val="single" w:sz="4" w:space="0" w:color="auto"/>
              <w:bottom w:val="single" w:sz="4" w:space="0" w:color="auto"/>
              <w:right w:val="single" w:sz="4" w:space="0" w:color="auto"/>
            </w:tcBorders>
          </w:tcPr>
          <w:p w:rsidR="00B15508" w:rsidRPr="001A17A2" w:rsidRDefault="00B15508" w:rsidP="00B15508">
            <w:pPr>
              <w:spacing w:before="120" w:after="120" w:line="360" w:lineRule="auto"/>
              <w:rPr>
                <w:rFonts w:ascii="Times New Roman" w:hAnsi="Times New Roman" w:cs="Times New Roman"/>
                <w:noProof/>
                <w:sz w:val="20"/>
                <w:lang w:val="en-US"/>
              </w:rPr>
            </w:pPr>
          </w:p>
        </w:tc>
      </w:tr>
      <w:tr w:rsidR="00B15508" w:rsidRPr="001A17A2" w:rsidTr="004F32B2">
        <w:tc>
          <w:tcPr>
            <w:tcW w:w="2452" w:type="dxa"/>
            <w:tcBorders>
              <w:top w:val="single" w:sz="4" w:space="0" w:color="auto"/>
              <w:left w:val="single" w:sz="4" w:space="0" w:color="auto"/>
              <w:bottom w:val="single" w:sz="4" w:space="0" w:color="auto"/>
              <w:right w:val="single" w:sz="4" w:space="0" w:color="auto"/>
            </w:tcBorders>
            <w:hideMark/>
          </w:tcPr>
          <w:p w:rsidR="00B15508" w:rsidRPr="001A17A2" w:rsidRDefault="00B15508" w:rsidP="00B15508">
            <w:pPr>
              <w:spacing w:before="120" w:after="120" w:line="360" w:lineRule="auto"/>
              <w:rPr>
                <w:rFonts w:ascii="Times New Roman" w:hAnsi="Times New Roman" w:cs="Times New Roman"/>
                <w:b/>
                <w:bCs/>
                <w:noProof/>
                <w:sz w:val="20"/>
                <w:u w:val="single"/>
                <w:lang w:val="en-US"/>
              </w:rPr>
            </w:pPr>
            <w:r w:rsidRPr="001A17A2">
              <w:rPr>
                <w:rFonts w:ascii="Times New Roman" w:hAnsi="Times New Roman" w:cs="Times New Roman"/>
                <w:noProof/>
                <w:sz w:val="20"/>
                <w:lang w:val="en-US"/>
              </w:rPr>
              <w:t>Where app</w:t>
            </w:r>
            <w:r w:rsidRPr="001A17A2">
              <w:rPr>
                <w:rFonts w:ascii="Times New Roman" w:hAnsi="Times New Roman" w:cs="Times New Roman"/>
                <w:b/>
                <w:noProof/>
                <w:sz w:val="20"/>
                <w:u w:val="single"/>
                <w:lang w:val="en-US"/>
              </w:rPr>
              <w:t>l</w:t>
            </w:r>
            <w:r w:rsidRPr="001A17A2">
              <w:rPr>
                <w:rFonts w:ascii="Times New Roman" w:hAnsi="Times New Roman" w:cs="Times New Roman"/>
                <w:noProof/>
                <w:sz w:val="20"/>
                <w:lang w:val="en-US"/>
              </w:rPr>
              <w:t>icable, body or, bodies which receive payments from the Commission in case of technical assistance pursuant to Article 30(5)</w:t>
            </w:r>
          </w:p>
        </w:tc>
        <w:tc>
          <w:tcPr>
            <w:tcW w:w="2403" w:type="dxa"/>
            <w:tcBorders>
              <w:top w:val="single" w:sz="4" w:space="0" w:color="auto"/>
              <w:left w:val="single" w:sz="4" w:space="0" w:color="auto"/>
              <w:bottom w:val="single" w:sz="4" w:space="0" w:color="auto"/>
              <w:right w:val="single" w:sz="4" w:space="0" w:color="auto"/>
            </w:tcBorders>
          </w:tcPr>
          <w:p w:rsidR="00B15508" w:rsidRPr="001A17A2" w:rsidRDefault="00B15508" w:rsidP="00B15508">
            <w:pPr>
              <w:spacing w:before="120" w:after="120" w:line="360" w:lineRule="auto"/>
              <w:rPr>
                <w:rFonts w:ascii="Times New Roman" w:hAnsi="Times New Roman" w:cs="Times New Roman"/>
                <w:noProof/>
                <w:sz w:val="20"/>
                <w:lang w:val="en-US"/>
              </w:rPr>
            </w:pPr>
          </w:p>
        </w:tc>
        <w:tc>
          <w:tcPr>
            <w:tcW w:w="2057" w:type="dxa"/>
            <w:tcBorders>
              <w:top w:val="single" w:sz="4" w:space="0" w:color="auto"/>
              <w:left w:val="single" w:sz="4" w:space="0" w:color="auto"/>
              <w:bottom w:val="single" w:sz="4" w:space="0" w:color="auto"/>
              <w:right w:val="single" w:sz="4" w:space="0" w:color="auto"/>
            </w:tcBorders>
          </w:tcPr>
          <w:p w:rsidR="00B15508" w:rsidRPr="001A17A2" w:rsidRDefault="00B15508" w:rsidP="00B15508">
            <w:pPr>
              <w:spacing w:before="120" w:after="120" w:line="360" w:lineRule="auto"/>
              <w:rPr>
                <w:rFonts w:ascii="Times New Roman" w:hAnsi="Times New Roman" w:cs="Times New Roman"/>
                <w:noProof/>
                <w:sz w:val="20"/>
                <w:lang w:val="en-US"/>
              </w:rPr>
            </w:pPr>
          </w:p>
        </w:tc>
        <w:tc>
          <w:tcPr>
            <w:tcW w:w="2376" w:type="dxa"/>
            <w:tcBorders>
              <w:top w:val="single" w:sz="4" w:space="0" w:color="auto"/>
              <w:left w:val="single" w:sz="4" w:space="0" w:color="auto"/>
              <w:bottom w:val="single" w:sz="4" w:space="0" w:color="auto"/>
              <w:right w:val="single" w:sz="4" w:space="0" w:color="auto"/>
            </w:tcBorders>
          </w:tcPr>
          <w:p w:rsidR="00B15508" w:rsidRPr="001A17A2" w:rsidRDefault="00B15508" w:rsidP="00B15508">
            <w:pPr>
              <w:spacing w:before="120" w:after="120" w:line="360" w:lineRule="auto"/>
              <w:rPr>
                <w:rFonts w:ascii="Times New Roman" w:hAnsi="Times New Roman" w:cs="Times New Roman"/>
                <w:noProof/>
                <w:sz w:val="20"/>
                <w:lang w:val="en-US"/>
              </w:rPr>
            </w:pPr>
          </w:p>
        </w:tc>
      </w:tr>
      <w:tr w:rsidR="00B15508" w:rsidRPr="001A17A2" w:rsidTr="004F32B2">
        <w:tc>
          <w:tcPr>
            <w:tcW w:w="2452" w:type="dxa"/>
            <w:tcBorders>
              <w:top w:val="single" w:sz="4" w:space="0" w:color="auto"/>
              <w:left w:val="single" w:sz="4" w:space="0" w:color="auto"/>
              <w:bottom w:val="single" w:sz="4" w:space="0" w:color="auto"/>
              <w:right w:val="single" w:sz="4" w:space="0" w:color="auto"/>
            </w:tcBorders>
            <w:hideMark/>
          </w:tcPr>
          <w:p w:rsidR="00B15508" w:rsidRPr="001A17A2" w:rsidRDefault="00B15508" w:rsidP="00B15508">
            <w:pPr>
              <w:spacing w:before="120" w:after="120" w:line="360" w:lineRule="auto"/>
              <w:rPr>
                <w:rFonts w:ascii="Times New Roman" w:hAnsi="Times New Roman" w:cs="Times New Roman"/>
                <w:noProof/>
                <w:sz w:val="20"/>
                <w:lang w:val="en-US"/>
              </w:rPr>
            </w:pPr>
            <w:r w:rsidRPr="001A17A2">
              <w:rPr>
                <w:rFonts w:ascii="Times New Roman" w:hAnsi="Times New Roman" w:cs="Times New Roman"/>
                <w:noProof/>
                <w:sz w:val="20"/>
                <w:lang w:val="en-US"/>
              </w:rPr>
              <w:t>Accounting function in case this function is entrusted to a body other than the managing authority</w:t>
            </w:r>
          </w:p>
        </w:tc>
        <w:tc>
          <w:tcPr>
            <w:tcW w:w="2403" w:type="dxa"/>
            <w:tcBorders>
              <w:top w:val="single" w:sz="4" w:space="0" w:color="auto"/>
              <w:left w:val="single" w:sz="4" w:space="0" w:color="auto"/>
              <w:bottom w:val="single" w:sz="4" w:space="0" w:color="auto"/>
              <w:right w:val="single" w:sz="4" w:space="0" w:color="auto"/>
            </w:tcBorders>
          </w:tcPr>
          <w:p w:rsidR="00B15508" w:rsidRPr="003F2E69" w:rsidRDefault="00B15508" w:rsidP="00B15508">
            <w:pPr>
              <w:spacing w:before="120" w:after="120" w:line="360" w:lineRule="auto"/>
              <w:rPr>
                <w:rFonts w:ascii="Times New Roman" w:hAnsi="Times New Roman" w:cs="Times New Roman"/>
                <w:noProof/>
                <w:sz w:val="20"/>
                <w:szCs w:val="20"/>
                <w:lang w:val="en-US"/>
              </w:rPr>
            </w:pPr>
            <w:r w:rsidRPr="003F2E69">
              <w:rPr>
                <w:rFonts w:ascii="Times New Roman" w:hAnsi="Times New Roman" w:cs="Times New Roman"/>
                <w:sz w:val="20"/>
                <w:szCs w:val="20"/>
              </w:rPr>
              <w:t>Ministerul Finanțelor Publice prin Autoritatea de Certificare și Plată</w:t>
            </w:r>
          </w:p>
        </w:tc>
        <w:tc>
          <w:tcPr>
            <w:tcW w:w="2057" w:type="dxa"/>
            <w:tcBorders>
              <w:top w:val="single" w:sz="4" w:space="0" w:color="auto"/>
              <w:left w:val="single" w:sz="4" w:space="0" w:color="auto"/>
              <w:bottom w:val="single" w:sz="4" w:space="0" w:color="auto"/>
              <w:right w:val="single" w:sz="4" w:space="0" w:color="auto"/>
            </w:tcBorders>
          </w:tcPr>
          <w:p w:rsidR="00B15508" w:rsidRPr="001A17A2" w:rsidRDefault="00B15508" w:rsidP="00B15508">
            <w:pPr>
              <w:spacing w:before="120" w:after="120" w:line="360" w:lineRule="auto"/>
              <w:rPr>
                <w:rFonts w:ascii="Times New Roman" w:hAnsi="Times New Roman" w:cs="Times New Roman"/>
                <w:noProof/>
                <w:sz w:val="20"/>
                <w:lang w:val="en-US"/>
              </w:rPr>
            </w:pPr>
          </w:p>
        </w:tc>
        <w:tc>
          <w:tcPr>
            <w:tcW w:w="2376" w:type="dxa"/>
            <w:tcBorders>
              <w:top w:val="single" w:sz="4" w:space="0" w:color="auto"/>
              <w:left w:val="single" w:sz="4" w:space="0" w:color="auto"/>
              <w:bottom w:val="single" w:sz="4" w:space="0" w:color="auto"/>
              <w:right w:val="single" w:sz="4" w:space="0" w:color="auto"/>
            </w:tcBorders>
          </w:tcPr>
          <w:p w:rsidR="00B15508" w:rsidRPr="001A17A2" w:rsidRDefault="00B15508" w:rsidP="00B15508">
            <w:pPr>
              <w:spacing w:before="120" w:after="120" w:line="360" w:lineRule="auto"/>
              <w:rPr>
                <w:rFonts w:ascii="Times New Roman" w:hAnsi="Times New Roman" w:cs="Times New Roman"/>
                <w:noProof/>
                <w:sz w:val="20"/>
                <w:lang w:val="en-US"/>
              </w:rPr>
            </w:pPr>
          </w:p>
        </w:tc>
      </w:tr>
    </w:tbl>
    <w:p w:rsidR="001A17A2" w:rsidRPr="001A17A2" w:rsidRDefault="001A17A2" w:rsidP="001A17A2">
      <w:pPr>
        <w:spacing w:before="120" w:after="120" w:line="360" w:lineRule="auto"/>
        <w:rPr>
          <w:rFonts w:ascii="Times New Roman" w:hAnsi="Times New Roman" w:cs="Times New Roman"/>
          <w:noProof/>
          <w:sz w:val="24"/>
          <w:lang w:val="en-GB"/>
        </w:rPr>
      </w:pPr>
    </w:p>
    <w:p w:rsidR="001A17A2" w:rsidRPr="001A17A2" w:rsidRDefault="001A17A2" w:rsidP="001A17A2">
      <w:pPr>
        <w:spacing w:before="120" w:after="120" w:line="360" w:lineRule="auto"/>
        <w:rPr>
          <w:rFonts w:ascii="Times New Roman" w:eastAsia="Times New Roman" w:hAnsi="Times New Roman" w:cs="Times New Roman"/>
          <w:bCs/>
          <w:i/>
          <w:iCs/>
          <w:noProof/>
          <w:sz w:val="24"/>
          <w:szCs w:val="24"/>
          <w:lang w:val="en-GB"/>
        </w:rPr>
      </w:pPr>
      <w:r w:rsidRPr="001A17A2">
        <w:rPr>
          <w:rFonts w:ascii="Times New Roman" w:eastAsia="Times New Roman" w:hAnsi="Times New Roman" w:cs="Times New Roman"/>
          <w:bCs/>
          <w:i/>
          <w:noProof/>
          <w:sz w:val="24"/>
          <w:szCs w:val="24"/>
          <w:lang w:val="en-GB"/>
        </w:rPr>
        <w:t>Reference: 4th subparagraph of Article 17(3)</w:t>
      </w:r>
    </w:p>
    <w:p w:rsidR="001A17A2" w:rsidRPr="001A17A2" w:rsidRDefault="001A17A2" w:rsidP="001A17A2">
      <w:pPr>
        <w:spacing w:before="120" w:after="120" w:line="360" w:lineRule="auto"/>
        <w:rPr>
          <w:rFonts w:ascii="Times New Roman" w:hAnsi="Times New Roman" w:cs="Times New Roman"/>
          <w:b/>
          <w:noProof/>
          <w:sz w:val="20"/>
          <w:lang w:val="en-GB"/>
        </w:rPr>
      </w:pPr>
      <w:r w:rsidRPr="001A17A2">
        <w:rPr>
          <w:rFonts w:ascii="Times New Roman" w:hAnsi="Times New Roman" w:cs="Times New Roman"/>
          <w:b/>
          <w:noProof/>
          <w:sz w:val="20"/>
          <w:lang w:val="en-GB"/>
        </w:rPr>
        <w:t>The repartition of the reimbursed amounts for technical assistance pursuant to Article 30(5) if more bodies are identified to receive reimbursements</w:t>
      </w:r>
    </w:p>
    <w:tbl>
      <w:tblPr>
        <w:tblW w:w="0" w:type="auto"/>
        <w:tblLook w:val="04A0" w:firstRow="1" w:lastRow="0" w:firstColumn="1" w:lastColumn="0" w:noHBand="0" w:noVBand="1"/>
      </w:tblPr>
      <w:tblGrid>
        <w:gridCol w:w="8472"/>
        <w:gridCol w:w="850"/>
      </w:tblGrid>
      <w:tr w:rsidR="001A17A2" w:rsidRPr="001A17A2" w:rsidTr="004F32B2">
        <w:tc>
          <w:tcPr>
            <w:tcW w:w="9322" w:type="dxa"/>
            <w:gridSpan w:val="2"/>
            <w:tcBorders>
              <w:top w:val="single" w:sz="4" w:space="0" w:color="auto"/>
              <w:left w:val="single" w:sz="4" w:space="0" w:color="auto"/>
              <w:bottom w:val="single" w:sz="4" w:space="0" w:color="auto"/>
              <w:right w:val="single" w:sz="4" w:space="0" w:color="auto"/>
            </w:tcBorders>
            <w:hideMark/>
          </w:tcPr>
          <w:p w:rsidR="001A17A2" w:rsidRPr="001A17A2" w:rsidRDefault="001A17A2" w:rsidP="001A17A2">
            <w:pPr>
              <w:spacing w:before="120" w:after="120" w:line="360" w:lineRule="auto"/>
              <w:rPr>
                <w:rFonts w:ascii="Times New Roman" w:hAnsi="Times New Roman" w:cs="Times New Roman"/>
                <w:noProof/>
                <w:sz w:val="24"/>
                <w:lang w:val="en-GB"/>
              </w:rPr>
            </w:pPr>
            <w:r w:rsidRPr="001A17A2">
              <w:rPr>
                <w:rFonts w:ascii="Times New Roman" w:hAnsi="Times New Roman" w:cs="Times New Roman"/>
                <w:b/>
                <w:noProof/>
                <w:sz w:val="20"/>
                <w:lang w:val="en-GB"/>
              </w:rPr>
              <w:t>The portion of the percentages set out in Article 30(5)(b) that would be reimbursed to the bodies which receive payments from the Commission in case of technical assistance pursuant to Article 30(5) (in percentage points)</w:t>
            </w:r>
          </w:p>
        </w:tc>
      </w:tr>
      <w:tr w:rsidR="001A17A2" w:rsidRPr="001A17A2" w:rsidTr="004F32B2">
        <w:tc>
          <w:tcPr>
            <w:tcW w:w="8472" w:type="dxa"/>
            <w:tcBorders>
              <w:top w:val="single" w:sz="4" w:space="0" w:color="auto"/>
              <w:left w:val="single" w:sz="4" w:space="0" w:color="auto"/>
              <w:bottom w:val="single" w:sz="4" w:space="0" w:color="auto"/>
              <w:right w:val="single" w:sz="4" w:space="0" w:color="auto"/>
            </w:tcBorders>
            <w:hideMark/>
          </w:tcPr>
          <w:p w:rsidR="001A17A2" w:rsidRPr="001A17A2" w:rsidRDefault="001A17A2" w:rsidP="001A17A2">
            <w:pPr>
              <w:spacing w:before="120" w:after="120" w:line="360" w:lineRule="auto"/>
              <w:rPr>
                <w:rFonts w:ascii="Times New Roman" w:hAnsi="Times New Roman" w:cs="Times New Roman"/>
                <w:noProof/>
                <w:sz w:val="20"/>
                <w:lang w:val="en-GB"/>
              </w:rPr>
            </w:pPr>
            <w:r w:rsidRPr="001A17A2">
              <w:rPr>
                <w:rFonts w:ascii="Times New Roman" w:hAnsi="Times New Roman" w:cs="Times New Roman"/>
                <w:noProof/>
                <w:sz w:val="20"/>
                <w:lang w:val="en-GB"/>
              </w:rPr>
              <w:lastRenderedPageBreak/>
              <w:t>Body 1</w:t>
            </w:r>
          </w:p>
        </w:tc>
        <w:tc>
          <w:tcPr>
            <w:tcW w:w="850" w:type="dxa"/>
            <w:tcBorders>
              <w:top w:val="single" w:sz="4" w:space="0" w:color="auto"/>
              <w:left w:val="single" w:sz="4" w:space="0" w:color="auto"/>
              <w:bottom w:val="single" w:sz="4" w:space="0" w:color="auto"/>
              <w:right w:val="single" w:sz="4" w:space="0" w:color="auto"/>
            </w:tcBorders>
            <w:hideMark/>
          </w:tcPr>
          <w:p w:rsidR="001A17A2" w:rsidRPr="001A17A2" w:rsidRDefault="001A17A2" w:rsidP="001A17A2">
            <w:pPr>
              <w:spacing w:before="120" w:after="120" w:line="360" w:lineRule="auto"/>
              <w:rPr>
                <w:rFonts w:ascii="Times New Roman" w:hAnsi="Times New Roman" w:cs="Times New Roman"/>
                <w:noProof/>
                <w:sz w:val="24"/>
                <w:lang w:val="en-GB"/>
              </w:rPr>
            </w:pPr>
            <w:r w:rsidRPr="001A17A2">
              <w:rPr>
                <w:rFonts w:ascii="Times New Roman" w:hAnsi="Times New Roman" w:cs="Times New Roman"/>
                <w:noProof/>
                <w:sz w:val="24"/>
                <w:lang w:val="en-GB"/>
              </w:rPr>
              <w:t>p.p.</w:t>
            </w:r>
          </w:p>
        </w:tc>
      </w:tr>
      <w:tr w:rsidR="001A17A2" w:rsidRPr="001A17A2" w:rsidTr="004F32B2">
        <w:tc>
          <w:tcPr>
            <w:tcW w:w="8472" w:type="dxa"/>
            <w:tcBorders>
              <w:top w:val="single" w:sz="4" w:space="0" w:color="auto"/>
              <w:left w:val="single" w:sz="4" w:space="0" w:color="auto"/>
              <w:bottom w:val="single" w:sz="4" w:space="0" w:color="auto"/>
              <w:right w:val="single" w:sz="4" w:space="0" w:color="auto"/>
            </w:tcBorders>
            <w:hideMark/>
          </w:tcPr>
          <w:p w:rsidR="001A17A2" w:rsidRPr="001A17A2" w:rsidRDefault="001A17A2" w:rsidP="001A17A2">
            <w:pPr>
              <w:spacing w:before="120" w:after="120" w:line="360" w:lineRule="auto"/>
              <w:rPr>
                <w:rFonts w:ascii="Times New Roman" w:hAnsi="Times New Roman" w:cs="Times New Roman"/>
                <w:noProof/>
                <w:sz w:val="20"/>
                <w:lang w:val="en-GB"/>
              </w:rPr>
            </w:pPr>
            <w:r w:rsidRPr="001A17A2">
              <w:rPr>
                <w:rFonts w:ascii="Times New Roman" w:hAnsi="Times New Roman" w:cs="Times New Roman"/>
                <w:noProof/>
                <w:sz w:val="20"/>
                <w:lang w:val="en-GB"/>
              </w:rPr>
              <w:t>Body 2</w:t>
            </w:r>
          </w:p>
        </w:tc>
        <w:tc>
          <w:tcPr>
            <w:tcW w:w="850" w:type="dxa"/>
            <w:tcBorders>
              <w:top w:val="single" w:sz="4" w:space="0" w:color="auto"/>
              <w:left w:val="single" w:sz="4" w:space="0" w:color="auto"/>
              <w:bottom w:val="single" w:sz="4" w:space="0" w:color="auto"/>
              <w:right w:val="single" w:sz="4" w:space="0" w:color="auto"/>
            </w:tcBorders>
            <w:hideMark/>
          </w:tcPr>
          <w:p w:rsidR="001A17A2" w:rsidRPr="001A17A2" w:rsidRDefault="001A17A2" w:rsidP="001A17A2">
            <w:pPr>
              <w:spacing w:before="120" w:after="120" w:line="360" w:lineRule="auto"/>
              <w:rPr>
                <w:rFonts w:ascii="Times New Roman" w:hAnsi="Times New Roman" w:cs="Times New Roman"/>
                <w:noProof/>
                <w:sz w:val="24"/>
                <w:lang w:val="en-GB"/>
              </w:rPr>
            </w:pPr>
            <w:r w:rsidRPr="001A17A2">
              <w:rPr>
                <w:rFonts w:ascii="Times New Roman" w:hAnsi="Times New Roman" w:cs="Times New Roman"/>
                <w:noProof/>
                <w:sz w:val="24"/>
                <w:lang w:val="en-GB"/>
              </w:rPr>
              <w:t>p.p.</w:t>
            </w:r>
          </w:p>
        </w:tc>
      </w:tr>
    </w:tbl>
    <w:p w:rsidR="001A17A2" w:rsidRPr="001A17A2" w:rsidRDefault="001A17A2" w:rsidP="001A17A2">
      <w:pPr>
        <w:spacing w:before="120" w:after="120" w:line="360" w:lineRule="auto"/>
        <w:rPr>
          <w:rFonts w:ascii="Times New Roman" w:hAnsi="Times New Roman" w:cs="Times New Roman"/>
          <w:noProof/>
          <w:sz w:val="24"/>
          <w:lang w:val="en-GB"/>
        </w:rPr>
      </w:pPr>
    </w:p>
    <w:p w:rsidR="001A17A2" w:rsidRPr="001A17A2" w:rsidRDefault="001A17A2" w:rsidP="001A17A2">
      <w:pPr>
        <w:spacing w:before="120" w:after="120" w:line="360" w:lineRule="auto"/>
        <w:rPr>
          <w:rFonts w:ascii="Times New Roman" w:hAnsi="Times New Roman" w:cs="Times New Roman"/>
          <w:b/>
          <w:bCs/>
          <w:noProof/>
          <w:sz w:val="24"/>
          <w:lang w:val="en-GB"/>
        </w:rPr>
      </w:pPr>
      <w:r w:rsidRPr="001A17A2">
        <w:rPr>
          <w:rFonts w:ascii="Times New Roman" w:hAnsi="Times New Roman" w:cs="Times New Roman"/>
          <w:b/>
          <w:bCs/>
          <w:noProof/>
          <w:sz w:val="24"/>
          <w:lang w:val="en-GB"/>
        </w:rPr>
        <w:t>6.</w:t>
      </w:r>
      <w:r w:rsidRPr="001A17A2">
        <w:rPr>
          <w:rFonts w:ascii="Times New Roman" w:hAnsi="Times New Roman" w:cs="Times New Roman"/>
          <w:b/>
          <w:bCs/>
          <w:noProof/>
          <w:sz w:val="24"/>
          <w:lang w:val="en-GB"/>
        </w:rPr>
        <w:tab/>
        <w:t xml:space="preserve">Partnership </w:t>
      </w:r>
    </w:p>
    <w:p w:rsidR="001A17A2" w:rsidRPr="001A17A2" w:rsidRDefault="001A17A2" w:rsidP="001A17A2">
      <w:pPr>
        <w:spacing w:before="120" w:after="120" w:line="360" w:lineRule="auto"/>
        <w:rPr>
          <w:rFonts w:ascii="Times New Roman" w:eastAsia="Times New Roman" w:hAnsi="Times New Roman" w:cs="Times New Roman"/>
          <w:b/>
          <w:i/>
          <w:iCs/>
          <w:noProof/>
          <w:sz w:val="24"/>
          <w:szCs w:val="24"/>
          <w:lang w:val="en-GB"/>
        </w:rPr>
      </w:pPr>
      <w:r w:rsidRPr="001A17A2">
        <w:rPr>
          <w:rFonts w:ascii="Times New Roman" w:eastAsia="Times New Roman" w:hAnsi="Times New Roman" w:cs="Times New Roman"/>
          <w:i/>
          <w:noProof/>
          <w:sz w:val="24"/>
          <w:szCs w:val="24"/>
          <w:lang w:val="en-GB"/>
        </w:rPr>
        <w:t>Reference: Article 17(3)(g)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1A17A2" w:rsidRPr="001A17A2" w:rsidTr="004F32B2">
        <w:tc>
          <w:tcPr>
            <w:tcW w:w="9288" w:type="dxa"/>
            <w:tcBorders>
              <w:top w:val="single" w:sz="4" w:space="0" w:color="auto"/>
              <w:left w:val="single" w:sz="4" w:space="0" w:color="auto"/>
              <w:bottom w:val="single" w:sz="4" w:space="0" w:color="auto"/>
              <w:right w:val="single" w:sz="4" w:space="0" w:color="auto"/>
            </w:tcBorders>
            <w:hideMark/>
          </w:tcPr>
          <w:p w:rsidR="001A17A2" w:rsidRDefault="001A17A2" w:rsidP="001A17A2">
            <w:pPr>
              <w:spacing w:before="120" w:after="120" w:line="360" w:lineRule="auto"/>
              <w:rPr>
                <w:rFonts w:ascii="Times New Roman" w:eastAsia="Times New Roman" w:hAnsi="Times New Roman" w:cs="Times New Roman"/>
                <w:i/>
                <w:noProof/>
                <w:lang w:val="en-US"/>
              </w:rPr>
            </w:pPr>
            <w:r w:rsidRPr="001A17A2">
              <w:rPr>
                <w:rFonts w:ascii="Times New Roman" w:eastAsia="Times New Roman" w:hAnsi="Times New Roman" w:cs="Times New Roman"/>
                <w:i/>
                <w:noProof/>
                <w:lang w:val="en-US"/>
              </w:rPr>
              <w:t>Text field [10 000]</w:t>
            </w:r>
          </w:p>
          <w:p w:rsidR="006B11E2" w:rsidRPr="004B0EE3" w:rsidRDefault="006B11E2" w:rsidP="004B0EE3">
            <w:pPr>
              <w:spacing w:after="0" w:line="240" w:lineRule="auto"/>
              <w:jc w:val="both"/>
              <w:rPr>
                <w:rFonts w:ascii="Times New Roman" w:hAnsi="Times New Roman" w:cs="Times New Roman"/>
                <w:sz w:val="20"/>
                <w:szCs w:val="20"/>
              </w:rPr>
            </w:pPr>
            <w:r w:rsidRPr="004B0EE3">
              <w:rPr>
                <w:rFonts w:ascii="Times New Roman" w:hAnsi="Times New Roman" w:cs="Times New Roman"/>
                <w:sz w:val="20"/>
                <w:szCs w:val="20"/>
              </w:rPr>
              <w:t>Pentru perioada de programare 2021-2027, MFE îndeplinește în continuare calitatea de coordonator național al elaborării documentelor de programare, respectiv a Acordului de Parteneriat și a programelor subsecvente, asigurând totodată cadrul partenerial prin implicarea tuturor părților interesate reprezentative pentru programarea și implementarea fondurilor aferente PC. Primele consultări parteneriale au avut loc  în prima jumătate a anului 2019, fiind constituite 5 grupuri parteneriale aferente celor 5 Obiective de Politică prevăzute la nivelul propunerii de Regulament general. Componența grupurilor de lucru a fost stabilită plecând de la membrii Comitetelor de Monitorizare ale Programelor Operaționale 2014-2020 și membri/ observatori/ invitați CCMAP, cărora li s-au alăturat o serie de parteneri care și-au exprimat interesul pentru a face parte din aceste grupuri.</w:t>
            </w:r>
          </w:p>
          <w:p w:rsidR="006B11E2" w:rsidRPr="004B0EE3" w:rsidRDefault="006B11E2" w:rsidP="004B0EE3">
            <w:pPr>
              <w:spacing w:after="0" w:line="240" w:lineRule="auto"/>
              <w:jc w:val="both"/>
              <w:rPr>
                <w:rFonts w:ascii="Times New Roman" w:hAnsi="Times New Roman" w:cs="Times New Roman"/>
                <w:sz w:val="20"/>
                <w:szCs w:val="20"/>
              </w:rPr>
            </w:pPr>
            <w:r w:rsidRPr="004B0EE3">
              <w:rPr>
                <w:rFonts w:ascii="Times New Roman" w:hAnsi="Times New Roman" w:cs="Times New Roman"/>
                <w:sz w:val="20"/>
                <w:szCs w:val="20"/>
              </w:rPr>
              <w:t xml:space="preserve">În perioada 2019-2020, au avut loc numeroase consultări, atât prin organizarea de reuniuni parteneriale, cât și prin intermediul corespondenței electronice, fiind solicitate observații/ propuneri pe marginea priorităților de finanțare post 2020. În perioada mai-septembrie 2019 au fost realizate reuniuni de informare a structurilor parteneriale, în care au fost prezentate, pe de o parte, schimbările majore de la nivelul Regulamentelor UE ale Politicii de Coeziune, și, pe de altă parte, nevoile de intervenție (pornind de la concluziile Raportului de Țară – Anexa D) și prioritățile de investiție care au derivat din acestea aferente domeniilor de interes. </w:t>
            </w:r>
          </w:p>
          <w:p w:rsidR="006B11E2" w:rsidRPr="004B0EE3" w:rsidRDefault="006B11E2" w:rsidP="004B0EE3">
            <w:pPr>
              <w:spacing w:after="0" w:line="240" w:lineRule="auto"/>
              <w:jc w:val="both"/>
              <w:rPr>
                <w:rFonts w:ascii="Times New Roman" w:hAnsi="Times New Roman" w:cs="Times New Roman"/>
                <w:sz w:val="20"/>
                <w:szCs w:val="20"/>
              </w:rPr>
            </w:pPr>
            <w:r w:rsidRPr="004B0EE3">
              <w:rPr>
                <w:rFonts w:ascii="Times New Roman" w:hAnsi="Times New Roman" w:cs="Times New Roman"/>
                <w:sz w:val="20"/>
                <w:szCs w:val="20"/>
              </w:rPr>
              <w:t xml:space="preserve">În luna octombrie 2019 au fost organizate 2 evenimente de informare și dezbatere la nivel local (Brașov, Botoșani), cu scopul informării cu privire la stadiul procesului de programare, precum și pentru dezbaterea cu cei mai relevanți actori (autorități publice locale, primării, Consilii Județene, autorități și asociații locale reprezentative) a posibilităților de abordare a instrumentelor teritoriale (ITI, CLLD) în perioada 2021-2027. </w:t>
            </w:r>
          </w:p>
          <w:p w:rsidR="006B11E2" w:rsidRPr="004B0EE3" w:rsidRDefault="006B11E2" w:rsidP="004B0EE3">
            <w:pPr>
              <w:spacing w:after="0" w:line="240" w:lineRule="auto"/>
              <w:jc w:val="both"/>
              <w:rPr>
                <w:rFonts w:ascii="Times New Roman" w:hAnsi="Times New Roman" w:cs="Times New Roman"/>
                <w:sz w:val="20"/>
                <w:szCs w:val="20"/>
              </w:rPr>
            </w:pPr>
            <w:r w:rsidRPr="004B0EE3">
              <w:rPr>
                <w:rFonts w:ascii="Times New Roman" w:hAnsi="Times New Roman" w:cs="Times New Roman"/>
                <w:sz w:val="20"/>
                <w:szCs w:val="20"/>
              </w:rPr>
              <w:t>În luna noiembrie 2019, MFE a organizat mai multe reuniuni parteneriale, atât la nivelul Grupurilor parteneriale, cât și pe grupuri tehnice de lucru, în care au fost dezbătute logicile de intervenție pe domenii, corespunzător celor 5 obiective de politică. Acestea au fost publicate pe site-ul MFE, la secțiunea Perioada de Programare 2021-2027, astfel încât să se asigure transparența dezbaterilor și posibilitatea de consultare cât mai largă a tuturor părților interesate.</w:t>
            </w:r>
          </w:p>
          <w:p w:rsidR="006B11E2" w:rsidRPr="004B0EE3" w:rsidRDefault="006B11E2" w:rsidP="004B0EE3">
            <w:pPr>
              <w:spacing w:after="0" w:line="240" w:lineRule="auto"/>
              <w:jc w:val="both"/>
              <w:rPr>
                <w:rFonts w:ascii="Times New Roman" w:hAnsi="Times New Roman" w:cs="Times New Roman"/>
                <w:sz w:val="20"/>
                <w:szCs w:val="20"/>
              </w:rPr>
            </w:pPr>
            <w:r w:rsidRPr="004B0EE3">
              <w:rPr>
                <w:rFonts w:ascii="Times New Roman" w:hAnsi="Times New Roman" w:cs="Times New Roman"/>
                <w:sz w:val="20"/>
                <w:szCs w:val="20"/>
              </w:rPr>
              <w:t xml:space="preserve">În data de 28 noiembrie 2019 a avut loc un prim eveniment de amploare vizând consultarea asupra viitoarei perioade de programare – 2021-2027, eveniment la care au participat reprezentanți ai mediului de afaceri, societății civile, autorităților publice centrale și locale, beneficiari de fonduri europene. În cadrul, acestui eveniment au fost prezentate: stadiul negocierilor documentelor de programare 2021-2027, logica intervențiilor pe domenii de intervenție, dar și arhitectura viitoarelor programe operaționale și mecanismul de consultare partenerială pentru viitor. </w:t>
            </w:r>
          </w:p>
          <w:p w:rsidR="006B11E2" w:rsidRPr="004B0EE3" w:rsidRDefault="006B11E2" w:rsidP="004B0EE3">
            <w:pPr>
              <w:spacing w:after="0" w:line="240" w:lineRule="auto"/>
              <w:jc w:val="both"/>
              <w:rPr>
                <w:rFonts w:ascii="Times New Roman" w:hAnsi="Times New Roman" w:cs="Times New Roman"/>
                <w:sz w:val="20"/>
                <w:szCs w:val="20"/>
              </w:rPr>
            </w:pPr>
            <w:r w:rsidRPr="004B0EE3">
              <w:rPr>
                <w:rFonts w:ascii="Times New Roman" w:hAnsi="Times New Roman" w:cs="Times New Roman"/>
                <w:sz w:val="20"/>
                <w:szCs w:val="20"/>
              </w:rPr>
              <w:t>Odată cu definitivarea arhitecturii viitoarelor Programe Operaționale prin Memorandum la nivelul Guvernului în luna februarie 2020, grupurile de lucru organizate la nivelul celor 5 obiective de politica au fost restructurate la nivel de program ca urmare a unui Ape</w:t>
            </w:r>
            <w:r w:rsidRPr="004B0EE3">
              <w:rPr>
                <w:rFonts w:ascii="Times New Roman" w:hAnsi="Times New Roman" w:cs="Times New Roman"/>
                <w:i/>
                <w:sz w:val="20"/>
                <w:szCs w:val="20"/>
              </w:rPr>
              <w:t>l Național pentru  exprimarea interesului și pentru selecția partenerilor în cadrul structurilor parteneriale aferente Programelor Operaționale</w:t>
            </w:r>
            <w:r w:rsidRPr="004B0EE3">
              <w:rPr>
                <w:rFonts w:ascii="Times New Roman" w:hAnsi="Times New Roman" w:cs="Times New Roman"/>
                <w:sz w:val="20"/>
                <w:szCs w:val="20"/>
              </w:rPr>
              <w:t xml:space="preserve"> care a fost organizat în perioada mai – iulie 2020.</w:t>
            </w:r>
          </w:p>
          <w:p w:rsidR="006B11E2" w:rsidRPr="004B0EE3" w:rsidRDefault="006B11E2" w:rsidP="004B0EE3">
            <w:pPr>
              <w:spacing w:after="0" w:line="240" w:lineRule="auto"/>
              <w:jc w:val="both"/>
              <w:rPr>
                <w:rFonts w:ascii="Times New Roman" w:hAnsi="Times New Roman" w:cs="Times New Roman"/>
                <w:sz w:val="20"/>
                <w:szCs w:val="20"/>
              </w:rPr>
            </w:pPr>
            <w:r w:rsidRPr="004B0EE3">
              <w:rPr>
                <w:rFonts w:ascii="Times New Roman" w:hAnsi="Times New Roman" w:cs="Times New Roman"/>
                <w:sz w:val="20"/>
                <w:szCs w:val="20"/>
              </w:rPr>
              <w:t>Totodată, MFE implementează un proiect de Asistență Tehnică „</w:t>
            </w:r>
            <w:r w:rsidRPr="004B0EE3">
              <w:rPr>
                <w:rFonts w:ascii="Times New Roman" w:hAnsi="Times New Roman" w:cs="Times New Roman"/>
                <w:i/>
                <w:sz w:val="20"/>
                <w:szCs w:val="20"/>
              </w:rPr>
              <w:t>Sprijin pentru implementarea principiului parteneriatului în coordonarea și gestionarea fondurilor europene privind coeziunea</w:t>
            </w:r>
            <w:r w:rsidRPr="004B0EE3">
              <w:rPr>
                <w:rFonts w:ascii="Times New Roman" w:hAnsi="Times New Roman" w:cs="Times New Roman"/>
                <w:sz w:val="20"/>
                <w:szCs w:val="20"/>
              </w:rPr>
              <w:t>”, care isi propune crearea unui sistem coordonat de informare și comunicare pentru parteneri și elaborarea C</w:t>
            </w:r>
            <w:r w:rsidRPr="004B0EE3">
              <w:rPr>
                <w:rFonts w:ascii="Times New Roman" w:hAnsi="Times New Roman" w:cs="Times New Roman"/>
                <w:i/>
                <w:sz w:val="20"/>
                <w:szCs w:val="20"/>
              </w:rPr>
              <w:t>odul Național de Conduită privind Parteneriatul pentru Fondurile Europene aferente Politicii de Coeziune</w:t>
            </w:r>
            <w:r w:rsidRPr="004B0EE3">
              <w:rPr>
                <w:rFonts w:ascii="Times New Roman" w:hAnsi="Times New Roman" w:cs="Times New Roman"/>
                <w:sz w:val="20"/>
                <w:szCs w:val="20"/>
              </w:rPr>
              <w:t>.</w:t>
            </w:r>
          </w:p>
          <w:p w:rsidR="006B11E2" w:rsidRPr="004B0EE3" w:rsidRDefault="006B11E2" w:rsidP="004B0EE3">
            <w:pPr>
              <w:spacing w:after="0" w:line="240" w:lineRule="auto"/>
              <w:jc w:val="both"/>
              <w:rPr>
                <w:rFonts w:ascii="Times New Roman" w:hAnsi="Times New Roman" w:cs="Times New Roman"/>
                <w:sz w:val="20"/>
                <w:szCs w:val="20"/>
              </w:rPr>
            </w:pPr>
            <w:r w:rsidRPr="004B0EE3">
              <w:rPr>
                <w:rFonts w:ascii="Times New Roman" w:hAnsi="Times New Roman" w:cs="Times New Roman"/>
                <w:sz w:val="20"/>
                <w:szCs w:val="20"/>
              </w:rPr>
              <w:t xml:space="preserve">Dincolo de activitatea concretă a structurilor parteneriale, transparența în procesul de programare este asigurată prin intermediul secțiunii dedicate la nivelul site-ului MFE, în cadrul căreia sunt postate cu regularitate documentele relevante pentru procesul de programare supuse consultării: logicile intervențiilor, diversele versiuni ale Programelor Operaționale, precum și calendarul consultărilor publice (link web:  </w:t>
            </w:r>
            <w:hyperlink r:id="rId29" w:history="1">
              <w:r w:rsidRPr="004B0EE3">
                <w:rPr>
                  <w:rStyle w:val="Hyperlink"/>
                  <w:rFonts w:ascii="Times New Roman" w:hAnsi="Times New Roman" w:cs="Times New Roman"/>
                  <w:sz w:val="20"/>
                  <w:szCs w:val="20"/>
                </w:rPr>
                <w:t>http://mfe.gov.ro/minister/perioade-de-programare/perioada-2021-2027/</w:t>
              </w:r>
            </w:hyperlink>
            <w:r w:rsidRPr="004B0EE3">
              <w:rPr>
                <w:rFonts w:ascii="Times New Roman" w:hAnsi="Times New Roman" w:cs="Times New Roman"/>
                <w:sz w:val="20"/>
                <w:szCs w:val="20"/>
              </w:rPr>
              <w:t>).</w:t>
            </w:r>
          </w:p>
          <w:p w:rsidR="006B11E2" w:rsidRDefault="006B11E2" w:rsidP="004B0EE3">
            <w:pPr>
              <w:spacing w:after="0" w:line="240" w:lineRule="auto"/>
              <w:jc w:val="both"/>
              <w:rPr>
                <w:rFonts w:ascii="Times New Roman" w:hAnsi="Times New Roman" w:cs="Times New Roman"/>
                <w:sz w:val="20"/>
                <w:szCs w:val="20"/>
              </w:rPr>
            </w:pPr>
            <w:r w:rsidRPr="004B0EE3">
              <w:rPr>
                <w:rFonts w:ascii="Times New Roman" w:hAnsi="Times New Roman" w:cs="Times New Roman"/>
                <w:sz w:val="20"/>
                <w:szCs w:val="20"/>
              </w:rPr>
              <w:t xml:space="preserve">Astfel, după publicarea la 31 iulie a primelor versiuni ale Programelor Regionale 2021-2027 a avut loc o consultare publică în sistem de videoconferita la care au participat prin intermediul platformei Webex aproximativ 180 de reprezentanți ai partenerilor.  Observațiile/propunerile formulate in timpul reuniunii si/sau transmise ulterior în scris au fost analizate si, după caz, integrate in versiunea revizuita a programelor. </w:t>
            </w:r>
          </w:p>
          <w:p w:rsidR="004B0EE3" w:rsidRPr="004B0EE3" w:rsidRDefault="004B0EE3" w:rsidP="004B0EE3">
            <w:pPr>
              <w:spacing w:after="0" w:line="240" w:lineRule="auto"/>
              <w:jc w:val="both"/>
              <w:rPr>
                <w:rFonts w:ascii="Times New Roman" w:hAnsi="Times New Roman" w:cs="Times New Roman"/>
                <w:sz w:val="20"/>
                <w:szCs w:val="20"/>
              </w:rPr>
            </w:pPr>
          </w:p>
          <w:p w:rsidR="006B11E2" w:rsidRDefault="006B11E2" w:rsidP="004B0EE3">
            <w:pPr>
              <w:spacing w:after="0" w:line="240" w:lineRule="auto"/>
              <w:jc w:val="both"/>
              <w:rPr>
                <w:rFonts w:ascii="Times New Roman" w:hAnsi="Times New Roman" w:cs="Times New Roman"/>
                <w:sz w:val="20"/>
                <w:szCs w:val="20"/>
              </w:rPr>
            </w:pPr>
            <w:r w:rsidRPr="004B0EE3">
              <w:rPr>
                <w:rFonts w:ascii="Times New Roman" w:hAnsi="Times New Roman" w:cs="Times New Roman"/>
                <w:sz w:val="20"/>
                <w:szCs w:val="20"/>
              </w:rPr>
              <w:t>În paralel, pentru pregătirea POR Centru, la nivelul regiunii de dezvoltare Centru a fost constituit un cadru partenerial regional al cărui scop este facilitarea implicării actorilor regionali relevanți în pregătirea documentelor de planificare si programare a dezvoltării regionale pentru perioada 2021-2027 și, ulterior acestei etape, în punerea în aplicare a programelor.</w:t>
            </w:r>
            <w:r w:rsidR="0053626E" w:rsidRPr="004B0EE3">
              <w:rPr>
                <w:rFonts w:ascii="Times New Roman" w:hAnsi="Times New Roman" w:cs="Times New Roman"/>
                <w:sz w:val="20"/>
                <w:szCs w:val="20"/>
              </w:rPr>
              <w:t xml:space="preserve"> Pe tot parcursul procesului de stabilire și de operaționalizare a structurilor parteneriale au fost respectate prevederile din </w:t>
            </w:r>
            <w:r w:rsidR="0053626E" w:rsidRPr="004B0EE3">
              <w:rPr>
                <w:rFonts w:ascii="Times New Roman" w:hAnsi="Times New Roman" w:cs="Times New Roman"/>
                <w:b/>
                <w:i/>
                <w:sz w:val="20"/>
                <w:szCs w:val="20"/>
              </w:rPr>
              <w:t>Memorandumul Guvernului României cu tema: Pregătirea documentelor naționale de programare a finanțărilor din fonduri europene  post 2020</w:t>
            </w:r>
            <w:r w:rsidR="0053626E" w:rsidRPr="004B0EE3">
              <w:rPr>
                <w:rFonts w:ascii="Times New Roman" w:hAnsi="Times New Roman" w:cs="Times New Roman"/>
                <w:sz w:val="20"/>
                <w:szCs w:val="20"/>
              </w:rPr>
              <w:t xml:space="preserve"> din 5 septembrie 2018, precum și cele din </w:t>
            </w:r>
            <w:r w:rsidR="0053626E" w:rsidRPr="004B0EE3">
              <w:rPr>
                <w:rFonts w:ascii="Times New Roman" w:hAnsi="Times New Roman" w:cs="Times New Roman"/>
                <w:b/>
                <w:i/>
                <w:sz w:val="20"/>
                <w:szCs w:val="20"/>
              </w:rPr>
              <w:t>Regulamentul delegat (UE) nr. 240/2014 al Comisiei din 7 ianuarie 2014</w:t>
            </w:r>
            <w:r w:rsidR="0053626E" w:rsidRPr="004B0EE3">
              <w:rPr>
                <w:rFonts w:ascii="Times New Roman" w:hAnsi="Times New Roman" w:cs="Times New Roman"/>
                <w:sz w:val="20"/>
                <w:szCs w:val="20"/>
              </w:rPr>
              <w:t xml:space="preserve"> privind Codul european de conduită referitor la parteneriat. Strucutra partenerială de la nivel regional a fost aprobată prin Hotărârea CDR Centru nr. 15/25.06.2019.</w:t>
            </w:r>
          </w:p>
          <w:p w:rsidR="004B0EE3" w:rsidRPr="004B0EE3" w:rsidRDefault="004B0EE3" w:rsidP="004B0EE3">
            <w:pPr>
              <w:spacing w:after="0" w:line="240" w:lineRule="auto"/>
              <w:jc w:val="both"/>
              <w:rPr>
                <w:rFonts w:ascii="Times New Roman" w:hAnsi="Times New Roman" w:cs="Times New Roman"/>
                <w:sz w:val="20"/>
                <w:szCs w:val="20"/>
              </w:rPr>
            </w:pPr>
          </w:p>
          <w:p w:rsidR="006B11E2" w:rsidRPr="004B0EE3" w:rsidRDefault="006B11E2" w:rsidP="004B0EE3">
            <w:pPr>
              <w:spacing w:after="0" w:line="240" w:lineRule="auto"/>
              <w:jc w:val="both"/>
              <w:rPr>
                <w:rFonts w:ascii="Times New Roman" w:hAnsi="Times New Roman" w:cs="Times New Roman"/>
                <w:sz w:val="20"/>
                <w:szCs w:val="20"/>
              </w:rPr>
            </w:pPr>
            <w:r w:rsidRPr="004B0EE3">
              <w:rPr>
                <w:rFonts w:ascii="Times New Roman" w:hAnsi="Times New Roman" w:cs="Times New Roman"/>
                <w:sz w:val="20"/>
                <w:szCs w:val="20"/>
              </w:rPr>
              <w:t xml:space="preserve">Structurile parteneriale de referință la nivel regional, implicate in programarea și implementarea fondurilor europene sunt: </w:t>
            </w:r>
          </w:p>
          <w:p w:rsidR="006B11E2" w:rsidRPr="004B0EE3" w:rsidRDefault="006B11E2" w:rsidP="004B0EE3">
            <w:pPr>
              <w:spacing w:after="0" w:line="240" w:lineRule="auto"/>
              <w:jc w:val="both"/>
              <w:rPr>
                <w:rFonts w:ascii="Times New Roman" w:hAnsi="Times New Roman" w:cs="Times New Roman"/>
                <w:sz w:val="20"/>
                <w:szCs w:val="20"/>
              </w:rPr>
            </w:pPr>
            <w:r w:rsidRPr="004B0EE3">
              <w:rPr>
                <w:rFonts w:ascii="Times New Roman" w:hAnsi="Times New Roman" w:cs="Times New Roman"/>
                <w:b/>
                <w:sz w:val="20"/>
                <w:szCs w:val="20"/>
              </w:rPr>
              <w:t>Consiliul de Dezvoltare Regională (CDR Centru),</w:t>
            </w:r>
            <w:r w:rsidRPr="004B0EE3">
              <w:rPr>
                <w:rFonts w:ascii="Times New Roman" w:hAnsi="Times New Roman" w:cs="Times New Roman"/>
                <w:sz w:val="20"/>
                <w:szCs w:val="20"/>
              </w:rPr>
              <w:t xml:space="preserve"> organism cu rol deliberativ  la nivel regional</w:t>
            </w:r>
            <w:r w:rsidR="00785B03" w:rsidRPr="004B0EE3">
              <w:rPr>
                <w:rFonts w:ascii="Times New Roman" w:hAnsi="Times New Roman" w:cs="Times New Roman"/>
                <w:sz w:val="20"/>
                <w:szCs w:val="20"/>
              </w:rPr>
              <w:t xml:space="preserve"> conform Legii 315/2004 privind d</w:t>
            </w:r>
            <w:r w:rsidR="0053626E" w:rsidRPr="004B0EE3">
              <w:rPr>
                <w:rFonts w:ascii="Times New Roman" w:hAnsi="Times New Roman" w:cs="Times New Roman"/>
                <w:sz w:val="20"/>
                <w:szCs w:val="20"/>
              </w:rPr>
              <w:t>ezvoltarea regională în România.</w:t>
            </w:r>
          </w:p>
          <w:p w:rsidR="006B11E2" w:rsidRPr="004B0EE3" w:rsidRDefault="006B11E2" w:rsidP="004B0EE3">
            <w:pPr>
              <w:spacing w:after="0" w:line="240" w:lineRule="auto"/>
              <w:contextualSpacing/>
              <w:jc w:val="both"/>
              <w:rPr>
                <w:rFonts w:ascii="Times New Roman" w:hAnsi="Times New Roman" w:cs="Times New Roman"/>
                <w:iCs/>
                <w:spacing w:val="10"/>
                <w:sz w:val="20"/>
                <w:szCs w:val="20"/>
              </w:rPr>
            </w:pPr>
            <w:r w:rsidRPr="004B0EE3">
              <w:rPr>
                <w:rFonts w:ascii="Times New Roman" w:hAnsi="Times New Roman" w:cs="Times New Roman"/>
                <w:b/>
                <w:iCs/>
                <w:spacing w:val="10"/>
                <w:sz w:val="20"/>
                <w:szCs w:val="20"/>
              </w:rPr>
              <w:t>Comitetul Regional de Planificare ”Centru”</w:t>
            </w:r>
            <w:r w:rsidR="0053626E" w:rsidRPr="004B0EE3">
              <w:rPr>
                <w:rFonts w:ascii="Times New Roman" w:hAnsi="Times New Roman" w:cs="Times New Roman"/>
                <w:b/>
                <w:iCs/>
                <w:spacing w:val="10"/>
                <w:sz w:val="20"/>
                <w:szCs w:val="20"/>
              </w:rPr>
              <w:t xml:space="preserve"> (</w:t>
            </w:r>
            <w:r w:rsidRPr="004B0EE3">
              <w:rPr>
                <w:rFonts w:ascii="Times New Roman" w:hAnsi="Times New Roman" w:cs="Times New Roman"/>
                <w:b/>
                <w:iCs/>
                <w:spacing w:val="10"/>
                <w:sz w:val="20"/>
                <w:szCs w:val="20"/>
              </w:rPr>
              <w:t>CRP Centru</w:t>
            </w:r>
            <w:r w:rsidRPr="004B0EE3">
              <w:rPr>
                <w:rFonts w:ascii="Times New Roman" w:hAnsi="Times New Roman" w:cs="Times New Roman"/>
                <w:iCs/>
                <w:spacing w:val="10"/>
                <w:sz w:val="20"/>
                <w:szCs w:val="20"/>
              </w:rPr>
              <w:t>)– structură partenerială având în componență 43 organizații reprezentative pentru cele 4 zone ale societății: administrația publică, mediul de afaceri, mediul academic și societatea civilă și cu o reprezentare echilibrată din punct de vedere teritorial</w:t>
            </w:r>
          </w:p>
          <w:p w:rsidR="006B11E2" w:rsidRPr="004B0EE3" w:rsidRDefault="006B11E2" w:rsidP="004B0EE3">
            <w:pPr>
              <w:spacing w:after="0" w:line="240" w:lineRule="auto"/>
              <w:contextualSpacing/>
              <w:jc w:val="both"/>
              <w:rPr>
                <w:rFonts w:ascii="Times New Roman" w:hAnsi="Times New Roman" w:cs="Times New Roman"/>
                <w:iCs/>
                <w:spacing w:val="10"/>
                <w:sz w:val="20"/>
                <w:szCs w:val="20"/>
              </w:rPr>
            </w:pPr>
            <w:r w:rsidRPr="004B0EE3">
              <w:rPr>
                <w:rFonts w:ascii="Times New Roman" w:hAnsi="Times New Roman" w:cs="Times New Roman"/>
                <w:b/>
                <w:iCs/>
                <w:spacing w:val="10"/>
                <w:sz w:val="20"/>
                <w:szCs w:val="20"/>
              </w:rPr>
              <w:t>Grupuri de Lucru Județene</w:t>
            </w:r>
            <w:r w:rsidRPr="004B0EE3">
              <w:rPr>
                <w:rFonts w:ascii="Times New Roman" w:hAnsi="Times New Roman" w:cs="Times New Roman"/>
                <w:iCs/>
                <w:spacing w:val="10"/>
                <w:sz w:val="20"/>
                <w:szCs w:val="20"/>
              </w:rPr>
              <w:t>, constituite la nivelul fiecărui județ, sub coordonarea consiliilor județene</w:t>
            </w:r>
          </w:p>
          <w:p w:rsidR="006B11E2" w:rsidRPr="004B0EE3" w:rsidRDefault="006B11E2" w:rsidP="004B0EE3">
            <w:pPr>
              <w:spacing w:after="0" w:line="240" w:lineRule="auto"/>
              <w:jc w:val="both"/>
              <w:rPr>
                <w:rFonts w:ascii="Times New Roman" w:hAnsi="Times New Roman" w:cs="Times New Roman"/>
                <w:iCs/>
                <w:spacing w:val="10"/>
                <w:sz w:val="20"/>
                <w:szCs w:val="20"/>
              </w:rPr>
            </w:pPr>
            <w:r w:rsidRPr="004B0EE3">
              <w:rPr>
                <w:rFonts w:ascii="Times New Roman" w:hAnsi="Times New Roman" w:cs="Times New Roman"/>
                <w:b/>
                <w:iCs/>
                <w:spacing w:val="10"/>
                <w:sz w:val="20"/>
                <w:szCs w:val="20"/>
              </w:rPr>
              <w:t>Grupuri de Lucru Tematice,</w:t>
            </w:r>
            <w:r w:rsidRPr="004B0EE3">
              <w:rPr>
                <w:rFonts w:ascii="Times New Roman" w:hAnsi="Times New Roman" w:cs="Times New Roman"/>
                <w:iCs/>
                <w:spacing w:val="10"/>
                <w:sz w:val="20"/>
                <w:szCs w:val="20"/>
              </w:rPr>
              <w:t xml:space="preserve"> în domeniile de interes regional: </w:t>
            </w:r>
            <w:r w:rsidRPr="004B0EE3">
              <w:rPr>
                <w:rFonts w:ascii="Times New Roman" w:hAnsi="Times New Roman" w:cs="Times New Roman"/>
                <w:sz w:val="20"/>
                <w:szCs w:val="20"/>
              </w:rPr>
              <w:t>infrastructură şi dezvoltare teritorială; dezvoltare urbană durabilă; agricultură, silvicultură şi dezvoltare rurală; CDI şi competitivitate economică; mediu, eficiență energetică, resurse de energie regenerabile, schimbări climatice; resurse umane, incluziune socială; turism și patrimoniu cultural</w:t>
            </w:r>
            <w:r w:rsidRPr="004B0EE3">
              <w:rPr>
                <w:rFonts w:ascii="Times New Roman" w:hAnsi="Times New Roman" w:cs="Times New Roman"/>
                <w:iCs/>
                <w:spacing w:val="10"/>
                <w:sz w:val="20"/>
                <w:szCs w:val="20"/>
              </w:rPr>
              <w:t>, alcătuite din experți în cele 7 domenii menționate mai sus.</w:t>
            </w:r>
          </w:p>
          <w:p w:rsidR="006B11E2" w:rsidRPr="004B0EE3" w:rsidRDefault="006B11E2" w:rsidP="004B0EE3">
            <w:pPr>
              <w:spacing w:after="0" w:line="240" w:lineRule="auto"/>
              <w:jc w:val="both"/>
              <w:rPr>
                <w:rFonts w:ascii="Times New Roman" w:hAnsi="Times New Roman" w:cs="Times New Roman"/>
                <w:b/>
                <w:sz w:val="20"/>
                <w:szCs w:val="20"/>
                <w:lang w:eastAsia="de-DE"/>
              </w:rPr>
            </w:pPr>
            <w:r w:rsidRPr="004B0EE3">
              <w:rPr>
                <w:rFonts w:ascii="Times New Roman" w:hAnsi="Times New Roman" w:cs="Times New Roman"/>
                <w:b/>
                <w:iCs/>
                <w:spacing w:val="10"/>
                <w:sz w:val="20"/>
                <w:szCs w:val="20"/>
              </w:rPr>
              <w:t xml:space="preserve">Consorțiul Regional de Inovare (CRI Centru), </w:t>
            </w:r>
            <w:r w:rsidRPr="004B0EE3">
              <w:rPr>
                <w:rFonts w:ascii="Times New Roman" w:hAnsi="Times New Roman" w:cs="Times New Roman"/>
                <w:iCs/>
                <w:spacing w:val="10"/>
                <w:sz w:val="20"/>
                <w:szCs w:val="20"/>
              </w:rPr>
              <w:t>structură partenerială având 41 de organizații membre, cu rol în avizarea Strategiei de Specializare Inteligentă.</w:t>
            </w:r>
          </w:p>
          <w:p w:rsidR="00735C5B" w:rsidRPr="004B0EE3" w:rsidRDefault="00735C5B" w:rsidP="004B0EE3">
            <w:pPr>
              <w:spacing w:after="0" w:line="240" w:lineRule="auto"/>
              <w:jc w:val="both"/>
              <w:rPr>
                <w:rFonts w:ascii="Times New Roman" w:hAnsi="Times New Roman" w:cs="Times New Roman"/>
                <w:sz w:val="20"/>
                <w:szCs w:val="20"/>
                <w:lang w:eastAsia="de-DE"/>
              </w:rPr>
            </w:pPr>
          </w:p>
          <w:p w:rsidR="00735C5B" w:rsidRPr="004B0EE3" w:rsidRDefault="006B11E2" w:rsidP="004B0EE3">
            <w:pPr>
              <w:tabs>
                <w:tab w:val="left" w:pos="0"/>
              </w:tabs>
              <w:spacing w:after="0" w:line="240" w:lineRule="auto"/>
              <w:jc w:val="both"/>
              <w:rPr>
                <w:rFonts w:ascii="Times New Roman" w:hAnsi="Times New Roman" w:cs="Times New Roman"/>
                <w:sz w:val="20"/>
                <w:szCs w:val="20"/>
              </w:rPr>
            </w:pPr>
            <w:r w:rsidRPr="004B0EE3">
              <w:rPr>
                <w:rFonts w:ascii="Times New Roman" w:hAnsi="Times New Roman" w:cs="Times New Roman"/>
                <w:sz w:val="20"/>
                <w:szCs w:val="20"/>
                <w:lang w:eastAsia="de-DE"/>
              </w:rPr>
              <w:t xml:space="preserve">Primele consultări la nivel regional cu structurile parteneriale regionale au început în septembrie 2019. În perioada septembrie 2019- februarie 2020 au avut loc 13 întâlniri cu structurile parteneriale regionale (CRP, CRI, CDR), grupuri de lucru județene și tematice </w:t>
            </w:r>
            <w:r w:rsidR="00735C5B" w:rsidRPr="004B0EE3">
              <w:rPr>
                <w:rFonts w:ascii="Times New Roman" w:hAnsi="Times New Roman" w:cs="Times New Roman"/>
                <w:sz w:val="20"/>
                <w:szCs w:val="20"/>
              </w:rPr>
              <w:t xml:space="preserve">care a urmărit în principal două obiective majore: </w:t>
            </w:r>
          </w:p>
          <w:p w:rsidR="00735C5B" w:rsidRPr="004B0EE3" w:rsidRDefault="00735C5B" w:rsidP="004B0EE3">
            <w:pPr>
              <w:pStyle w:val="Listparagraf"/>
              <w:numPr>
                <w:ilvl w:val="0"/>
                <w:numId w:val="74"/>
              </w:numPr>
              <w:tabs>
                <w:tab w:val="left" w:pos="0"/>
              </w:tabs>
              <w:spacing w:before="0" w:after="0" w:line="240" w:lineRule="auto"/>
              <w:jc w:val="both"/>
              <w:rPr>
                <w:sz w:val="20"/>
                <w:szCs w:val="20"/>
              </w:rPr>
            </w:pPr>
            <w:r w:rsidRPr="004B0EE3">
              <w:rPr>
                <w:sz w:val="20"/>
                <w:szCs w:val="20"/>
                <w:lang w:val="ro-RO"/>
              </w:rPr>
              <w:t xml:space="preserve">stabilirea priorităților regionale pe baza nevoilor de dezvoltare ale comunităților identificate în mod obiectiv și luând în considerare interesele legitime ale acestor comunități </w:t>
            </w:r>
          </w:p>
          <w:p w:rsidR="00735C5B" w:rsidRPr="004B0EE3" w:rsidRDefault="00735C5B" w:rsidP="004B0EE3">
            <w:pPr>
              <w:pStyle w:val="Listparagraf"/>
              <w:numPr>
                <w:ilvl w:val="0"/>
                <w:numId w:val="74"/>
              </w:numPr>
              <w:tabs>
                <w:tab w:val="left" w:pos="0"/>
              </w:tabs>
              <w:spacing w:before="0" w:after="0" w:line="240" w:lineRule="auto"/>
              <w:jc w:val="both"/>
              <w:rPr>
                <w:sz w:val="20"/>
                <w:szCs w:val="20"/>
              </w:rPr>
            </w:pPr>
            <w:r w:rsidRPr="004B0EE3">
              <w:rPr>
                <w:sz w:val="20"/>
                <w:szCs w:val="20"/>
                <w:lang w:val="ro-RO"/>
              </w:rPr>
              <w:t>alcătuirea unui portofoliu solid de proiecte care să faciliteze implementarea priorităților de dezvoltare și să fie finanțabile prin fondurile europene aferente perioadei 2021-2027.</w:t>
            </w:r>
          </w:p>
          <w:p w:rsidR="006B11E2" w:rsidRPr="004B0EE3" w:rsidRDefault="006B11E2" w:rsidP="004B0EE3">
            <w:pPr>
              <w:tabs>
                <w:tab w:val="left" w:pos="0"/>
              </w:tabs>
              <w:spacing w:after="0" w:line="240" w:lineRule="auto"/>
              <w:jc w:val="both"/>
              <w:rPr>
                <w:rFonts w:ascii="Times New Roman" w:hAnsi="Times New Roman" w:cs="Times New Roman"/>
                <w:sz w:val="20"/>
                <w:szCs w:val="20"/>
              </w:rPr>
            </w:pPr>
            <w:r w:rsidRPr="004B0EE3">
              <w:rPr>
                <w:rFonts w:ascii="Times New Roman" w:hAnsi="Times New Roman" w:cs="Times New Roman"/>
                <w:sz w:val="20"/>
                <w:szCs w:val="20"/>
                <w:lang w:eastAsia="de-DE"/>
              </w:rPr>
              <w:t xml:space="preserve">La aceste întâlniri au participat reprezentanți ai autorităților publice locale și județene, asociații de dezvoltare intercomunitară, clustere, instituții din domeniul educației, cercetării, mediul de afaceri, organizații publice cu atribuții în domeniul protecției mediului, </w:t>
            </w:r>
            <w:r w:rsidRPr="004B0EE3">
              <w:rPr>
                <w:rFonts w:ascii="Times New Roman" w:hAnsi="Times New Roman" w:cs="Times New Roman"/>
                <w:sz w:val="20"/>
                <w:szCs w:val="20"/>
              </w:rPr>
              <w:t>organizații neguvernamentale și organisme însărcinate cu promovarea integrării sociale, egalității de gen și nediscriminării care, în conformitate cu abordarea bazată pe guvernanța pe mai multe niveluri se implică pe durata programării și, ulterior în implementare, inclusiv prin participarea la comitetul de monitorizare.</w:t>
            </w:r>
          </w:p>
          <w:p w:rsidR="006B11E2" w:rsidRPr="004B0EE3" w:rsidRDefault="006B11E2" w:rsidP="004B0EE3">
            <w:pPr>
              <w:spacing w:after="0" w:line="240" w:lineRule="auto"/>
              <w:jc w:val="both"/>
              <w:rPr>
                <w:rFonts w:ascii="Times New Roman" w:hAnsi="Times New Roman" w:cs="Times New Roman"/>
                <w:sz w:val="20"/>
                <w:szCs w:val="20"/>
                <w:lang w:eastAsia="de-DE"/>
              </w:rPr>
            </w:pPr>
          </w:p>
          <w:p w:rsidR="006B11E2" w:rsidRPr="004B0EE3" w:rsidRDefault="006B11E2" w:rsidP="004B0EE3">
            <w:pPr>
              <w:spacing w:after="0" w:line="240" w:lineRule="auto"/>
              <w:jc w:val="both"/>
              <w:rPr>
                <w:rFonts w:ascii="Times New Roman" w:hAnsi="Times New Roman" w:cs="Times New Roman"/>
                <w:sz w:val="20"/>
                <w:szCs w:val="20"/>
                <w:lang w:eastAsia="de-DE"/>
              </w:rPr>
            </w:pPr>
            <w:r w:rsidRPr="004B0EE3">
              <w:rPr>
                <w:rFonts w:ascii="Times New Roman" w:hAnsi="Times New Roman" w:cs="Times New Roman"/>
                <w:sz w:val="20"/>
                <w:szCs w:val="20"/>
                <w:lang w:eastAsia="de-DE"/>
              </w:rPr>
              <w:t>Cinci din cele 13 consultări au avut ca scop prezentarea, dezbaterea și culegerea de opinii/sugestii cu privire la fiecare din cele 5 obiective de politică ale CE pe care se axează prioritățile politicii de coeziune în perioada 2021</w:t>
            </w:r>
            <w:r w:rsidR="00735C5B" w:rsidRPr="004B0EE3">
              <w:rPr>
                <w:rFonts w:ascii="Times New Roman" w:hAnsi="Times New Roman" w:cs="Times New Roman"/>
                <w:sz w:val="20"/>
                <w:szCs w:val="20"/>
                <w:lang w:eastAsia="de-DE"/>
              </w:rPr>
              <w:t>-</w:t>
            </w:r>
            <w:r w:rsidRPr="004B0EE3">
              <w:rPr>
                <w:rFonts w:ascii="Times New Roman" w:hAnsi="Times New Roman" w:cs="Times New Roman"/>
                <w:sz w:val="20"/>
                <w:szCs w:val="20"/>
                <w:lang w:eastAsia="de-DE"/>
              </w:rPr>
              <w:t>2027. Sugestiile primite de la partenerii regionali, coroborate cu propunerile de proiecte transmise de organizațiile din regiune pentru a fi incluse în portofoliul regional de proiecte, mecanism dezvoltat de ADR Centru pentru a susține procesul de programare și planifica</w:t>
            </w:r>
            <w:r w:rsidR="00735C5B" w:rsidRPr="004B0EE3">
              <w:rPr>
                <w:rFonts w:ascii="Times New Roman" w:hAnsi="Times New Roman" w:cs="Times New Roman"/>
                <w:sz w:val="20"/>
                <w:szCs w:val="20"/>
                <w:lang w:eastAsia="de-DE"/>
              </w:rPr>
              <w:t>re au contribuit la conturarea versiunii 0 a POR Centru.</w:t>
            </w:r>
          </w:p>
          <w:p w:rsidR="006B11E2" w:rsidRPr="004B0EE3" w:rsidRDefault="006B11E2" w:rsidP="004B0EE3">
            <w:pPr>
              <w:spacing w:after="0" w:line="240" w:lineRule="auto"/>
              <w:jc w:val="both"/>
              <w:rPr>
                <w:rFonts w:ascii="Times New Roman" w:hAnsi="Times New Roman" w:cs="Times New Roman"/>
                <w:sz w:val="20"/>
                <w:szCs w:val="20"/>
                <w:lang w:eastAsia="de-DE"/>
              </w:rPr>
            </w:pPr>
          </w:p>
          <w:p w:rsidR="006B11E2" w:rsidRPr="004B0EE3" w:rsidRDefault="006B11E2" w:rsidP="004B0EE3">
            <w:pPr>
              <w:spacing w:after="0" w:line="240" w:lineRule="auto"/>
              <w:jc w:val="both"/>
              <w:rPr>
                <w:rFonts w:ascii="Times New Roman" w:hAnsi="Times New Roman" w:cs="Times New Roman"/>
                <w:sz w:val="20"/>
                <w:szCs w:val="20"/>
                <w:lang w:eastAsia="de-DE"/>
              </w:rPr>
            </w:pPr>
            <w:r w:rsidRPr="004B0EE3">
              <w:rPr>
                <w:rFonts w:ascii="Times New Roman" w:hAnsi="Times New Roman" w:cs="Times New Roman"/>
                <w:sz w:val="20"/>
                <w:szCs w:val="20"/>
                <w:lang w:eastAsia="de-DE"/>
              </w:rPr>
              <w:t>Această primă versiune a POR Centru 2021</w:t>
            </w:r>
            <w:r w:rsidR="00735C5B" w:rsidRPr="004B0EE3">
              <w:rPr>
                <w:rFonts w:ascii="Times New Roman" w:hAnsi="Times New Roman" w:cs="Times New Roman"/>
                <w:sz w:val="20"/>
                <w:szCs w:val="20"/>
                <w:lang w:eastAsia="de-DE"/>
              </w:rPr>
              <w:t>-</w:t>
            </w:r>
            <w:r w:rsidRPr="004B0EE3">
              <w:rPr>
                <w:rFonts w:ascii="Times New Roman" w:hAnsi="Times New Roman" w:cs="Times New Roman"/>
                <w:sz w:val="20"/>
                <w:szCs w:val="20"/>
                <w:lang w:eastAsia="de-DE"/>
              </w:rPr>
              <w:t xml:space="preserve">2027 a fost transmisă spre consultare Comitetului Regional de Planificare al Regiunii Centru, Consiliului de Dezvoltare </w:t>
            </w:r>
            <w:r w:rsidR="00735C5B" w:rsidRPr="004B0EE3">
              <w:rPr>
                <w:rFonts w:ascii="Times New Roman" w:hAnsi="Times New Roman" w:cs="Times New Roman"/>
                <w:sz w:val="20"/>
                <w:szCs w:val="20"/>
                <w:lang w:eastAsia="de-DE"/>
              </w:rPr>
              <w:t xml:space="preserve">Regională </w:t>
            </w:r>
            <w:r w:rsidRPr="004B0EE3">
              <w:rPr>
                <w:rFonts w:ascii="Times New Roman" w:hAnsi="Times New Roman" w:cs="Times New Roman"/>
                <w:sz w:val="20"/>
                <w:szCs w:val="20"/>
                <w:lang w:eastAsia="de-DE"/>
              </w:rPr>
              <w:t>ș</w:t>
            </w:r>
            <w:r w:rsidR="00735C5B" w:rsidRPr="004B0EE3">
              <w:rPr>
                <w:rFonts w:ascii="Times New Roman" w:hAnsi="Times New Roman" w:cs="Times New Roman"/>
                <w:sz w:val="20"/>
                <w:szCs w:val="20"/>
                <w:lang w:eastAsia="de-DE"/>
              </w:rPr>
              <w:t xml:space="preserve">i Consorțiului Regional </w:t>
            </w:r>
            <w:r w:rsidRPr="004B0EE3">
              <w:rPr>
                <w:rFonts w:ascii="Times New Roman" w:hAnsi="Times New Roman" w:cs="Times New Roman"/>
                <w:sz w:val="20"/>
                <w:szCs w:val="20"/>
                <w:lang w:eastAsia="de-DE"/>
              </w:rPr>
              <w:t>de Inovare. De asemenea, în 31 iulie 2020 această versiune a fost publicată pe site-ul Ministerului Fondurilor Europene.</w:t>
            </w:r>
          </w:p>
          <w:p w:rsidR="00653391" w:rsidRPr="004B0EE3" w:rsidRDefault="00653391" w:rsidP="004B0EE3">
            <w:pPr>
              <w:spacing w:after="0" w:line="240" w:lineRule="auto"/>
              <w:jc w:val="both"/>
              <w:rPr>
                <w:rFonts w:ascii="Times New Roman" w:hAnsi="Times New Roman" w:cs="Times New Roman"/>
                <w:sz w:val="20"/>
                <w:szCs w:val="20"/>
                <w:lang w:eastAsia="de-DE"/>
              </w:rPr>
            </w:pPr>
          </w:p>
          <w:p w:rsidR="00653391" w:rsidRPr="004B0EE3" w:rsidRDefault="00653391" w:rsidP="004B0EE3">
            <w:pPr>
              <w:spacing w:after="0" w:line="240" w:lineRule="auto"/>
              <w:jc w:val="both"/>
              <w:rPr>
                <w:rFonts w:ascii="Times New Roman" w:hAnsi="Times New Roman" w:cs="Times New Roman"/>
                <w:sz w:val="20"/>
                <w:szCs w:val="20"/>
                <w:lang w:eastAsia="de-DE"/>
              </w:rPr>
            </w:pPr>
            <w:r w:rsidRPr="004B0EE3">
              <w:rPr>
                <w:rFonts w:ascii="Times New Roman" w:hAnsi="Times New Roman" w:cs="Times New Roman"/>
                <w:sz w:val="20"/>
                <w:szCs w:val="20"/>
              </w:rPr>
              <w:t xml:space="preserve">În cursul anului 2020 aceste structuri parteneriale au fost consultate asupra structurii și propunerilor de intervenții ce se doresc finanțate prin POR 2021-2027. </w:t>
            </w:r>
            <w:r w:rsidRPr="004B0EE3">
              <w:rPr>
                <w:rFonts w:ascii="Times New Roman" w:hAnsi="Times New Roman" w:cs="Times New Roman"/>
                <w:sz w:val="20"/>
                <w:szCs w:val="20"/>
                <w:lang w:eastAsia="de-DE"/>
              </w:rPr>
              <w:t xml:space="preserve">De asemenea, în perioada iunie-august 2020 au avut loc o serie de întâlniri fizice și online cu partenerii regionali, în cadrul cărora au fost prezentate propunerile privind intervențile ce se doresc finanțate prin intermediul POR Centru, precum și portofoliul de proiecte aferent acestor propuneri. </w:t>
            </w:r>
          </w:p>
          <w:p w:rsidR="00653391" w:rsidRPr="004B0EE3" w:rsidRDefault="00653391" w:rsidP="004B0EE3">
            <w:pPr>
              <w:spacing w:after="0" w:line="240" w:lineRule="auto"/>
              <w:jc w:val="both"/>
              <w:rPr>
                <w:rFonts w:ascii="Times New Roman" w:hAnsi="Times New Roman" w:cs="Times New Roman"/>
                <w:sz w:val="20"/>
                <w:szCs w:val="20"/>
              </w:rPr>
            </w:pPr>
          </w:p>
          <w:p w:rsidR="00653391" w:rsidRPr="004B0EE3" w:rsidRDefault="00653391" w:rsidP="004B0EE3">
            <w:pPr>
              <w:spacing w:after="0" w:line="240" w:lineRule="auto"/>
              <w:jc w:val="both"/>
              <w:rPr>
                <w:rFonts w:ascii="Times New Roman" w:hAnsi="Times New Roman" w:cs="Times New Roman"/>
                <w:sz w:val="20"/>
                <w:szCs w:val="20"/>
                <w:lang w:eastAsia="de-DE"/>
              </w:rPr>
            </w:pPr>
            <w:r w:rsidRPr="004B0EE3">
              <w:rPr>
                <w:rFonts w:ascii="Times New Roman" w:hAnsi="Times New Roman" w:cs="Times New Roman"/>
                <w:sz w:val="20"/>
                <w:szCs w:val="20"/>
                <w:lang w:eastAsia="de-DE"/>
              </w:rPr>
              <w:t xml:space="preserve">Pe perioada implementării POR 2021-2027 vor fi menținute structurile parteneriale actuale CRP și CRI -pentru monitorizarea PDR Centru, a Strategiei de Specializare Inteligentă și pentru consultarea cu privire la progresul POR 2021-2027. </w:t>
            </w:r>
          </w:p>
          <w:p w:rsidR="00653391" w:rsidRPr="004B0EE3" w:rsidRDefault="00653391" w:rsidP="004B0EE3">
            <w:pPr>
              <w:spacing w:after="0" w:line="240" w:lineRule="auto"/>
              <w:jc w:val="both"/>
              <w:rPr>
                <w:rFonts w:ascii="Times New Roman" w:hAnsi="Times New Roman" w:cs="Times New Roman"/>
                <w:sz w:val="20"/>
                <w:szCs w:val="20"/>
                <w:lang w:eastAsia="de-DE"/>
              </w:rPr>
            </w:pPr>
          </w:p>
          <w:p w:rsidR="00653391" w:rsidRPr="004B0EE3" w:rsidRDefault="00653391" w:rsidP="004B0EE3">
            <w:pPr>
              <w:pStyle w:val="Default"/>
              <w:rPr>
                <w:rFonts w:ascii="Times New Roman" w:hAnsi="Times New Roman" w:cs="Times New Roman"/>
                <w:sz w:val="20"/>
                <w:szCs w:val="20"/>
              </w:rPr>
            </w:pPr>
            <w:r w:rsidRPr="004B0EE3">
              <w:rPr>
                <w:rFonts w:ascii="Times New Roman" w:hAnsi="Times New Roman" w:cs="Times New Roman"/>
                <w:sz w:val="20"/>
                <w:szCs w:val="20"/>
                <w:lang w:eastAsia="de-DE"/>
              </w:rPr>
              <w:lastRenderedPageBreak/>
              <w:t xml:space="preserve">Comunicarea cu privire la progresul, rezultatele și performanțele POR 2021-2027 vor fi făcute cunoscute și publicului larg, prin intermediul mijloacelor electronice. </w:t>
            </w:r>
            <w:r w:rsidRPr="004B0EE3">
              <w:rPr>
                <w:rFonts w:ascii="Times New Roman" w:hAnsi="Times New Roman" w:cs="Times New Roman"/>
                <w:sz w:val="20"/>
                <w:szCs w:val="20"/>
              </w:rPr>
              <w:t xml:space="preserve"> ADR Centru în calitate de AM va informa cetățenii și partenerii regionali cu privire la rolul și realizările fondurilor prin intermediul unei pagini web precum și prin portalul unic de internet al statului membru care oferă acces la toate programele. Partenerii regionali vor fi consultați și se va tine cont de opiniile acestora în dezvoltarea ghidurilor pentru apelurile de proiecte din cadrul POR 2021-2027 precum și în etapele de evaluare a progresului programului și stabilirea unor modificări.  </w:t>
            </w:r>
          </w:p>
          <w:p w:rsidR="00653391" w:rsidRPr="004B0EE3" w:rsidRDefault="00653391" w:rsidP="004B0EE3">
            <w:pPr>
              <w:pStyle w:val="Default"/>
              <w:rPr>
                <w:rFonts w:ascii="Times New Roman" w:hAnsi="Times New Roman" w:cs="Times New Roman"/>
                <w:sz w:val="20"/>
                <w:szCs w:val="20"/>
              </w:rPr>
            </w:pPr>
          </w:p>
          <w:p w:rsidR="00653391" w:rsidRPr="004B0EE3" w:rsidRDefault="00653391" w:rsidP="004B0EE3">
            <w:pPr>
              <w:spacing w:after="0" w:line="240" w:lineRule="auto"/>
              <w:jc w:val="both"/>
              <w:rPr>
                <w:rFonts w:ascii="Times New Roman" w:hAnsi="Times New Roman" w:cs="Times New Roman"/>
                <w:sz w:val="20"/>
                <w:szCs w:val="20"/>
              </w:rPr>
            </w:pPr>
            <w:r w:rsidRPr="004B0EE3">
              <w:rPr>
                <w:rFonts w:ascii="Times New Roman" w:hAnsi="Times New Roman" w:cs="Times New Roman"/>
                <w:sz w:val="20"/>
                <w:szCs w:val="20"/>
              </w:rPr>
              <w:t>C</w:t>
            </w:r>
            <w:r w:rsidR="008827C3" w:rsidRPr="004B0EE3">
              <w:rPr>
                <w:rFonts w:ascii="Times New Roman" w:hAnsi="Times New Roman" w:cs="Times New Roman"/>
                <w:sz w:val="20"/>
                <w:szCs w:val="20"/>
              </w:rPr>
              <w:t>M POR Centru</w:t>
            </w:r>
            <w:r w:rsidRPr="004B0EE3">
              <w:rPr>
                <w:rFonts w:ascii="Times New Roman" w:hAnsi="Times New Roman" w:cs="Times New Roman"/>
                <w:sz w:val="20"/>
                <w:szCs w:val="20"/>
              </w:rPr>
              <w:t xml:space="preserve"> 2021-2027, instituit conform Regulamentului, va avea o reprezentare echilibrată a tuturor tiputilor de organizații implicate în dezvoltarea regională</w:t>
            </w:r>
            <w:r w:rsidR="008827C3" w:rsidRPr="004B0EE3">
              <w:rPr>
                <w:rFonts w:ascii="Times New Roman" w:hAnsi="Times New Roman" w:cs="Times New Roman"/>
                <w:sz w:val="20"/>
                <w:szCs w:val="20"/>
              </w:rPr>
              <w:t xml:space="preserve"> și va fi un organism fundamental pentru principiul partenerial, care va reuni reprezentanți ai mediului public, privat, academic și asociativ, cu rol important în implementarea și monitorizarea Programului. Criteriile si procesul de selectie a membriilor vor fi realizate ulterior, dupa aprobarea programului. </w:t>
            </w:r>
          </w:p>
          <w:p w:rsidR="006B11E2" w:rsidRPr="004B0EE3" w:rsidRDefault="006B11E2" w:rsidP="004B0EE3">
            <w:pPr>
              <w:spacing w:after="0" w:line="240" w:lineRule="auto"/>
              <w:jc w:val="both"/>
              <w:rPr>
                <w:rFonts w:ascii="Times New Roman" w:hAnsi="Times New Roman" w:cs="Times New Roman"/>
                <w:sz w:val="20"/>
                <w:szCs w:val="20"/>
              </w:rPr>
            </w:pPr>
            <w:r w:rsidRPr="004B0EE3">
              <w:rPr>
                <w:rFonts w:ascii="Times New Roman" w:hAnsi="Times New Roman" w:cs="Times New Roman"/>
                <w:sz w:val="20"/>
                <w:szCs w:val="20"/>
              </w:rPr>
              <w:t>Pe site-ul ADR Centru a fost creat</w:t>
            </w:r>
            <w:r w:rsidR="0067003D" w:rsidRPr="004B0EE3">
              <w:rPr>
                <w:rFonts w:ascii="Times New Roman" w:hAnsi="Times New Roman" w:cs="Times New Roman"/>
                <w:sz w:val="20"/>
                <w:szCs w:val="20"/>
              </w:rPr>
              <w:t>ă</w:t>
            </w:r>
            <w:r w:rsidRPr="004B0EE3">
              <w:rPr>
                <w:rFonts w:ascii="Times New Roman" w:hAnsi="Times New Roman" w:cs="Times New Roman"/>
                <w:sz w:val="20"/>
                <w:szCs w:val="20"/>
              </w:rPr>
              <w:t xml:space="preserve"> o sectiune dedicata procesului de programare pentru perioada 2021-2027 unde sunt publicate toate informatiile relevante pentru procesul de programare 2021-2027 la nivelul Regiunii Centru, precum si </w:t>
            </w:r>
            <w:r w:rsidR="00735C5B" w:rsidRPr="004B0EE3">
              <w:rPr>
                <w:rFonts w:ascii="Times New Roman" w:hAnsi="Times New Roman" w:cs="Times New Roman"/>
                <w:sz w:val="20"/>
                <w:szCs w:val="20"/>
              </w:rPr>
              <w:t>prima versiune</w:t>
            </w:r>
            <w:r w:rsidRPr="004B0EE3">
              <w:rPr>
                <w:rFonts w:ascii="Times New Roman" w:hAnsi="Times New Roman" w:cs="Times New Roman"/>
                <w:sz w:val="20"/>
                <w:szCs w:val="20"/>
              </w:rPr>
              <w:t xml:space="preserve"> a POR 2021-2027 Regiunea Centru care a fost transmisa spre consultare si partenerilor regionali</w:t>
            </w:r>
            <w:r w:rsidR="0067003D" w:rsidRPr="004B0EE3">
              <w:rPr>
                <w:rFonts w:ascii="Times New Roman" w:hAnsi="Times New Roman" w:cs="Times New Roman"/>
                <w:sz w:val="20"/>
                <w:szCs w:val="20"/>
              </w:rPr>
              <w:t>.</w:t>
            </w:r>
            <w:r w:rsidRPr="004B0EE3">
              <w:rPr>
                <w:rFonts w:ascii="Times New Roman" w:hAnsi="Times New Roman" w:cs="Times New Roman"/>
                <w:sz w:val="20"/>
                <w:szCs w:val="20"/>
              </w:rPr>
              <w:t xml:space="preserve"> </w:t>
            </w:r>
            <w:hyperlink r:id="rId30" w:history="1">
              <w:r w:rsidR="00735C5B" w:rsidRPr="004B0EE3">
                <w:rPr>
                  <w:rStyle w:val="Hyperlink"/>
                  <w:rFonts w:ascii="Times New Roman" w:hAnsi="Times New Roman" w:cs="Times New Roman"/>
                  <w:sz w:val="20"/>
                  <w:szCs w:val="20"/>
                </w:rPr>
                <w:t>http://regio-adrcentru.ro/programare-2021-2027/</w:t>
              </w:r>
            </w:hyperlink>
            <w:r w:rsidR="00735C5B" w:rsidRPr="004B0EE3">
              <w:rPr>
                <w:rFonts w:ascii="Times New Roman" w:hAnsi="Times New Roman" w:cs="Times New Roman"/>
                <w:sz w:val="20"/>
                <w:szCs w:val="20"/>
              </w:rPr>
              <w:t xml:space="preserve"> .</w:t>
            </w:r>
          </w:p>
          <w:p w:rsidR="0038782B" w:rsidRPr="00E16AA6" w:rsidRDefault="0038782B" w:rsidP="00E16AA6">
            <w:pPr>
              <w:autoSpaceDE w:val="0"/>
              <w:autoSpaceDN w:val="0"/>
              <w:adjustRightInd w:val="0"/>
              <w:spacing w:after="0" w:line="240" w:lineRule="auto"/>
              <w:rPr>
                <w:rFonts w:ascii="Times New Roman" w:hAnsi="Times New Roman" w:cs="Times New Roman"/>
                <w:color w:val="000000"/>
                <w:sz w:val="20"/>
                <w:szCs w:val="20"/>
                <w:lang w:val="en-US"/>
              </w:rPr>
            </w:pPr>
          </w:p>
        </w:tc>
      </w:tr>
    </w:tbl>
    <w:p w:rsidR="001A17A2" w:rsidRPr="001A17A2" w:rsidRDefault="001A17A2" w:rsidP="001A17A2">
      <w:pPr>
        <w:spacing w:before="120" w:after="120" w:line="360" w:lineRule="auto"/>
        <w:rPr>
          <w:rFonts w:ascii="Times New Roman" w:hAnsi="Times New Roman" w:cs="Times New Roman"/>
          <w:b/>
          <w:bCs/>
          <w:noProof/>
          <w:sz w:val="24"/>
          <w:lang w:val="en-GB"/>
        </w:rPr>
      </w:pPr>
    </w:p>
    <w:p w:rsidR="001A17A2" w:rsidRPr="001A17A2" w:rsidRDefault="001A17A2" w:rsidP="001A17A2">
      <w:pPr>
        <w:spacing w:before="120" w:after="120" w:line="360" w:lineRule="auto"/>
        <w:rPr>
          <w:rFonts w:ascii="Times New Roman" w:hAnsi="Times New Roman" w:cs="Times New Roman"/>
          <w:b/>
          <w:bCs/>
          <w:noProof/>
          <w:sz w:val="24"/>
          <w:lang w:val="en-GB"/>
        </w:rPr>
      </w:pPr>
      <w:r w:rsidRPr="001A17A2">
        <w:rPr>
          <w:rFonts w:ascii="Times New Roman" w:hAnsi="Times New Roman" w:cs="Times New Roman"/>
          <w:b/>
          <w:bCs/>
          <w:noProof/>
          <w:sz w:val="24"/>
          <w:lang w:val="en-GB"/>
        </w:rPr>
        <w:t>7.</w:t>
      </w:r>
      <w:r w:rsidRPr="001A17A2">
        <w:rPr>
          <w:rFonts w:ascii="Times New Roman" w:hAnsi="Times New Roman" w:cs="Times New Roman"/>
          <w:b/>
          <w:bCs/>
          <w:noProof/>
          <w:sz w:val="24"/>
          <w:lang w:val="en-GB"/>
        </w:rPr>
        <w:tab/>
        <w:t>Communication and visibility</w:t>
      </w:r>
    </w:p>
    <w:p w:rsidR="001A17A2" w:rsidRPr="001A17A2" w:rsidRDefault="001A17A2" w:rsidP="001A17A2">
      <w:pPr>
        <w:spacing w:before="240" w:after="240" w:line="360" w:lineRule="auto"/>
        <w:rPr>
          <w:rFonts w:ascii="Times New Roman" w:eastAsia="Times New Roman" w:hAnsi="Times New Roman" w:cs="Times New Roman"/>
          <w:i/>
          <w:noProof/>
          <w:sz w:val="24"/>
          <w:szCs w:val="24"/>
          <w:lang w:val="fr-BE"/>
        </w:rPr>
      </w:pPr>
      <w:r w:rsidRPr="001A17A2">
        <w:rPr>
          <w:rFonts w:ascii="Times New Roman" w:eastAsia="Times New Roman" w:hAnsi="Times New Roman" w:cs="Times New Roman"/>
          <w:i/>
          <w:noProof/>
          <w:sz w:val="24"/>
          <w:szCs w:val="24"/>
          <w:lang w:val="fr-BE"/>
        </w:rPr>
        <w:t xml:space="preserve">Reference:  Article 17(3)(i) CPR, Article 42(2) CPR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1A17A2" w:rsidRPr="001A17A2" w:rsidTr="004F32B2">
        <w:tc>
          <w:tcPr>
            <w:tcW w:w="9288" w:type="dxa"/>
            <w:tcBorders>
              <w:top w:val="single" w:sz="4" w:space="0" w:color="auto"/>
              <w:left w:val="single" w:sz="4" w:space="0" w:color="auto"/>
              <w:bottom w:val="single" w:sz="4" w:space="0" w:color="auto"/>
              <w:right w:val="single" w:sz="4" w:space="0" w:color="auto"/>
            </w:tcBorders>
            <w:hideMark/>
          </w:tcPr>
          <w:p w:rsidR="001A17A2" w:rsidRDefault="001A17A2" w:rsidP="001A17A2">
            <w:pPr>
              <w:spacing w:before="120" w:after="120" w:line="360" w:lineRule="auto"/>
              <w:rPr>
                <w:rFonts w:ascii="Times New Roman" w:eastAsia="Times New Roman" w:hAnsi="Times New Roman" w:cs="Times New Roman"/>
                <w:i/>
                <w:noProof/>
                <w:lang w:val="en-US"/>
              </w:rPr>
            </w:pPr>
            <w:r w:rsidRPr="001A17A2">
              <w:rPr>
                <w:rFonts w:ascii="Times New Roman" w:eastAsia="Times New Roman" w:hAnsi="Times New Roman" w:cs="Times New Roman"/>
                <w:i/>
                <w:noProof/>
                <w:lang w:val="en-US"/>
              </w:rPr>
              <w:t>Text field [4 500]</w:t>
            </w:r>
          </w:p>
          <w:p w:rsidR="00E24DE5" w:rsidRPr="00E95FAC" w:rsidRDefault="00E24DE5" w:rsidP="00E24DE5">
            <w:pPr>
              <w:autoSpaceDE w:val="0"/>
              <w:autoSpaceDN w:val="0"/>
              <w:adjustRightInd w:val="0"/>
              <w:spacing w:after="0" w:line="240" w:lineRule="auto"/>
              <w:jc w:val="both"/>
              <w:rPr>
                <w:rFonts w:ascii="Times New Roman" w:hAnsi="Times New Roman" w:cs="Times New Roman"/>
                <w:sz w:val="20"/>
                <w:szCs w:val="20"/>
              </w:rPr>
            </w:pPr>
            <w:r w:rsidRPr="00E95FAC">
              <w:rPr>
                <w:rFonts w:ascii="Times New Roman" w:hAnsi="Times New Roman" w:cs="Times New Roman"/>
                <w:sz w:val="20"/>
                <w:szCs w:val="20"/>
              </w:rPr>
              <w:t xml:space="preserve">La nivelul Regiunii Centru, coordonarea activităților de comunicare și de îmbunătățire a conștientizării publicului larg privind sprijinul european prin Programul Operațional Regional 2021-2027 va fi realizată de Agenția pentru Dezvoltare Regională Centru. </w:t>
            </w:r>
          </w:p>
          <w:p w:rsidR="00E24DE5" w:rsidRPr="00E95FAC" w:rsidRDefault="00E24DE5" w:rsidP="00E24DE5">
            <w:pPr>
              <w:spacing w:after="0" w:line="240" w:lineRule="auto"/>
              <w:jc w:val="both"/>
              <w:rPr>
                <w:rFonts w:ascii="Times New Roman" w:hAnsi="Times New Roman" w:cs="Times New Roman"/>
                <w:sz w:val="20"/>
                <w:szCs w:val="20"/>
              </w:rPr>
            </w:pPr>
            <w:r w:rsidRPr="00E95FAC">
              <w:rPr>
                <w:rFonts w:ascii="Times New Roman" w:hAnsi="Times New Roman" w:cs="Times New Roman"/>
                <w:sz w:val="20"/>
                <w:szCs w:val="20"/>
              </w:rPr>
              <w:t>Rolul ADR Centru este esenţial în comunicarea mesajelor cheie la nivel regional şi local, în creșterea gradului de încredere al cetățenilor, pe baza proximității și a faptului că potențialii solicitanți și beneficiarii pot vorbi față în față cu cei ce derulează fonduri și pot primi răspunsuri în timp foarte scurt. Activitatea de comunicare va respecta prevederile Regulamentului nr 1303/2013 al Parlamentului UE și al Consiliului European, precum și propunerea de Regulament din mai 2018.</w:t>
            </w:r>
          </w:p>
          <w:p w:rsidR="00E24DE5" w:rsidRPr="00E95FAC" w:rsidRDefault="00E24DE5" w:rsidP="00E24DE5">
            <w:pPr>
              <w:autoSpaceDE w:val="0"/>
              <w:autoSpaceDN w:val="0"/>
              <w:adjustRightInd w:val="0"/>
              <w:spacing w:after="0" w:line="240" w:lineRule="auto"/>
              <w:jc w:val="both"/>
              <w:rPr>
                <w:rFonts w:ascii="Times New Roman" w:hAnsi="Times New Roman" w:cs="Times New Roman"/>
                <w:sz w:val="20"/>
                <w:szCs w:val="20"/>
              </w:rPr>
            </w:pPr>
            <w:r w:rsidRPr="00E95FAC">
              <w:rPr>
                <w:rFonts w:ascii="Times New Roman" w:hAnsi="Times New Roman" w:cs="Times New Roman"/>
                <w:sz w:val="20"/>
                <w:szCs w:val="20"/>
              </w:rPr>
              <w:t xml:space="preserve">ADR Centru va coordona măsurile de promovare a Programului, urmând să continue acțiunile de creștere a vizibilității, transparenței și comunicării, alături de toți partenerii săi locali și regionali. Agenția poate obține sprijin din partea Reprezentanței Comisiei Europene în România, poate colabora cu rețelele Enterprise Europe Network și a Centrelor Europe Direct (din care face parte) și cooperează cu instituțiile de învățământ și cercetare regionale. </w:t>
            </w:r>
          </w:p>
          <w:p w:rsidR="00E24DE5" w:rsidRPr="00E95FAC" w:rsidRDefault="00E24DE5" w:rsidP="00E24DE5">
            <w:pPr>
              <w:autoSpaceDE w:val="0"/>
              <w:autoSpaceDN w:val="0"/>
              <w:adjustRightInd w:val="0"/>
              <w:spacing w:after="0" w:line="240" w:lineRule="auto"/>
              <w:jc w:val="both"/>
              <w:rPr>
                <w:rFonts w:ascii="Times New Roman" w:hAnsi="Times New Roman" w:cs="Times New Roman"/>
                <w:sz w:val="20"/>
                <w:szCs w:val="20"/>
              </w:rPr>
            </w:pPr>
            <w:r w:rsidRPr="00E95FAC">
              <w:rPr>
                <w:rFonts w:ascii="Times New Roman" w:hAnsi="Times New Roman" w:cs="Times New Roman"/>
                <w:sz w:val="20"/>
                <w:szCs w:val="20"/>
              </w:rPr>
              <w:t xml:space="preserve">Pornind de la experiența anterioară, ADR Centru va elabora regulile de identitate vizuală ce se vor aplica de către beneficiari în cadrul proiectelor finanțate prin POR 2021-2027, reglementări care vor include obligația utilizării identității vizuale a UE, publicarea anunțurilor de lansare și încheiere contract, amplasarea de afișe/panouri/plăci la locația proiectelor și de autocolante pe echipamente. Aceste reguli vor impune necesitatea publicării unui rezumat pe site-urile existente ale celor ce obțin finanțare și obligativitatea precizării surselor de finanțare, în momentul prezentării proiectelor.  </w:t>
            </w:r>
          </w:p>
          <w:p w:rsidR="00E24DE5" w:rsidRPr="00E95FAC" w:rsidRDefault="00E24DE5" w:rsidP="00E24DE5">
            <w:pPr>
              <w:autoSpaceDE w:val="0"/>
              <w:autoSpaceDN w:val="0"/>
              <w:adjustRightInd w:val="0"/>
              <w:spacing w:after="0" w:line="240" w:lineRule="auto"/>
              <w:jc w:val="both"/>
              <w:rPr>
                <w:rFonts w:ascii="Times New Roman" w:hAnsi="Times New Roman" w:cs="Times New Roman"/>
                <w:sz w:val="20"/>
                <w:szCs w:val="20"/>
              </w:rPr>
            </w:pPr>
            <w:r w:rsidRPr="00E95FAC">
              <w:rPr>
                <w:rFonts w:ascii="Times New Roman" w:hAnsi="Times New Roman" w:cs="Times New Roman"/>
                <w:sz w:val="20"/>
                <w:szCs w:val="20"/>
              </w:rPr>
              <w:t xml:space="preserve">Referitor la acțiunile de comunicare întreprinse de către ADR Centru pentru promovarea POR și creșterea gradului de absorbție, se vor adopta măsuri diverse în funcție de stadiul de implementare a programului, ținând cont de rolul grupurilor țintă; respectiv publicul larg, potențialii solicitanți, partenerii instituționali ai ADR Centru și, desigur, beneficiarii de finanțare. O atenție deosebită va fi acordată formatorilor de opinie, reprezentanților mass-media și stakeholderilor regionali. </w:t>
            </w:r>
          </w:p>
          <w:p w:rsidR="00E24DE5" w:rsidRPr="00E95FAC" w:rsidRDefault="00E24DE5" w:rsidP="00E24DE5">
            <w:pPr>
              <w:autoSpaceDE w:val="0"/>
              <w:autoSpaceDN w:val="0"/>
              <w:adjustRightInd w:val="0"/>
              <w:spacing w:after="0" w:line="240" w:lineRule="auto"/>
              <w:jc w:val="both"/>
              <w:rPr>
                <w:rFonts w:ascii="Times New Roman" w:hAnsi="Times New Roman" w:cs="Times New Roman"/>
                <w:sz w:val="20"/>
                <w:szCs w:val="20"/>
              </w:rPr>
            </w:pPr>
            <w:r w:rsidRPr="00E95FAC">
              <w:rPr>
                <w:rFonts w:ascii="Times New Roman" w:hAnsi="Times New Roman" w:cs="Times New Roman"/>
                <w:sz w:val="20"/>
                <w:szCs w:val="20"/>
              </w:rPr>
              <w:t xml:space="preserve">În urma sondajelor realizate în anul 2019 și precizate în Strategia de Comunicare a ADR Centru, se evidențiază faptul că gradul de cunoaștere a Programului Operațional Regional la nivelul Regiunii Centru este destul de ridicat. </w:t>
            </w:r>
            <w:r w:rsidRPr="00E95FAC">
              <w:rPr>
                <w:rFonts w:ascii="Times New Roman" w:hAnsi="Times New Roman" w:cs="Times New Roman"/>
                <w:b/>
                <w:sz w:val="20"/>
                <w:szCs w:val="20"/>
              </w:rPr>
              <w:t>În rândul cetățenilor,</w:t>
            </w:r>
            <w:r w:rsidRPr="00E95FAC">
              <w:rPr>
                <w:rFonts w:ascii="Times New Roman" w:hAnsi="Times New Roman" w:cs="Times New Roman"/>
                <w:sz w:val="20"/>
                <w:szCs w:val="20"/>
              </w:rPr>
              <w:t xml:space="preserve"> gradul de notorietate al POR/REGIO a ajuns în anul 2019 la 67,2%, de la 46% în 2015, pentru populația urbană, respectiv 32,8% pentru populația rurale. Deși cei chestionați cunosc generic programul, informații detaliate referitoare la obiectivele și proiectele finanțate prin program sunt destul de scăzute în rândul cetățenilor din Regiunea Centru, </w:t>
            </w:r>
            <w:r w:rsidRPr="00E95FAC">
              <w:rPr>
                <w:rFonts w:ascii="Times New Roman" w:hAnsi="Times New Roman" w:cs="Times New Roman"/>
                <w:b/>
                <w:i/>
                <w:sz w:val="20"/>
                <w:szCs w:val="20"/>
              </w:rPr>
              <w:t>motiv pentru care considerăm că este important ca viitoarele acțiuni de comunicare regionale să se concentreze pe cunoașterea destinației fondurilor și pe impactul proiectelor finanțate</w:t>
            </w:r>
            <w:r w:rsidRPr="00E95FAC">
              <w:rPr>
                <w:rFonts w:ascii="Times New Roman" w:hAnsi="Times New Roman" w:cs="Times New Roman"/>
                <w:sz w:val="20"/>
                <w:szCs w:val="20"/>
              </w:rPr>
              <w:t xml:space="preserve">. Pornind de la aceste date, indicatorii stabiliți în Strategia de comunicare pentru perioada 2021-2027, sunt creșterea gradului de notorietate a POR cu cel puțin 10%, precum și creșterea gradului cunoașterii rezultatelor/impactului proiectelor POR cu minim 5%. </w:t>
            </w:r>
          </w:p>
          <w:p w:rsidR="00E24DE5" w:rsidRPr="00E95FAC" w:rsidRDefault="00E24DE5" w:rsidP="00E24DE5">
            <w:pPr>
              <w:autoSpaceDE w:val="0"/>
              <w:autoSpaceDN w:val="0"/>
              <w:adjustRightInd w:val="0"/>
              <w:spacing w:after="0" w:line="240" w:lineRule="auto"/>
              <w:jc w:val="both"/>
              <w:rPr>
                <w:rFonts w:ascii="Times New Roman" w:hAnsi="Times New Roman" w:cs="Times New Roman"/>
                <w:spacing w:val="-2"/>
                <w:sz w:val="20"/>
                <w:szCs w:val="20"/>
              </w:rPr>
            </w:pPr>
            <w:r w:rsidRPr="00E95FAC">
              <w:rPr>
                <w:rFonts w:ascii="Times New Roman" w:hAnsi="Times New Roman" w:cs="Times New Roman"/>
                <w:spacing w:val="-2"/>
                <w:sz w:val="20"/>
                <w:szCs w:val="20"/>
              </w:rPr>
              <w:lastRenderedPageBreak/>
              <w:t xml:space="preserve">Comparația ierarhiei mediilor de comunicare cel mai frecvent utilizate la nivel regional pentru informare, evidențiază faptul că: </w:t>
            </w:r>
            <w:r w:rsidRPr="00E95FAC">
              <w:rPr>
                <w:rFonts w:ascii="Times New Roman" w:hAnsi="Times New Roman" w:cs="Times New Roman"/>
                <w:b/>
                <w:spacing w:val="-2"/>
                <w:sz w:val="20"/>
                <w:szCs w:val="20"/>
              </w:rPr>
              <w:t xml:space="preserve">internetul </w:t>
            </w:r>
            <w:r w:rsidRPr="00E95FAC">
              <w:rPr>
                <w:rFonts w:ascii="Times New Roman" w:hAnsi="Times New Roman" w:cs="Times New Roman"/>
                <w:spacing w:val="-2"/>
                <w:sz w:val="20"/>
                <w:szCs w:val="20"/>
              </w:rPr>
              <w:t xml:space="preserve">este un mijloc de comunicare foarte importat în </w:t>
            </w:r>
            <w:r w:rsidRPr="00E95FAC">
              <w:rPr>
                <w:rFonts w:ascii="Times New Roman" w:hAnsi="Times New Roman" w:cs="Times New Roman"/>
                <w:b/>
                <w:spacing w:val="-2"/>
                <w:sz w:val="20"/>
                <w:szCs w:val="20"/>
              </w:rPr>
              <w:t>Regiunea</w:t>
            </w:r>
            <w:r w:rsidRPr="00E95FAC">
              <w:rPr>
                <w:rFonts w:ascii="Times New Roman" w:hAnsi="Times New Roman" w:cs="Times New Roman"/>
                <w:spacing w:val="-2"/>
                <w:sz w:val="20"/>
                <w:szCs w:val="20"/>
              </w:rPr>
              <w:t xml:space="preserve"> </w:t>
            </w:r>
            <w:r w:rsidRPr="00E95FAC">
              <w:rPr>
                <w:rFonts w:ascii="Times New Roman" w:hAnsi="Times New Roman" w:cs="Times New Roman"/>
                <w:b/>
                <w:spacing w:val="-2"/>
                <w:sz w:val="20"/>
                <w:szCs w:val="20"/>
              </w:rPr>
              <w:t>Centru</w:t>
            </w:r>
            <w:r w:rsidRPr="00E95FAC">
              <w:rPr>
                <w:rFonts w:ascii="Times New Roman" w:hAnsi="Times New Roman" w:cs="Times New Roman"/>
                <w:spacing w:val="-2"/>
                <w:sz w:val="20"/>
                <w:szCs w:val="20"/>
              </w:rPr>
              <w:t xml:space="preserve"> (48,2%), </w:t>
            </w:r>
            <w:r w:rsidRPr="00E95FAC">
              <w:rPr>
                <w:rFonts w:ascii="Times New Roman" w:hAnsi="Times New Roman" w:cs="Times New Roman"/>
                <w:b/>
                <w:spacing w:val="-2"/>
                <w:sz w:val="20"/>
                <w:szCs w:val="20"/>
              </w:rPr>
              <w:t>publicațiile și broșurile</w:t>
            </w:r>
            <w:r w:rsidRPr="00E95FAC">
              <w:rPr>
                <w:rFonts w:ascii="Times New Roman" w:hAnsi="Times New Roman" w:cs="Times New Roman"/>
                <w:spacing w:val="-2"/>
                <w:sz w:val="20"/>
                <w:szCs w:val="20"/>
              </w:rPr>
              <w:t xml:space="preserve"> sunt mai importante în </w:t>
            </w:r>
            <w:r w:rsidRPr="00E95FAC">
              <w:rPr>
                <w:rFonts w:ascii="Times New Roman" w:hAnsi="Times New Roman" w:cs="Times New Roman"/>
                <w:b/>
                <w:spacing w:val="-2"/>
                <w:sz w:val="20"/>
                <w:szCs w:val="20"/>
              </w:rPr>
              <w:t>Regiunea Centru</w:t>
            </w:r>
            <w:r w:rsidRPr="00E95FAC">
              <w:rPr>
                <w:rFonts w:ascii="Times New Roman" w:hAnsi="Times New Roman" w:cs="Times New Roman"/>
                <w:spacing w:val="-2"/>
                <w:sz w:val="20"/>
                <w:szCs w:val="20"/>
              </w:rPr>
              <w:t xml:space="preserve"> (16,6%) decât în celelalte regiuni; </w:t>
            </w:r>
            <w:r w:rsidRPr="00E95FAC">
              <w:rPr>
                <w:rFonts w:ascii="Times New Roman" w:hAnsi="Times New Roman" w:cs="Times New Roman"/>
                <w:b/>
                <w:spacing w:val="-2"/>
                <w:sz w:val="20"/>
                <w:szCs w:val="20"/>
              </w:rPr>
              <w:t>evenimentele</w:t>
            </w:r>
            <w:r w:rsidRPr="00E95FAC">
              <w:rPr>
                <w:rFonts w:ascii="Times New Roman" w:hAnsi="Times New Roman" w:cs="Times New Roman"/>
                <w:spacing w:val="-2"/>
                <w:sz w:val="20"/>
                <w:szCs w:val="20"/>
              </w:rPr>
              <w:t xml:space="preserve"> au o importanță mai mare în </w:t>
            </w:r>
            <w:r w:rsidRPr="00E95FAC">
              <w:rPr>
                <w:rFonts w:ascii="Times New Roman" w:hAnsi="Times New Roman" w:cs="Times New Roman"/>
                <w:b/>
                <w:spacing w:val="-2"/>
                <w:sz w:val="20"/>
                <w:szCs w:val="20"/>
              </w:rPr>
              <w:t xml:space="preserve">Regiunea Centru </w:t>
            </w:r>
            <w:r w:rsidRPr="00E95FAC">
              <w:rPr>
                <w:rFonts w:ascii="Times New Roman" w:hAnsi="Times New Roman" w:cs="Times New Roman"/>
                <w:spacing w:val="-2"/>
                <w:sz w:val="20"/>
                <w:szCs w:val="20"/>
              </w:rPr>
              <w:t xml:space="preserve">(10,4%), iar comunicarea prin media (radio-televiziune) este relevantă la nivelul stațiilor naționale. Nu în ultimul rând, utilizarea de materialele informative și materialele promoționale, reprezintă cel de-al treilea mijloc de informare preferat de către grupurile țintă POR.  </w:t>
            </w:r>
          </w:p>
          <w:p w:rsidR="00E24DE5" w:rsidRPr="00E95FAC" w:rsidRDefault="00E24DE5" w:rsidP="00E95FAC">
            <w:pPr>
              <w:autoSpaceDE w:val="0"/>
              <w:autoSpaceDN w:val="0"/>
              <w:adjustRightInd w:val="0"/>
              <w:spacing w:after="0" w:line="240" w:lineRule="auto"/>
              <w:jc w:val="both"/>
              <w:rPr>
                <w:rFonts w:ascii="Times New Roman" w:hAnsi="Times New Roman" w:cs="Times New Roman"/>
                <w:i/>
                <w:spacing w:val="-2"/>
                <w:sz w:val="20"/>
                <w:szCs w:val="20"/>
              </w:rPr>
            </w:pPr>
            <w:r w:rsidRPr="00E95FAC">
              <w:rPr>
                <w:rFonts w:ascii="Times New Roman" w:hAnsi="Times New Roman" w:cs="Times New Roman"/>
                <w:b/>
                <w:i/>
                <w:spacing w:val="-2"/>
                <w:sz w:val="20"/>
                <w:szCs w:val="20"/>
              </w:rPr>
              <w:t>Viitoarele acțiuni de comunicare prevăzute de ADR Centru recomandă utilizarea unui limbaj simplificat și a exemplelor de bune practici, pentru maximizarea impactului programului în procesul de dezvoltare, pentru a ajunge și la grupurile țintă din mediul rural și la cei ce fac parte din categoriile de vârstă 19-29 sau 50-70 ani.</w:t>
            </w:r>
          </w:p>
        </w:tc>
      </w:tr>
    </w:tbl>
    <w:p w:rsidR="001A17A2" w:rsidRPr="001A17A2" w:rsidRDefault="001A17A2" w:rsidP="001A17A2">
      <w:pPr>
        <w:spacing w:before="120" w:after="120" w:line="360" w:lineRule="auto"/>
        <w:rPr>
          <w:rFonts w:ascii="Times New Roman" w:hAnsi="Times New Roman" w:cs="Times New Roman"/>
          <w:b/>
          <w:bCs/>
          <w:noProof/>
          <w:sz w:val="24"/>
          <w:lang w:val="en-GB"/>
        </w:rPr>
      </w:pPr>
    </w:p>
    <w:p w:rsidR="001A17A2" w:rsidRPr="001A17A2" w:rsidRDefault="001A17A2" w:rsidP="001A17A2">
      <w:pPr>
        <w:spacing w:before="120" w:after="120" w:line="360" w:lineRule="auto"/>
        <w:rPr>
          <w:rFonts w:ascii="Times New Roman" w:hAnsi="Times New Roman" w:cs="Times New Roman"/>
          <w:b/>
          <w:bCs/>
          <w:noProof/>
          <w:sz w:val="24"/>
          <w:lang w:val="en-GB"/>
        </w:rPr>
      </w:pPr>
      <w:r w:rsidRPr="001A17A2">
        <w:rPr>
          <w:rFonts w:ascii="Times New Roman" w:hAnsi="Times New Roman" w:cs="Times New Roman"/>
          <w:b/>
          <w:bCs/>
          <w:noProof/>
          <w:sz w:val="24"/>
          <w:lang w:val="en-GB"/>
        </w:rPr>
        <w:t>8.</w:t>
      </w:r>
      <w:r w:rsidRPr="001A17A2">
        <w:rPr>
          <w:rFonts w:ascii="Times New Roman" w:hAnsi="Times New Roman" w:cs="Times New Roman"/>
          <w:b/>
          <w:bCs/>
          <w:noProof/>
          <w:sz w:val="24"/>
          <w:lang w:val="en-GB"/>
        </w:rPr>
        <w:tab/>
        <w:t>Use of unit costs, lump sums, flat rates and financing not linked to costs</w:t>
      </w:r>
    </w:p>
    <w:p w:rsidR="001A17A2" w:rsidRPr="001A17A2" w:rsidRDefault="001A17A2" w:rsidP="001A17A2">
      <w:pPr>
        <w:spacing w:before="240" w:after="240" w:line="360" w:lineRule="auto"/>
        <w:rPr>
          <w:rFonts w:ascii="Times New Roman" w:eastAsia="Times New Roman" w:hAnsi="Times New Roman" w:cs="Times New Roman"/>
          <w:i/>
          <w:noProof/>
          <w:sz w:val="24"/>
          <w:szCs w:val="24"/>
          <w:lang w:val="en-GB"/>
        </w:rPr>
      </w:pPr>
      <w:r w:rsidRPr="001A17A2">
        <w:rPr>
          <w:rFonts w:ascii="Times New Roman" w:eastAsia="Times New Roman" w:hAnsi="Times New Roman" w:cs="Times New Roman"/>
          <w:i/>
          <w:noProof/>
          <w:sz w:val="24"/>
          <w:szCs w:val="24"/>
          <w:lang w:val="en-GB"/>
        </w:rPr>
        <w:t>Reference: Articles 88 and 89 CPR</w:t>
      </w:r>
    </w:p>
    <w:p w:rsidR="001A17A2" w:rsidRPr="001A17A2" w:rsidRDefault="001A17A2" w:rsidP="001A17A2">
      <w:pPr>
        <w:spacing w:before="120" w:after="120" w:line="360" w:lineRule="auto"/>
        <w:rPr>
          <w:rFonts w:ascii="Times New Roman" w:eastAsia="Times New Roman" w:hAnsi="Times New Roman" w:cs="Times New Roman"/>
          <w:b/>
          <w:iCs/>
          <w:noProof/>
          <w:sz w:val="20"/>
          <w:lang w:val="en-GB"/>
        </w:rPr>
      </w:pPr>
      <w:r w:rsidRPr="001A17A2">
        <w:rPr>
          <w:rFonts w:ascii="Times New Roman" w:eastAsia="Times New Roman" w:hAnsi="Times New Roman" w:cs="Times New Roman"/>
          <w:b/>
          <w:iCs/>
          <w:noProof/>
          <w:sz w:val="20"/>
          <w:lang w:val="en-GB"/>
        </w:rPr>
        <w:t>Table 14: Use of Union contribution based on unit costs, lump sums, flat rates and on financing not linked to costs</w:t>
      </w:r>
    </w:p>
    <w:p w:rsidR="001A17A2" w:rsidRDefault="001A17A2" w:rsidP="001A17A2">
      <w:pPr>
        <w:spacing w:after="0"/>
        <w:rPr>
          <w:rFonts w:ascii="Times New Roman" w:hAnsi="Times New Roman" w:cs="Times New Roman"/>
          <w:noProof/>
          <w:sz w:val="20"/>
          <w:szCs w:val="16"/>
          <w:lang w:val="en-GB"/>
        </w:rPr>
      </w:pPr>
    </w:p>
    <w:tbl>
      <w:tblPr>
        <w:tblStyle w:val="TableGrid1"/>
        <w:tblW w:w="0" w:type="auto"/>
        <w:tblLook w:val="04A0" w:firstRow="1" w:lastRow="0" w:firstColumn="1" w:lastColumn="0" w:noHBand="0" w:noVBand="1"/>
      </w:tblPr>
      <w:tblGrid>
        <w:gridCol w:w="4310"/>
        <w:gridCol w:w="1050"/>
        <w:gridCol w:w="882"/>
        <w:gridCol w:w="3046"/>
      </w:tblGrid>
      <w:tr w:rsidR="001A17A2" w:rsidRPr="009720FF" w:rsidTr="004F32B2">
        <w:trPr>
          <w:trHeight w:val="484"/>
        </w:trPr>
        <w:tc>
          <w:tcPr>
            <w:tcW w:w="4310" w:type="dxa"/>
          </w:tcPr>
          <w:p w:rsidR="001A17A2" w:rsidRPr="009720FF" w:rsidRDefault="001A17A2" w:rsidP="004F32B2">
            <w:pPr>
              <w:ind w:left="720"/>
              <w:contextualSpacing/>
              <w:rPr>
                <w:rFonts w:ascii="Times New Roman" w:hAnsi="Times New Roman" w:cs="Times New Roman"/>
                <w:noProof/>
                <w:sz w:val="20"/>
                <w:szCs w:val="20"/>
              </w:rPr>
            </w:pPr>
            <w:r w:rsidRPr="009720FF">
              <w:rPr>
                <w:rFonts w:ascii="Times New Roman" w:hAnsi="Times New Roman" w:cs="Times New Roman"/>
                <w:noProof/>
                <w:sz w:val="20"/>
                <w:szCs w:val="20"/>
              </w:rPr>
              <w:t>Indication of use of Articles 88 and 89 CPR*</w:t>
            </w:r>
          </w:p>
          <w:p w:rsidR="001A17A2" w:rsidRPr="009720FF" w:rsidRDefault="001A17A2" w:rsidP="004F32B2">
            <w:pPr>
              <w:rPr>
                <w:rFonts w:ascii="Times New Roman" w:hAnsi="Times New Roman" w:cs="Times New Roman"/>
                <w:noProof/>
                <w:sz w:val="20"/>
                <w:szCs w:val="20"/>
              </w:rPr>
            </w:pPr>
          </w:p>
        </w:tc>
        <w:tc>
          <w:tcPr>
            <w:tcW w:w="1050" w:type="dxa"/>
          </w:tcPr>
          <w:p w:rsidR="001A17A2" w:rsidRPr="009720FF" w:rsidRDefault="001A17A2" w:rsidP="004F32B2">
            <w:pPr>
              <w:rPr>
                <w:rFonts w:ascii="Times New Roman" w:hAnsi="Times New Roman" w:cs="Times New Roman"/>
                <w:noProof/>
                <w:sz w:val="20"/>
                <w:szCs w:val="20"/>
              </w:rPr>
            </w:pPr>
            <w:r w:rsidRPr="009720FF">
              <w:rPr>
                <w:rFonts w:ascii="Times New Roman" w:hAnsi="Times New Roman" w:cs="Times New Roman"/>
                <w:noProof/>
                <w:sz w:val="20"/>
                <w:szCs w:val="20"/>
              </w:rPr>
              <w:t>Priority No</w:t>
            </w:r>
          </w:p>
        </w:tc>
        <w:tc>
          <w:tcPr>
            <w:tcW w:w="882" w:type="dxa"/>
          </w:tcPr>
          <w:p w:rsidR="001A17A2" w:rsidRPr="009720FF" w:rsidRDefault="001A17A2" w:rsidP="004F32B2">
            <w:pPr>
              <w:rPr>
                <w:rFonts w:ascii="Times New Roman" w:hAnsi="Times New Roman" w:cs="Times New Roman"/>
                <w:noProof/>
                <w:sz w:val="20"/>
                <w:szCs w:val="20"/>
              </w:rPr>
            </w:pPr>
            <w:r w:rsidRPr="009720FF">
              <w:rPr>
                <w:rFonts w:ascii="Times New Roman" w:hAnsi="Times New Roman" w:cs="Times New Roman"/>
                <w:noProof/>
                <w:sz w:val="20"/>
                <w:szCs w:val="20"/>
              </w:rPr>
              <w:t>Fund</w:t>
            </w:r>
          </w:p>
        </w:tc>
        <w:tc>
          <w:tcPr>
            <w:tcW w:w="3046" w:type="dxa"/>
          </w:tcPr>
          <w:p w:rsidR="001A17A2" w:rsidRPr="009720FF" w:rsidRDefault="001A17A2" w:rsidP="004F32B2">
            <w:pPr>
              <w:rPr>
                <w:rFonts w:ascii="Times New Roman" w:hAnsi="Times New Roman" w:cs="Times New Roman"/>
                <w:noProof/>
                <w:sz w:val="20"/>
                <w:szCs w:val="20"/>
              </w:rPr>
            </w:pPr>
            <w:r w:rsidRPr="009720FF">
              <w:rPr>
                <w:rFonts w:ascii="Times New Roman" w:hAnsi="Times New Roman" w:cs="Times New Roman"/>
                <w:noProof/>
                <w:sz w:val="20"/>
                <w:szCs w:val="20"/>
              </w:rPr>
              <w:t>Specific objective (Jobs and growth goal) or area of support (EMFF)</w:t>
            </w:r>
          </w:p>
        </w:tc>
      </w:tr>
      <w:tr w:rsidR="001A17A2" w:rsidRPr="009720FF" w:rsidTr="004F32B2">
        <w:trPr>
          <w:trHeight w:val="428"/>
        </w:trPr>
        <w:tc>
          <w:tcPr>
            <w:tcW w:w="4310" w:type="dxa"/>
            <w:vMerge w:val="restart"/>
          </w:tcPr>
          <w:p w:rsidR="001A17A2" w:rsidRPr="009720FF" w:rsidRDefault="001A17A2" w:rsidP="004F32B2">
            <w:pPr>
              <w:spacing w:before="240" w:after="240"/>
              <w:rPr>
                <w:rFonts w:ascii="Times New Roman" w:hAnsi="Times New Roman" w:cs="Times New Roman"/>
                <w:noProof/>
                <w:sz w:val="20"/>
                <w:szCs w:val="20"/>
              </w:rPr>
            </w:pPr>
            <w:r w:rsidRPr="009720FF">
              <w:rPr>
                <w:rFonts w:ascii="Times New Roman" w:hAnsi="Times New Roman" w:cs="Times New Roman"/>
                <w:noProof/>
                <w:sz w:val="20"/>
                <w:szCs w:val="20"/>
              </w:rPr>
              <w:t>Use of reimbursement of eligible expenditure based on unit costs, lump sums and flat rates under priority according to Article 88 CPR</w:t>
            </w:r>
          </w:p>
        </w:tc>
        <w:tc>
          <w:tcPr>
            <w:tcW w:w="1050" w:type="dxa"/>
            <w:vMerge w:val="restart"/>
          </w:tcPr>
          <w:p w:rsidR="001A17A2" w:rsidRPr="009720FF" w:rsidRDefault="001A17A2" w:rsidP="004F32B2">
            <w:pPr>
              <w:rPr>
                <w:rFonts w:ascii="Times New Roman" w:hAnsi="Times New Roman" w:cs="Times New Roman"/>
                <w:noProof/>
                <w:sz w:val="20"/>
                <w:szCs w:val="20"/>
              </w:rPr>
            </w:pPr>
            <w:r w:rsidRPr="009720FF">
              <w:rPr>
                <w:rFonts w:ascii="Times New Roman" w:hAnsi="Times New Roman" w:cs="Times New Roman"/>
                <w:noProof/>
                <w:sz w:val="20"/>
                <w:szCs w:val="20"/>
              </w:rPr>
              <w:t>Priority 1</w:t>
            </w:r>
          </w:p>
        </w:tc>
        <w:tc>
          <w:tcPr>
            <w:tcW w:w="882" w:type="dxa"/>
            <w:vMerge w:val="restart"/>
          </w:tcPr>
          <w:p w:rsidR="001A17A2" w:rsidRPr="009720FF" w:rsidRDefault="001A17A2" w:rsidP="004F32B2">
            <w:pPr>
              <w:rPr>
                <w:rFonts w:ascii="Times New Roman" w:hAnsi="Times New Roman" w:cs="Times New Roman"/>
                <w:noProof/>
                <w:sz w:val="20"/>
                <w:szCs w:val="20"/>
              </w:rPr>
            </w:pPr>
            <w:r w:rsidRPr="009720FF">
              <w:rPr>
                <w:rFonts w:ascii="Times New Roman" w:hAnsi="Times New Roman" w:cs="Times New Roman"/>
                <w:noProof/>
                <w:sz w:val="20"/>
                <w:szCs w:val="20"/>
              </w:rPr>
              <w:t>ERDF</w:t>
            </w:r>
          </w:p>
        </w:tc>
        <w:tc>
          <w:tcPr>
            <w:tcW w:w="3046" w:type="dxa"/>
          </w:tcPr>
          <w:p w:rsidR="001A17A2" w:rsidRPr="009720FF" w:rsidRDefault="001A17A2" w:rsidP="004F32B2">
            <w:pPr>
              <w:rPr>
                <w:rFonts w:ascii="Times New Roman" w:hAnsi="Times New Roman" w:cs="Times New Roman"/>
                <w:noProof/>
                <w:sz w:val="20"/>
                <w:szCs w:val="20"/>
              </w:rPr>
            </w:pPr>
            <w:r w:rsidRPr="009720FF">
              <w:rPr>
                <w:rFonts w:ascii="Times New Roman" w:hAnsi="Times New Roman" w:cs="Times New Roman"/>
                <w:noProof/>
                <w:sz w:val="20"/>
                <w:szCs w:val="20"/>
              </w:rPr>
              <w:t>SO 1</w:t>
            </w:r>
          </w:p>
        </w:tc>
      </w:tr>
      <w:tr w:rsidR="001A17A2" w:rsidRPr="009720FF" w:rsidTr="004F32B2">
        <w:trPr>
          <w:trHeight w:val="428"/>
        </w:trPr>
        <w:tc>
          <w:tcPr>
            <w:tcW w:w="4310" w:type="dxa"/>
            <w:vMerge/>
          </w:tcPr>
          <w:p w:rsidR="001A17A2" w:rsidRPr="009720FF" w:rsidRDefault="001A17A2" w:rsidP="004F32B2">
            <w:pPr>
              <w:spacing w:before="240" w:after="240"/>
              <w:rPr>
                <w:rFonts w:ascii="Times New Roman" w:hAnsi="Times New Roman" w:cs="Times New Roman"/>
                <w:noProof/>
                <w:sz w:val="20"/>
                <w:szCs w:val="20"/>
              </w:rPr>
            </w:pPr>
          </w:p>
        </w:tc>
        <w:tc>
          <w:tcPr>
            <w:tcW w:w="1050" w:type="dxa"/>
            <w:vMerge/>
          </w:tcPr>
          <w:p w:rsidR="001A17A2" w:rsidRPr="009720FF" w:rsidRDefault="001A17A2" w:rsidP="004F32B2">
            <w:pPr>
              <w:rPr>
                <w:rFonts w:ascii="Times New Roman" w:hAnsi="Times New Roman" w:cs="Times New Roman"/>
                <w:noProof/>
                <w:sz w:val="20"/>
                <w:szCs w:val="20"/>
              </w:rPr>
            </w:pPr>
          </w:p>
        </w:tc>
        <w:tc>
          <w:tcPr>
            <w:tcW w:w="882" w:type="dxa"/>
            <w:vMerge/>
          </w:tcPr>
          <w:p w:rsidR="001A17A2" w:rsidRPr="009720FF" w:rsidRDefault="001A17A2" w:rsidP="004F32B2">
            <w:pPr>
              <w:rPr>
                <w:rFonts w:ascii="Times New Roman" w:hAnsi="Times New Roman" w:cs="Times New Roman"/>
                <w:noProof/>
                <w:sz w:val="20"/>
                <w:szCs w:val="20"/>
              </w:rPr>
            </w:pPr>
          </w:p>
        </w:tc>
        <w:tc>
          <w:tcPr>
            <w:tcW w:w="3046" w:type="dxa"/>
          </w:tcPr>
          <w:p w:rsidR="001A17A2" w:rsidRPr="009720FF" w:rsidRDefault="001A17A2" w:rsidP="004F32B2">
            <w:pPr>
              <w:rPr>
                <w:rFonts w:ascii="Times New Roman" w:hAnsi="Times New Roman" w:cs="Times New Roman"/>
                <w:noProof/>
                <w:sz w:val="20"/>
                <w:szCs w:val="20"/>
              </w:rPr>
            </w:pPr>
            <w:r w:rsidRPr="009720FF">
              <w:rPr>
                <w:rFonts w:ascii="Times New Roman" w:hAnsi="Times New Roman" w:cs="Times New Roman"/>
                <w:noProof/>
                <w:sz w:val="20"/>
                <w:szCs w:val="20"/>
              </w:rPr>
              <w:t>SO 2</w:t>
            </w:r>
          </w:p>
        </w:tc>
      </w:tr>
      <w:tr w:rsidR="001A17A2" w:rsidRPr="009720FF" w:rsidTr="004F32B2">
        <w:trPr>
          <w:trHeight w:val="319"/>
        </w:trPr>
        <w:tc>
          <w:tcPr>
            <w:tcW w:w="4310" w:type="dxa"/>
            <w:vMerge/>
          </w:tcPr>
          <w:p w:rsidR="001A17A2" w:rsidRPr="009720FF" w:rsidRDefault="001A17A2" w:rsidP="004F32B2">
            <w:pPr>
              <w:spacing w:before="240" w:after="240"/>
              <w:rPr>
                <w:rFonts w:ascii="Times New Roman" w:hAnsi="Times New Roman" w:cs="Times New Roman"/>
                <w:noProof/>
                <w:sz w:val="20"/>
                <w:szCs w:val="20"/>
              </w:rPr>
            </w:pPr>
          </w:p>
        </w:tc>
        <w:tc>
          <w:tcPr>
            <w:tcW w:w="1050" w:type="dxa"/>
            <w:vMerge w:val="restart"/>
          </w:tcPr>
          <w:p w:rsidR="001A17A2" w:rsidRPr="009720FF" w:rsidRDefault="001A17A2" w:rsidP="004F32B2">
            <w:pPr>
              <w:rPr>
                <w:rFonts w:ascii="Times New Roman" w:hAnsi="Times New Roman" w:cs="Times New Roman"/>
                <w:noProof/>
                <w:sz w:val="20"/>
                <w:szCs w:val="20"/>
              </w:rPr>
            </w:pPr>
            <w:r w:rsidRPr="009720FF">
              <w:rPr>
                <w:rFonts w:ascii="Times New Roman" w:hAnsi="Times New Roman" w:cs="Times New Roman"/>
                <w:noProof/>
                <w:sz w:val="20"/>
                <w:szCs w:val="20"/>
              </w:rPr>
              <w:t>Priority 2</w:t>
            </w:r>
          </w:p>
        </w:tc>
        <w:tc>
          <w:tcPr>
            <w:tcW w:w="882" w:type="dxa"/>
            <w:vMerge w:val="restart"/>
          </w:tcPr>
          <w:p w:rsidR="001A17A2" w:rsidRPr="009720FF" w:rsidRDefault="001A17A2" w:rsidP="004F32B2">
            <w:pPr>
              <w:rPr>
                <w:rFonts w:ascii="Times New Roman" w:hAnsi="Times New Roman" w:cs="Times New Roman"/>
                <w:noProof/>
                <w:sz w:val="20"/>
                <w:szCs w:val="20"/>
              </w:rPr>
            </w:pPr>
            <w:r w:rsidRPr="009720FF">
              <w:rPr>
                <w:rFonts w:ascii="Times New Roman" w:hAnsi="Times New Roman" w:cs="Times New Roman"/>
                <w:noProof/>
                <w:sz w:val="20"/>
                <w:szCs w:val="20"/>
              </w:rPr>
              <w:t>ESF+</w:t>
            </w:r>
          </w:p>
        </w:tc>
        <w:tc>
          <w:tcPr>
            <w:tcW w:w="3046" w:type="dxa"/>
          </w:tcPr>
          <w:p w:rsidR="001A17A2" w:rsidRPr="009720FF" w:rsidRDefault="001A17A2" w:rsidP="004F32B2">
            <w:pPr>
              <w:rPr>
                <w:rFonts w:ascii="Times New Roman" w:hAnsi="Times New Roman" w:cs="Times New Roman"/>
                <w:noProof/>
                <w:sz w:val="20"/>
                <w:szCs w:val="20"/>
              </w:rPr>
            </w:pPr>
            <w:r w:rsidRPr="009720FF">
              <w:rPr>
                <w:rFonts w:ascii="Times New Roman" w:hAnsi="Times New Roman" w:cs="Times New Roman"/>
                <w:noProof/>
                <w:sz w:val="20"/>
                <w:szCs w:val="20"/>
              </w:rPr>
              <w:t>SO 3</w:t>
            </w:r>
          </w:p>
        </w:tc>
      </w:tr>
      <w:tr w:rsidR="001A17A2" w:rsidRPr="009720FF" w:rsidTr="004F32B2">
        <w:trPr>
          <w:trHeight w:val="319"/>
        </w:trPr>
        <w:tc>
          <w:tcPr>
            <w:tcW w:w="4310" w:type="dxa"/>
            <w:vMerge/>
          </w:tcPr>
          <w:p w:rsidR="001A17A2" w:rsidRPr="009720FF" w:rsidRDefault="001A17A2" w:rsidP="004F32B2">
            <w:pPr>
              <w:spacing w:before="240" w:after="240"/>
              <w:rPr>
                <w:rFonts w:ascii="Times New Roman" w:hAnsi="Times New Roman" w:cs="Times New Roman"/>
                <w:noProof/>
                <w:sz w:val="20"/>
                <w:szCs w:val="20"/>
              </w:rPr>
            </w:pPr>
          </w:p>
        </w:tc>
        <w:tc>
          <w:tcPr>
            <w:tcW w:w="1050" w:type="dxa"/>
            <w:vMerge/>
          </w:tcPr>
          <w:p w:rsidR="001A17A2" w:rsidRPr="009720FF" w:rsidRDefault="001A17A2" w:rsidP="004F32B2">
            <w:pPr>
              <w:rPr>
                <w:rFonts w:ascii="Times New Roman" w:hAnsi="Times New Roman" w:cs="Times New Roman"/>
                <w:noProof/>
                <w:sz w:val="20"/>
                <w:szCs w:val="20"/>
              </w:rPr>
            </w:pPr>
          </w:p>
        </w:tc>
        <w:tc>
          <w:tcPr>
            <w:tcW w:w="882" w:type="dxa"/>
            <w:vMerge/>
          </w:tcPr>
          <w:p w:rsidR="001A17A2" w:rsidRPr="009720FF" w:rsidRDefault="001A17A2" w:rsidP="004F32B2">
            <w:pPr>
              <w:rPr>
                <w:rFonts w:ascii="Times New Roman" w:hAnsi="Times New Roman" w:cs="Times New Roman"/>
                <w:noProof/>
                <w:sz w:val="20"/>
                <w:szCs w:val="20"/>
              </w:rPr>
            </w:pPr>
          </w:p>
        </w:tc>
        <w:tc>
          <w:tcPr>
            <w:tcW w:w="3046" w:type="dxa"/>
          </w:tcPr>
          <w:p w:rsidR="001A17A2" w:rsidRPr="009720FF" w:rsidRDefault="001A17A2" w:rsidP="004F32B2">
            <w:pPr>
              <w:rPr>
                <w:rFonts w:ascii="Times New Roman" w:hAnsi="Times New Roman" w:cs="Times New Roman"/>
                <w:noProof/>
                <w:sz w:val="20"/>
                <w:szCs w:val="20"/>
              </w:rPr>
            </w:pPr>
            <w:r w:rsidRPr="009720FF">
              <w:rPr>
                <w:rFonts w:ascii="Times New Roman" w:hAnsi="Times New Roman" w:cs="Times New Roman"/>
                <w:noProof/>
                <w:sz w:val="20"/>
                <w:szCs w:val="20"/>
              </w:rPr>
              <w:t>SO 4</w:t>
            </w:r>
          </w:p>
        </w:tc>
      </w:tr>
      <w:tr w:rsidR="001A17A2" w:rsidRPr="009720FF" w:rsidTr="004F32B2">
        <w:trPr>
          <w:trHeight w:val="319"/>
        </w:trPr>
        <w:tc>
          <w:tcPr>
            <w:tcW w:w="4310" w:type="dxa"/>
            <w:vMerge/>
          </w:tcPr>
          <w:p w:rsidR="001A17A2" w:rsidRPr="009720FF" w:rsidRDefault="001A17A2" w:rsidP="004F32B2">
            <w:pPr>
              <w:spacing w:before="240" w:after="240"/>
              <w:rPr>
                <w:rFonts w:ascii="Times New Roman" w:hAnsi="Times New Roman" w:cs="Times New Roman"/>
                <w:noProof/>
                <w:sz w:val="20"/>
                <w:szCs w:val="20"/>
              </w:rPr>
            </w:pPr>
          </w:p>
        </w:tc>
        <w:tc>
          <w:tcPr>
            <w:tcW w:w="1050" w:type="dxa"/>
            <w:vMerge w:val="restart"/>
          </w:tcPr>
          <w:p w:rsidR="001A17A2" w:rsidRPr="009720FF" w:rsidRDefault="001A17A2" w:rsidP="004F32B2">
            <w:pPr>
              <w:rPr>
                <w:rFonts w:ascii="Times New Roman" w:hAnsi="Times New Roman" w:cs="Times New Roman"/>
                <w:noProof/>
                <w:sz w:val="20"/>
                <w:szCs w:val="20"/>
              </w:rPr>
            </w:pPr>
            <w:r w:rsidRPr="009720FF">
              <w:rPr>
                <w:rFonts w:ascii="Times New Roman" w:hAnsi="Times New Roman" w:cs="Times New Roman"/>
                <w:noProof/>
                <w:sz w:val="20"/>
                <w:szCs w:val="20"/>
              </w:rPr>
              <w:t>Priority 3</w:t>
            </w:r>
          </w:p>
        </w:tc>
        <w:tc>
          <w:tcPr>
            <w:tcW w:w="882" w:type="dxa"/>
            <w:vMerge w:val="restart"/>
          </w:tcPr>
          <w:p w:rsidR="001A17A2" w:rsidRPr="009720FF" w:rsidRDefault="001A17A2" w:rsidP="004F32B2">
            <w:pPr>
              <w:rPr>
                <w:rFonts w:ascii="Times New Roman" w:hAnsi="Times New Roman" w:cs="Times New Roman"/>
                <w:noProof/>
                <w:sz w:val="20"/>
                <w:szCs w:val="20"/>
              </w:rPr>
            </w:pPr>
            <w:r w:rsidRPr="009720FF">
              <w:rPr>
                <w:rFonts w:ascii="Times New Roman" w:hAnsi="Times New Roman" w:cs="Times New Roman"/>
                <w:noProof/>
                <w:sz w:val="20"/>
                <w:szCs w:val="20"/>
              </w:rPr>
              <w:t>CF</w:t>
            </w:r>
          </w:p>
        </w:tc>
        <w:tc>
          <w:tcPr>
            <w:tcW w:w="3046" w:type="dxa"/>
          </w:tcPr>
          <w:p w:rsidR="001A17A2" w:rsidRPr="009720FF" w:rsidRDefault="001A17A2" w:rsidP="004F32B2">
            <w:pPr>
              <w:rPr>
                <w:rFonts w:ascii="Times New Roman" w:hAnsi="Times New Roman" w:cs="Times New Roman"/>
                <w:noProof/>
                <w:sz w:val="20"/>
                <w:szCs w:val="20"/>
              </w:rPr>
            </w:pPr>
            <w:r w:rsidRPr="009720FF">
              <w:rPr>
                <w:rFonts w:ascii="Times New Roman" w:hAnsi="Times New Roman" w:cs="Times New Roman"/>
                <w:noProof/>
                <w:sz w:val="20"/>
                <w:szCs w:val="20"/>
              </w:rPr>
              <w:t>SO 5</w:t>
            </w:r>
          </w:p>
        </w:tc>
      </w:tr>
      <w:tr w:rsidR="001A17A2" w:rsidRPr="009720FF" w:rsidTr="004F32B2">
        <w:trPr>
          <w:trHeight w:val="319"/>
        </w:trPr>
        <w:tc>
          <w:tcPr>
            <w:tcW w:w="4310" w:type="dxa"/>
            <w:vMerge/>
          </w:tcPr>
          <w:p w:rsidR="001A17A2" w:rsidRPr="009720FF" w:rsidRDefault="001A17A2" w:rsidP="004F32B2">
            <w:pPr>
              <w:spacing w:before="240" w:after="240"/>
              <w:rPr>
                <w:rFonts w:ascii="Times New Roman" w:hAnsi="Times New Roman" w:cs="Times New Roman"/>
                <w:noProof/>
                <w:sz w:val="20"/>
                <w:szCs w:val="20"/>
              </w:rPr>
            </w:pPr>
          </w:p>
        </w:tc>
        <w:tc>
          <w:tcPr>
            <w:tcW w:w="1050" w:type="dxa"/>
            <w:vMerge/>
          </w:tcPr>
          <w:p w:rsidR="001A17A2" w:rsidRPr="009720FF" w:rsidRDefault="001A17A2" w:rsidP="004F32B2">
            <w:pPr>
              <w:rPr>
                <w:rFonts w:ascii="Times New Roman" w:hAnsi="Times New Roman" w:cs="Times New Roman"/>
                <w:noProof/>
                <w:sz w:val="20"/>
                <w:szCs w:val="20"/>
              </w:rPr>
            </w:pPr>
          </w:p>
        </w:tc>
        <w:tc>
          <w:tcPr>
            <w:tcW w:w="882" w:type="dxa"/>
            <w:vMerge/>
          </w:tcPr>
          <w:p w:rsidR="001A17A2" w:rsidRPr="009720FF" w:rsidRDefault="001A17A2" w:rsidP="004F32B2">
            <w:pPr>
              <w:rPr>
                <w:rFonts w:ascii="Times New Roman" w:hAnsi="Times New Roman" w:cs="Times New Roman"/>
                <w:noProof/>
                <w:sz w:val="20"/>
                <w:szCs w:val="20"/>
              </w:rPr>
            </w:pPr>
          </w:p>
        </w:tc>
        <w:tc>
          <w:tcPr>
            <w:tcW w:w="3046" w:type="dxa"/>
          </w:tcPr>
          <w:p w:rsidR="001A17A2" w:rsidRPr="009720FF" w:rsidRDefault="001A17A2" w:rsidP="004F32B2">
            <w:pPr>
              <w:rPr>
                <w:rFonts w:ascii="Times New Roman" w:hAnsi="Times New Roman" w:cs="Times New Roman"/>
                <w:noProof/>
                <w:sz w:val="20"/>
                <w:szCs w:val="20"/>
              </w:rPr>
            </w:pPr>
            <w:r w:rsidRPr="009720FF">
              <w:rPr>
                <w:rFonts w:ascii="Times New Roman" w:hAnsi="Times New Roman" w:cs="Times New Roman"/>
                <w:noProof/>
                <w:sz w:val="20"/>
                <w:szCs w:val="20"/>
              </w:rPr>
              <w:t>SO 6</w:t>
            </w:r>
          </w:p>
        </w:tc>
      </w:tr>
      <w:tr w:rsidR="001A17A2" w:rsidRPr="009720FF" w:rsidTr="004F32B2">
        <w:trPr>
          <w:trHeight w:val="1464"/>
        </w:trPr>
        <w:tc>
          <w:tcPr>
            <w:tcW w:w="4310" w:type="dxa"/>
            <w:vMerge/>
          </w:tcPr>
          <w:p w:rsidR="001A17A2" w:rsidRPr="009720FF" w:rsidRDefault="001A17A2" w:rsidP="004F32B2">
            <w:pPr>
              <w:spacing w:before="240" w:after="240"/>
              <w:rPr>
                <w:rFonts w:ascii="Times New Roman" w:hAnsi="Times New Roman" w:cs="Times New Roman"/>
                <w:noProof/>
                <w:sz w:val="20"/>
                <w:szCs w:val="20"/>
              </w:rPr>
            </w:pPr>
          </w:p>
        </w:tc>
        <w:tc>
          <w:tcPr>
            <w:tcW w:w="1050" w:type="dxa"/>
          </w:tcPr>
          <w:p w:rsidR="001A17A2" w:rsidRPr="009720FF" w:rsidRDefault="001A17A2" w:rsidP="004F32B2">
            <w:pPr>
              <w:rPr>
                <w:rFonts w:ascii="Times New Roman" w:hAnsi="Times New Roman" w:cs="Times New Roman"/>
                <w:noProof/>
                <w:sz w:val="20"/>
                <w:szCs w:val="20"/>
              </w:rPr>
            </w:pPr>
            <w:r w:rsidRPr="009720FF">
              <w:rPr>
                <w:rFonts w:ascii="Times New Roman" w:hAnsi="Times New Roman" w:cs="Times New Roman"/>
                <w:noProof/>
                <w:sz w:val="20"/>
                <w:szCs w:val="20"/>
              </w:rPr>
              <w:t>Priority 4</w:t>
            </w:r>
          </w:p>
        </w:tc>
        <w:tc>
          <w:tcPr>
            <w:tcW w:w="882" w:type="dxa"/>
          </w:tcPr>
          <w:p w:rsidR="001A17A2" w:rsidRPr="009720FF" w:rsidRDefault="001A17A2" w:rsidP="004F32B2">
            <w:pPr>
              <w:rPr>
                <w:rFonts w:ascii="Times New Roman" w:hAnsi="Times New Roman" w:cs="Times New Roman"/>
                <w:noProof/>
                <w:sz w:val="20"/>
                <w:szCs w:val="20"/>
              </w:rPr>
            </w:pPr>
            <w:r w:rsidRPr="009720FF">
              <w:rPr>
                <w:rFonts w:ascii="Times New Roman" w:hAnsi="Times New Roman" w:cs="Times New Roman"/>
                <w:noProof/>
                <w:sz w:val="20"/>
                <w:szCs w:val="20"/>
              </w:rPr>
              <w:t>JTF</w:t>
            </w:r>
          </w:p>
        </w:tc>
        <w:tc>
          <w:tcPr>
            <w:tcW w:w="3046" w:type="dxa"/>
          </w:tcPr>
          <w:p w:rsidR="001A17A2" w:rsidRPr="009720FF" w:rsidRDefault="001A17A2" w:rsidP="004F32B2">
            <w:pPr>
              <w:rPr>
                <w:rFonts w:ascii="Times New Roman" w:hAnsi="Times New Roman" w:cs="Times New Roman"/>
                <w:noProof/>
                <w:sz w:val="20"/>
                <w:szCs w:val="20"/>
              </w:rPr>
            </w:pPr>
            <w:r w:rsidRPr="009720FF">
              <w:rPr>
                <w:rFonts w:ascii="Times New Roman" w:hAnsi="Times New Roman" w:cs="Times New Roman"/>
                <w:noProof/>
                <w:sz w:val="20"/>
                <w:szCs w:val="20"/>
              </w:rPr>
              <w:t>SO JTF</w:t>
            </w:r>
          </w:p>
          <w:p w:rsidR="001A17A2" w:rsidRPr="009720FF" w:rsidRDefault="001A17A2" w:rsidP="004F32B2">
            <w:pPr>
              <w:rPr>
                <w:rFonts w:ascii="Times New Roman" w:hAnsi="Times New Roman" w:cs="Times New Roman"/>
                <w:noProof/>
                <w:sz w:val="20"/>
                <w:szCs w:val="20"/>
              </w:rPr>
            </w:pPr>
          </w:p>
        </w:tc>
      </w:tr>
      <w:tr w:rsidR="001A17A2" w:rsidRPr="009720FF" w:rsidTr="004F32B2">
        <w:trPr>
          <w:trHeight w:val="319"/>
        </w:trPr>
        <w:tc>
          <w:tcPr>
            <w:tcW w:w="4310" w:type="dxa"/>
            <w:vMerge w:val="restart"/>
          </w:tcPr>
          <w:p w:rsidR="001A17A2" w:rsidRPr="009720FF" w:rsidRDefault="001A17A2" w:rsidP="004F32B2">
            <w:pPr>
              <w:spacing w:before="240" w:after="240"/>
              <w:rPr>
                <w:rFonts w:ascii="Times New Roman" w:hAnsi="Times New Roman" w:cs="Times New Roman"/>
                <w:noProof/>
                <w:sz w:val="20"/>
                <w:szCs w:val="20"/>
              </w:rPr>
            </w:pPr>
            <w:r w:rsidRPr="009720FF">
              <w:rPr>
                <w:rFonts w:ascii="Times New Roman" w:hAnsi="Times New Roman" w:cs="Times New Roman"/>
                <w:noProof/>
                <w:sz w:val="20"/>
                <w:szCs w:val="20"/>
              </w:rPr>
              <w:t>Use of financing not linked to costs according to Article 89 CPR</w:t>
            </w:r>
          </w:p>
        </w:tc>
        <w:tc>
          <w:tcPr>
            <w:tcW w:w="1050" w:type="dxa"/>
            <w:vMerge w:val="restart"/>
          </w:tcPr>
          <w:p w:rsidR="001A17A2" w:rsidRPr="009720FF" w:rsidRDefault="001A17A2" w:rsidP="004F32B2">
            <w:pPr>
              <w:rPr>
                <w:rFonts w:ascii="Times New Roman" w:hAnsi="Times New Roman" w:cs="Times New Roman"/>
                <w:noProof/>
                <w:sz w:val="20"/>
                <w:szCs w:val="20"/>
              </w:rPr>
            </w:pPr>
            <w:r w:rsidRPr="009720FF">
              <w:rPr>
                <w:rFonts w:ascii="Times New Roman" w:hAnsi="Times New Roman" w:cs="Times New Roman"/>
                <w:noProof/>
                <w:sz w:val="20"/>
                <w:szCs w:val="20"/>
              </w:rPr>
              <w:t>Priority 1</w:t>
            </w:r>
          </w:p>
        </w:tc>
        <w:tc>
          <w:tcPr>
            <w:tcW w:w="882" w:type="dxa"/>
            <w:vMerge w:val="restart"/>
          </w:tcPr>
          <w:p w:rsidR="001A17A2" w:rsidRPr="009720FF" w:rsidRDefault="001A17A2" w:rsidP="004F32B2">
            <w:pPr>
              <w:rPr>
                <w:rFonts w:ascii="Times New Roman" w:hAnsi="Times New Roman" w:cs="Times New Roman"/>
                <w:noProof/>
                <w:sz w:val="20"/>
                <w:szCs w:val="20"/>
              </w:rPr>
            </w:pPr>
            <w:r w:rsidRPr="009720FF">
              <w:rPr>
                <w:rFonts w:ascii="Times New Roman" w:hAnsi="Times New Roman" w:cs="Times New Roman"/>
                <w:noProof/>
                <w:sz w:val="20"/>
                <w:szCs w:val="20"/>
              </w:rPr>
              <w:t>ERDF</w:t>
            </w:r>
          </w:p>
        </w:tc>
        <w:tc>
          <w:tcPr>
            <w:tcW w:w="3046" w:type="dxa"/>
          </w:tcPr>
          <w:p w:rsidR="001A17A2" w:rsidRPr="009720FF" w:rsidRDefault="001A17A2" w:rsidP="004F32B2">
            <w:pPr>
              <w:rPr>
                <w:rFonts w:ascii="Times New Roman" w:hAnsi="Times New Roman" w:cs="Times New Roman"/>
                <w:noProof/>
                <w:sz w:val="20"/>
                <w:szCs w:val="20"/>
              </w:rPr>
            </w:pPr>
            <w:r w:rsidRPr="009720FF">
              <w:rPr>
                <w:rFonts w:ascii="Times New Roman" w:hAnsi="Times New Roman" w:cs="Times New Roman"/>
                <w:noProof/>
                <w:sz w:val="20"/>
                <w:szCs w:val="20"/>
              </w:rPr>
              <w:t>SO 7</w:t>
            </w:r>
          </w:p>
        </w:tc>
      </w:tr>
      <w:tr w:rsidR="001A17A2" w:rsidRPr="009720FF" w:rsidTr="004F32B2">
        <w:trPr>
          <w:trHeight w:val="319"/>
        </w:trPr>
        <w:tc>
          <w:tcPr>
            <w:tcW w:w="4310" w:type="dxa"/>
            <w:vMerge/>
          </w:tcPr>
          <w:p w:rsidR="001A17A2" w:rsidRPr="009720FF" w:rsidRDefault="001A17A2" w:rsidP="004F32B2">
            <w:pPr>
              <w:spacing w:before="240" w:after="240"/>
              <w:rPr>
                <w:rFonts w:ascii="Times New Roman" w:hAnsi="Times New Roman" w:cs="Times New Roman"/>
                <w:noProof/>
                <w:sz w:val="20"/>
                <w:szCs w:val="20"/>
              </w:rPr>
            </w:pPr>
          </w:p>
        </w:tc>
        <w:tc>
          <w:tcPr>
            <w:tcW w:w="1050" w:type="dxa"/>
            <w:vMerge/>
          </w:tcPr>
          <w:p w:rsidR="001A17A2" w:rsidRPr="009720FF" w:rsidRDefault="001A17A2" w:rsidP="004F32B2">
            <w:pPr>
              <w:rPr>
                <w:rFonts w:ascii="Times New Roman" w:hAnsi="Times New Roman" w:cs="Times New Roman"/>
                <w:noProof/>
                <w:sz w:val="20"/>
                <w:szCs w:val="20"/>
              </w:rPr>
            </w:pPr>
          </w:p>
        </w:tc>
        <w:tc>
          <w:tcPr>
            <w:tcW w:w="882" w:type="dxa"/>
            <w:vMerge/>
          </w:tcPr>
          <w:p w:rsidR="001A17A2" w:rsidRPr="009720FF" w:rsidRDefault="001A17A2" w:rsidP="004F32B2">
            <w:pPr>
              <w:rPr>
                <w:rFonts w:ascii="Times New Roman" w:hAnsi="Times New Roman" w:cs="Times New Roman"/>
                <w:noProof/>
                <w:sz w:val="20"/>
                <w:szCs w:val="20"/>
              </w:rPr>
            </w:pPr>
          </w:p>
        </w:tc>
        <w:tc>
          <w:tcPr>
            <w:tcW w:w="3046" w:type="dxa"/>
          </w:tcPr>
          <w:p w:rsidR="001A17A2" w:rsidRPr="009720FF" w:rsidRDefault="001A17A2" w:rsidP="004F32B2">
            <w:pPr>
              <w:rPr>
                <w:rFonts w:ascii="Times New Roman" w:hAnsi="Times New Roman" w:cs="Times New Roman"/>
                <w:noProof/>
                <w:sz w:val="20"/>
                <w:szCs w:val="20"/>
              </w:rPr>
            </w:pPr>
            <w:r w:rsidRPr="009720FF">
              <w:rPr>
                <w:rFonts w:ascii="Times New Roman" w:hAnsi="Times New Roman" w:cs="Times New Roman"/>
                <w:noProof/>
                <w:sz w:val="20"/>
                <w:szCs w:val="20"/>
              </w:rPr>
              <w:t>SO 8</w:t>
            </w:r>
          </w:p>
        </w:tc>
      </w:tr>
      <w:tr w:rsidR="001A17A2" w:rsidRPr="009720FF" w:rsidTr="004F32B2">
        <w:trPr>
          <w:trHeight w:val="319"/>
        </w:trPr>
        <w:tc>
          <w:tcPr>
            <w:tcW w:w="4310" w:type="dxa"/>
            <w:vMerge/>
          </w:tcPr>
          <w:p w:rsidR="001A17A2" w:rsidRPr="009720FF" w:rsidRDefault="001A17A2" w:rsidP="004F32B2">
            <w:pPr>
              <w:spacing w:before="240" w:after="240"/>
              <w:rPr>
                <w:rFonts w:ascii="Times New Roman" w:hAnsi="Times New Roman" w:cs="Times New Roman"/>
                <w:noProof/>
                <w:sz w:val="20"/>
                <w:szCs w:val="20"/>
              </w:rPr>
            </w:pPr>
          </w:p>
        </w:tc>
        <w:tc>
          <w:tcPr>
            <w:tcW w:w="1050" w:type="dxa"/>
            <w:vMerge w:val="restart"/>
          </w:tcPr>
          <w:p w:rsidR="001A17A2" w:rsidRPr="009720FF" w:rsidRDefault="001A17A2" w:rsidP="004F32B2">
            <w:pPr>
              <w:rPr>
                <w:rFonts w:ascii="Times New Roman" w:hAnsi="Times New Roman" w:cs="Times New Roman"/>
                <w:noProof/>
                <w:sz w:val="20"/>
                <w:szCs w:val="20"/>
              </w:rPr>
            </w:pPr>
            <w:r w:rsidRPr="009720FF">
              <w:rPr>
                <w:rFonts w:ascii="Times New Roman" w:hAnsi="Times New Roman" w:cs="Times New Roman"/>
                <w:noProof/>
                <w:sz w:val="20"/>
                <w:szCs w:val="20"/>
              </w:rPr>
              <w:t>Priority 2</w:t>
            </w:r>
          </w:p>
        </w:tc>
        <w:tc>
          <w:tcPr>
            <w:tcW w:w="882" w:type="dxa"/>
            <w:vMerge w:val="restart"/>
          </w:tcPr>
          <w:p w:rsidR="001A17A2" w:rsidRPr="009720FF" w:rsidRDefault="001A17A2" w:rsidP="004F32B2">
            <w:pPr>
              <w:rPr>
                <w:rFonts w:ascii="Times New Roman" w:hAnsi="Times New Roman" w:cs="Times New Roman"/>
                <w:noProof/>
                <w:sz w:val="20"/>
                <w:szCs w:val="20"/>
              </w:rPr>
            </w:pPr>
            <w:r w:rsidRPr="009720FF">
              <w:rPr>
                <w:rFonts w:ascii="Times New Roman" w:hAnsi="Times New Roman" w:cs="Times New Roman"/>
                <w:noProof/>
                <w:sz w:val="20"/>
                <w:szCs w:val="20"/>
              </w:rPr>
              <w:t>ESF+</w:t>
            </w:r>
          </w:p>
        </w:tc>
        <w:tc>
          <w:tcPr>
            <w:tcW w:w="3046" w:type="dxa"/>
          </w:tcPr>
          <w:p w:rsidR="001A17A2" w:rsidRPr="009720FF" w:rsidRDefault="001A17A2" w:rsidP="004F32B2">
            <w:pPr>
              <w:rPr>
                <w:rFonts w:ascii="Times New Roman" w:hAnsi="Times New Roman" w:cs="Times New Roman"/>
                <w:noProof/>
                <w:sz w:val="20"/>
                <w:szCs w:val="20"/>
              </w:rPr>
            </w:pPr>
            <w:r w:rsidRPr="009720FF">
              <w:rPr>
                <w:rFonts w:ascii="Times New Roman" w:hAnsi="Times New Roman" w:cs="Times New Roman"/>
                <w:noProof/>
                <w:sz w:val="20"/>
                <w:szCs w:val="20"/>
              </w:rPr>
              <w:t>SO 9</w:t>
            </w:r>
          </w:p>
        </w:tc>
      </w:tr>
      <w:tr w:rsidR="001A17A2" w:rsidRPr="009720FF" w:rsidTr="004F32B2">
        <w:trPr>
          <w:trHeight w:val="319"/>
        </w:trPr>
        <w:tc>
          <w:tcPr>
            <w:tcW w:w="4310" w:type="dxa"/>
            <w:vMerge/>
          </w:tcPr>
          <w:p w:rsidR="001A17A2" w:rsidRPr="009720FF" w:rsidRDefault="001A17A2" w:rsidP="004F32B2">
            <w:pPr>
              <w:spacing w:before="240" w:after="240"/>
              <w:rPr>
                <w:rFonts w:ascii="Times New Roman" w:hAnsi="Times New Roman" w:cs="Times New Roman"/>
                <w:noProof/>
                <w:sz w:val="20"/>
                <w:szCs w:val="20"/>
              </w:rPr>
            </w:pPr>
          </w:p>
        </w:tc>
        <w:tc>
          <w:tcPr>
            <w:tcW w:w="1050" w:type="dxa"/>
            <w:vMerge/>
          </w:tcPr>
          <w:p w:rsidR="001A17A2" w:rsidRPr="009720FF" w:rsidRDefault="001A17A2" w:rsidP="004F32B2">
            <w:pPr>
              <w:rPr>
                <w:rFonts w:ascii="Times New Roman" w:hAnsi="Times New Roman" w:cs="Times New Roman"/>
                <w:noProof/>
                <w:sz w:val="20"/>
                <w:szCs w:val="20"/>
              </w:rPr>
            </w:pPr>
          </w:p>
        </w:tc>
        <w:tc>
          <w:tcPr>
            <w:tcW w:w="882" w:type="dxa"/>
            <w:vMerge/>
          </w:tcPr>
          <w:p w:rsidR="001A17A2" w:rsidRPr="009720FF" w:rsidRDefault="001A17A2" w:rsidP="004F32B2">
            <w:pPr>
              <w:rPr>
                <w:rFonts w:ascii="Times New Roman" w:hAnsi="Times New Roman" w:cs="Times New Roman"/>
                <w:noProof/>
                <w:sz w:val="20"/>
                <w:szCs w:val="20"/>
              </w:rPr>
            </w:pPr>
          </w:p>
        </w:tc>
        <w:tc>
          <w:tcPr>
            <w:tcW w:w="3046" w:type="dxa"/>
          </w:tcPr>
          <w:p w:rsidR="001A17A2" w:rsidRPr="009720FF" w:rsidRDefault="001A17A2" w:rsidP="004F32B2">
            <w:pPr>
              <w:rPr>
                <w:rFonts w:ascii="Times New Roman" w:hAnsi="Times New Roman" w:cs="Times New Roman"/>
                <w:noProof/>
                <w:sz w:val="20"/>
                <w:szCs w:val="20"/>
              </w:rPr>
            </w:pPr>
            <w:r w:rsidRPr="009720FF">
              <w:rPr>
                <w:rFonts w:ascii="Times New Roman" w:hAnsi="Times New Roman" w:cs="Times New Roman"/>
                <w:noProof/>
                <w:sz w:val="20"/>
                <w:szCs w:val="20"/>
              </w:rPr>
              <w:t>SO 10</w:t>
            </w:r>
          </w:p>
        </w:tc>
      </w:tr>
      <w:tr w:rsidR="001A17A2" w:rsidRPr="009720FF" w:rsidTr="004F32B2">
        <w:trPr>
          <w:trHeight w:val="319"/>
        </w:trPr>
        <w:tc>
          <w:tcPr>
            <w:tcW w:w="4310" w:type="dxa"/>
            <w:vMerge/>
          </w:tcPr>
          <w:p w:rsidR="001A17A2" w:rsidRPr="009720FF" w:rsidRDefault="001A17A2" w:rsidP="004F32B2">
            <w:pPr>
              <w:spacing w:before="240" w:after="240"/>
              <w:rPr>
                <w:rFonts w:ascii="Times New Roman" w:hAnsi="Times New Roman" w:cs="Times New Roman"/>
                <w:noProof/>
                <w:sz w:val="20"/>
                <w:szCs w:val="20"/>
              </w:rPr>
            </w:pPr>
          </w:p>
        </w:tc>
        <w:tc>
          <w:tcPr>
            <w:tcW w:w="1050" w:type="dxa"/>
            <w:vMerge w:val="restart"/>
          </w:tcPr>
          <w:p w:rsidR="001A17A2" w:rsidRPr="009720FF" w:rsidRDefault="001A17A2" w:rsidP="004F32B2">
            <w:pPr>
              <w:rPr>
                <w:rFonts w:ascii="Times New Roman" w:hAnsi="Times New Roman" w:cs="Times New Roman"/>
                <w:noProof/>
                <w:sz w:val="20"/>
                <w:szCs w:val="20"/>
              </w:rPr>
            </w:pPr>
            <w:r w:rsidRPr="009720FF">
              <w:rPr>
                <w:rFonts w:ascii="Times New Roman" w:hAnsi="Times New Roman" w:cs="Times New Roman"/>
                <w:noProof/>
                <w:sz w:val="20"/>
                <w:szCs w:val="20"/>
              </w:rPr>
              <w:t>Priority 3</w:t>
            </w:r>
          </w:p>
        </w:tc>
        <w:tc>
          <w:tcPr>
            <w:tcW w:w="882" w:type="dxa"/>
            <w:vMerge w:val="restart"/>
          </w:tcPr>
          <w:p w:rsidR="001A17A2" w:rsidRPr="009720FF" w:rsidRDefault="001A17A2" w:rsidP="004F32B2">
            <w:pPr>
              <w:rPr>
                <w:rFonts w:ascii="Times New Roman" w:hAnsi="Times New Roman" w:cs="Times New Roman"/>
                <w:noProof/>
                <w:sz w:val="20"/>
                <w:szCs w:val="20"/>
              </w:rPr>
            </w:pPr>
            <w:r w:rsidRPr="009720FF">
              <w:rPr>
                <w:rFonts w:ascii="Times New Roman" w:hAnsi="Times New Roman" w:cs="Times New Roman"/>
                <w:noProof/>
                <w:sz w:val="20"/>
                <w:szCs w:val="20"/>
              </w:rPr>
              <w:t>CF</w:t>
            </w:r>
          </w:p>
        </w:tc>
        <w:tc>
          <w:tcPr>
            <w:tcW w:w="3046" w:type="dxa"/>
          </w:tcPr>
          <w:p w:rsidR="001A17A2" w:rsidRPr="009720FF" w:rsidRDefault="001A17A2" w:rsidP="004F32B2">
            <w:pPr>
              <w:rPr>
                <w:rFonts w:ascii="Times New Roman" w:hAnsi="Times New Roman" w:cs="Times New Roman"/>
                <w:noProof/>
                <w:sz w:val="20"/>
                <w:szCs w:val="20"/>
              </w:rPr>
            </w:pPr>
            <w:r w:rsidRPr="009720FF">
              <w:rPr>
                <w:rFonts w:ascii="Times New Roman" w:hAnsi="Times New Roman" w:cs="Times New Roman"/>
                <w:noProof/>
                <w:sz w:val="20"/>
                <w:szCs w:val="20"/>
              </w:rPr>
              <w:t>SO 11</w:t>
            </w:r>
          </w:p>
        </w:tc>
      </w:tr>
      <w:tr w:rsidR="001A17A2" w:rsidRPr="009720FF" w:rsidTr="004F32B2">
        <w:trPr>
          <w:trHeight w:val="319"/>
        </w:trPr>
        <w:tc>
          <w:tcPr>
            <w:tcW w:w="4310" w:type="dxa"/>
            <w:vMerge/>
          </w:tcPr>
          <w:p w:rsidR="001A17A2" w:rsidRPr="009720FF" w:rsidRDefault="001A17A2" w:rsidP="004F32B2">
            <w:pPr>
              <w:spacing w:before="240" w:after="240"/>
              <w:rPr>
                <w:rFonts w:ascii="Times New Roman" w:hAnsi="Times New Roman" w:cs="Times New Roman"/>
                <w:noProof/>
                <w:sz w:val="20"/>
                <w:szCs w:val="20"/>
              </w:rPr>
            </w:pPr>
          </w:p>
        </w:tc>
        <w:tc>
          <w:tcPr>
            <w:tcW w:w="1050" w:type="dxa"/>
            <w:vMerge/>
          </w:tcPr>
          <w:p w:rsidR="001A17A2" w:rsidRPr="009720FF" w:rsidRDefault="001A17A2" w:rsidP="004F32B2">
            <w:pPr>
              <w:rPr>
                <w:rFonts w:ascii="Times New Roman" w:hAnsi="Times New Roman" w:cs="Times New Roman"/>
                <w:noProof/>
                <w:sz w:val="20"/>
                <w:szCs w:val="20"/>
              </w:rPr>
            </w:pPr>
          </w:p>
        </w:tc>
        <w:tc>
          <w:tcPr>
            <w:tcW w:w="882" w:type="dxa"/>
            <w:vMerge/>
          </w:tcPr>
          <w:p w:rsidR="001A17A2" w:rsidRPr="009720FF" w:rsidRDefault="001A17A2" w:rsidP="004F32B2">
            <w:pPr>
              <w:rPr>
                <w:rFonts w:ascii="Times New Roman" w:hAnsi="Times New Roman" w:cs="Times New Roman"/>
                <w:noProof/>
                <w:sz w:val="20"/>
                <w:szCs w:val="20"/>
              </w:rPr>
            </w:pPr>
          </w:p>
        </w:tc>
        <w:tc>
          <w:tcPr>
            <w:tcW w:w="3046" w:type="dxa"/>
          </w:tcPr>
          <w:p w:rsidR="001A17A2" w:rsidRPr="009720FF" w:rsidRDefault="001A17A2" w:rsidP="004F32B2">
            <w:pPr>
              <w:rPr>
                <w:rFonts w:ascii="Times New Roman" w:hAnsi="Times New Roman" w:cs="Times New Roman"/>
                <w:noProof/>
                <w:sz w:val="20"/>
                <w:szCs w:val="20"/>
              </w:rPr>
            </w:pPr>
            <w:r w:rsidRPr="009720FF">
              <w:rPr>
                <w:rFonts w:ascii="Times New Roman" w:hAnsi="Times New Roman" w:cs="Times New Roman"/>
                <w:noProof/>
                <w:sz w:val="20"/>
                <w:szCs w:val="20"/>
              </w:rPr>
              <w:t>SO 12</w:t>
            </w:r>
          </w:p>
        </w:tc>
      </w:tr>
      <w:tr w:rsidR="001A17A2" w:rsidRPr="009720FF" w:rsidTr="004F32B2">
        <w:trPr>
          <w:trHeight w:val="648"/>
        </w:trPr>
        <w:tc>
          <w:tcPr>
            <w:tcW w:w="4310" w:type="dxa"/>
            <w:vMerge/>
          </w:tcPr>
          <w:p w:rsidR="001A17A2" w:rsidRPr="009720FF" w:rsidRDefault="001A17A2" w:rsidP="004F32B2">
            <w:pPr>
              <w:rPr>
                <w:rFonts w:ascii="Times New Roman" w:hAnsi="Times New Roman" w:cs="Times New Roman"/>
                <w:noProof/>
                <w:sz w:val="20"/>
                <w:szCs w:val="20"/>
              </w:rPr>
            </w:pPr>
          </w:p>
        </w:tc>
        <w:tc>
          <w:tcPr>
            <w:tcW w:w="1050" w:type="dxa"/>
          </w:tcPr>
          <w:p w:rsidR="001A17A2" w:rsidRPr="009720FF" w:rsidRDefault="001A17A2" w:rsidP="004F32B2">
            <w:pPr>
              <w:rPr>
                <w:rFonts w:ascii="Times New Roman" w:hAnsi="Times New Roman" w:cs="Times New Roman"/>
                <w:noProof/>
                <w:sz w:val="20"/>
                <w:szCs w:val="20"/>
              </w:rPr>
            </w:pPr>
            <w:r w:rsidRPr="009720FF">
              <w:rPr>
                <w:rFonts w:ascii="Times New Roman" w:hAnsi="Times New Roman" w:cs="Times New Roman"/>
                <w:noProof/>
                <w:sz w:val="20"/>
                <w:szCs w:val="20"/>
              </w:rPr>
              <w:t>Priority 4</w:t>
            </w:r>
          </w:p>
        </w:tc>
        <w:tc>
          <w:tcPr>
            <w:tcW w:w="882" w:type="dxa"/>
          </w:tcPr>
          <w:p w:rsidR="001A17A2" w:rsidRPr="009720FF" w:rsidRDefault="001A17A2" w:rsidP="004F32B2">
            <w:pPr>
              <w:rPr>
                <w:rFonts w:ascii="Times New Roman" w:hAnsi="Times New Roman" w:cs="Times New Roman"/>
                <w:noProof/>
                <w:sz w:val="20"/>
                <w:szCs w:val="20"/>
              </w:rPr>
            </w:pPr>
            <w:r w:rsidRPr="009720FF">
              <w:rPr>
                <w:rFonts w:ascii="Times New Roman" w:hAnsi="Times New Roman" w:cs="Times New Roman"/>
                <w:noProof/>
                <w:sz w:val="20"/>
                <w:szCs w:val="20"/>
              </w:rPr>
              <w:t>JTF</w:t>
            </w:r>
          </w:p>
        </w:tc>
        <w:tc>
          <w:tcPr>
            <w:tcW w:w="3046" w:type="dxa"/>
          </w:tcPr>
          <w:p w:rsidR="001A17A2" w:rsidRPr="009720FF" w:rsidRDefault="001A17A2" w:rsidP="004F32B2">
            <w:pPr>
              <w:rPr>
                <w:rFonts w:ascii="Times New Roman" w:hAnsi="Times New Roman" w:cs="Times New Roman"/>
                <w:noProof/>
                <w:sz w:val="20"/>
                <w:szCs w:val="20"/>
              </w:rPr>
            </w:pPr>
            <w:r w:rsidRPr="009720FF">
              <w:rPr>
                <w:rFonts w:ascii="Times New Roman" w:hAnsi="Times New Roman" w:cs="Times New Roman"/>
                <w:noProof/>
                <w:sz w:val="20"/>
                <w:szCs w:val="20"/>
              </w:rPr>
              <w:t>SO JTF</w:t>
            </w:r>
          </w:p>
          <w:p w:rsidR="001A17A2" w:rsidRPr="009720FF" w:rsidRDefault="001A17A2" w:rsidP="004F32B2">
            <w:pPr>
              <w:rPr>
                <w:rFonts w:ascii="Times New Roman" w:hAnsi="Times New Roman" w:cs="Times New Roman"/>
                <w:noProof/>
                <w:sz w:val="20"/>
                <w:szCs w:val="20"/>
              </w:rPr>
            </w:pPr>
          </w:p>
        </w:tc>
      </w:tr>
    </w:tbl>
    <w:p w:rsidR="001A17A2" w:rsidRDefault="001A17A2" w:rsidP="001A17A2">
      <w:pPr>
        <w:spacing w:after="0"/>
        <w:rPr>
          <w:rFonts w:ascii="Times New Roman" w:hAnsi="Times New Roman" w:cs="Times New Roman"/>
          <w:noProof/>
          <w:sz w:val="16"/>
          <w:szCs w:val="16"/>
          <w:lang w:val="en-GB"/>
        </w:rPr>
      </w:pPr>
    </w:p>
    <w:p w:rsidR="004F32B2" w:rsidRDefault="004F32B2" w:rsidP="001A17A2">
      <w:pPr>
        <w:spacing w:after="0"/>
        <w:rPr>
          <w:rFonts w:ascii="Times New Roman" w:hAnsi="Times New Roman" w:cs="Times New Roman"/>
          <w:noProof/>
          <w:sz w:val="16"/>
          <w:szCs w:val="16"/>
          <w:lang w:val="en-GB"/>
        </w:rPr>
      </w:pPr>
    </w:p>
    <w:p w:rsidR="004F32B2" w:rsidRDefault="004F32B2" w:rsidP="001A17A2">
      <w:pPr>
        <w:spacing w:after="0"/>
        <w:rPr>
          <w:rFonts w:ascii="Times New Roman" w:hAnsi="Times New Roman" w:cs="Times New Roman"/>
          <w:noProof/>
          <w:sz w:val="16"/>
          <w:szCs w:val="16"/>
          <w:lang w:val="en-GB"/>
        </w:rPr>
      </w:pPr>
    </w:p>
    <w:p w:rsidR="004F32B2" w:rsidRDefault="004F32B2" w:rsidP="004F32B2">
      <w:pPr>
        <w:rPr>
          <w:rFonts w:eastAsia="Calibri"/>
          <w:b/>
          <w:i/>
          <w:noProof/>
          <w:szCs w:val="24"/>
          <w:lang w:eastAsia="en-GB"/>
        </w:rPr>
      </w:pPr>
      <w:r>
        <w:rPr>
          <w:rFonts w:eastAsia="Times New Roman"/>
          <w:b/>
          <w:i/>
          <w:noProof/>
          <w:szCs w:val="24"/>
          <w:lang w:eastAsia="en-GB"/>
        </w:rPr>
        <w:t>Appendix 1:</w:t>
      </w:r>
      <w:r>
        <w:rPr>
          <w:rFonts w:eastAsia="Times New Roman"/>
          <w:b/>
          <w:noProof/>
          <w:szCs w:val="24"/>
          <w:lang w:eastAsia="en-GB"/>
        </w:rPr>
        <w:t xml:space="preserve"> </w:t>
      </w:r>
      <w:r>
        <w:rPr>
          <w:rFonts w:eastAsia="Times New Roman"/>
          <w:b/>
          <w:noProof/>
          <w:szCs w:val="24"/>
          <w:lang w:eastAsia="en-GB"/>
        </w:rPr>
        <w:tab/>
        <w:t xml:space="preserve">Union contribution based on unit costs, lump sums and flat rates </w:t>
      </w:r>
    </w:p>
    <w:p w:rsidR="004F32B2" w:rsidRDefault="004F32B2" w:rsidP="004F32B2">
      <w:pPr>
        <w:jc w:val="center"/>
        <w:rPr>
          <w:rFonts w:eastAsia="Calibri"/>
          <w:b/>
          <w:noProof/>
          <w:szCs w:val="24"/>
          <w:lang w:eastAsia="en-GB"/>
        </w:rPr>
      </w:pPr>
      <w:r>
        <w:rPr>
          <w:rFonts w:eastAsia="Calibri"/>
          <w:b/>
          <w:noProof/>
          <w:szCs w:val="24"/>
          <w:lang w:eastAsia="en-GB"/>
        </w:rPr>
        <w:t>Template for submitting data for the consideration of the Commission</w:t>
      </w:r>
    </w:p>
    <w:p w:rsidR="004F32B2" w:rsidRDefault="004F32B2" w:rsidP="004F32B2">
      <w:pPr>
        <w:jc w:val="center"/>
        <w:rPr>
          <w:rFonts w:eastAsia="Calibri"/>
          <w:b/>
          <w:i/>
          <w:noProof/>
          <w:szCs w:val="24"/>
          <w:lang w:eastAsia="en-GB"/>
        </w:rPr>
      </w:pPr>
      <w:r>
        <w:rPr>
          <w:rFonts w:eastAsia="Calibri"/>
          <w:b/>
          <w:noProof/>
          <w:szCs w:val="24"/>
          <w:lang w:eastAsia="en-GB"/>
        </w:rPr>
        <w:t>(Article 88)</w:t>
      </w:r>
    </w:p>
    <w:p w:rsidR="004F32B2" w:rsidRDefault="004F32B2" w:rsidP="004F32B2">
      <w:pPr>
        <w:spacing w:after="240"/>
        <w:jc w:val="center"/>
        <w:rPr>
          <w:rFonts w:eastAsia="Calibri"/>
          <w:noProof/>
          <w:szCs w:val="24"/>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4F32B2" w:rsidTr="004F32B2">
        <w:tc>
          <w:tcPr>
            <w:tcW w:w="4644" w:type="dxa"/>
            <w:tcBorders>
              <w:top w:val="single" w:sz="4" w:space="0" w:color="auto"/>
              <w:left w:val="single" w:sz="4" w:space="0" w:color="auto"/>
              <w:bottom w:val="single" w:sz="4" w:space="0" w:color="auto"/>
              <w:right w:val="single" w:sz="4" w:space="0" w:color="auto"/>
            </w:tcBorders>
            <w:hideMark/>
          </w:tcPr>
          <w:p w:rsidR="004F32B2" w:rsidRDefault="004F32B2" w:rsidP="004F32B2">
            <w:pPr>
              <w:rPr>
                <w:rFonts w:eastAsia="Calibri"/>
                <w:noProof/>
                <w:szCs w:val="24"/>
                <w:lang w:val="en-US" w:eastAsia="en-GB"/>
              </w:rPr>
            </w:pPr>
            <w:r>
              <w:rPr>
                <w:rFonts w:eastAsia="Calibri"/>
                <w:noProof/>
                <w:szCs w:val="24"/>
                <w:lang w:val="en-US" w:eastAsia="en-GB"/>
              </w:rPr>
              <w:lastRenderedPageBreak/>
              <w:t>Date of submitting the proposal</w:t>
            </w:r>
          </w:p>
        </w:tc>
        <w:tc>
          <w:tcPr>
            <w:tcW w:w="4644" w:type="dxa"/>
            <w:tcBorders>
              <w:top w:val="single" w:sz="4" w:space="0" w:color="auto"/>
              <w:left w:val="single" w:sz="4" w:space="0" w:color="auto"/>
              <w:bottom w:val="single" w:sz="4" w:space="0" w:color="auto"/>
              <w:right w:val="single" w:sz="4" w:space="0" w:color="auto"/>
            </w:tcBorders>
          </w:tcPr>
          <w:p w:rsidR="004F32B2" w:rsidRDefault="004F32B2" w:rsidP="004F32B2">
            <w:pPr>
              <w:rPr>
                <w:rFonts w:eastAsia="Calibri"/>
                <w:noProof/>
                <w:szCs w:val="24"/>
                <w:lang w:val="en-US" w:eastAsia="en-GB"/>
              </w:rPr>
            </w:pPr>
          </w:p>
        </w:tc>
      </w:tr>
      <w:tr w:rsidR="004F32B2" w:rsidTr="004F32B2">
        <w:tc>
          <w:tcPr>
            <w:tcW w:w="4644" w:type="dxa"/>
            <w:tcBorders>
              <w:top w:val="single" w:sz="4" w:space="0" w:color="auto"/>
              <w:left w:val="single" w:sz="4" w:space="0" w:color="auto"/>
              <w:bottom w:val="single" w:sz="4" w:space="0" w:color="auto"/>
              <w:right w:val="single" w:sz="4" w:space="0" w:color="auto"/>
            </w:tcBorders>
            <w:hideMark/>
          </w:tcPr>
          <w:p w:rsidR="004F32B2" w:rsidRDefault="004F32B2" w:rsidP="004F32B2">
            <w:pPr>
              <w:rPr>
                <w:rFonts w:eastAsia="Calibri"/>
                <w:noProof/>
                <w:szCs w:val="24"/>
                <w:lang w:val="en-US" w:eastAsia="en-GB"/>
              </w:rPr>
            </w:pPr>
            <w:r>
              <w:rPr>
                <w:rFonts w:eastAsia="Calibri"/>
                <w:noProof/>
                <w:szCs w:val="24"/>
                <w:lang w:val="en-US" w:eastAsia="en-GB"/>
              </w:rPr>
              <w:t xml:space="preserve">Current version </w:t>
            </w:r>
          </w:p>
        </w:tc>
        <w:tc>
          <w:tcPr>
            <w:tcW w:w="4644" w:type="dxa"/>
            <w:tcBorders>
              <w:top w:val="single" w:sz="4" w:space="0" w:color="auto"/>
              <w:left w:val="single" w:sz="4" w:space="0" w:color="auto"/>
              <w:bottom w:val="single" w:sz="4" w:space="0" w:color="auto"/>
              <w:right w:val="single" w:sz="4" w:space="0" w:color="auto"/>
            </w:tcBorders>
          </w:tcPr>
          <w:p w:rsidR="004F32B2" w:rsidRDefault="004F32B2" w:rsidP="004F32B2">
            <w:pPr>
              <w:rPr>
                <w:rFonts w:eastAsia="Calibri"/>
                <w:noProof/>
                <w:szCs w:val="24"/>
                <w:lang w:val="en-US" w:eastAsia="en-GB"/>
              </w:rPr>
            </w:pPr>
          </w:p>
        </w:tc>
      </w:tr>
    </w:tbl>
    <w:p w:rsidR="004F32B2" w:rsidRDefault="004F32B2" w:rsidP="004F32B2">
      <w:pPr>
        <w:rPr>
          <w:rFonts w:eastAsia="Calibri"/>
          <w:noProof/>
          <w:szCs w:val="24"/>
          <w:lang w:eastAsia="en-GB"/>
        </w:rPr>
      </w:pPr>
    </w:p>
    <w:p w:rsidR="004F32B2" w:rsidRDefault="004F32B2" w:rsidP="004F32B2">
      <w:pPr>
        <w:spacing w:after="0"/>
        <w:rPr>
          <w:rFonts w:eastAsia="Calibri"/>
          <w:noProof/>
          <w:sz w:val="20"/>
          <w:szCs w:val="20"/>
          <w:lang w:eastAsia="en-GB"/>
        </w:rPr>
        <w:sectPr w:rsidR="004F32B2" w:rsidSect="004F32B2">
          <w:pgSz w:w="11907" w:h="16839"/>
          <w:pgMar w:top="1134" w:right="1134" w:bottom="1134" w:left="1134" w:header="567" w:footer="567" w:gutter="0"/>
          <w:cols w:space="720"/>
          <w:docGrid w:linePitch="326"/>
        </w:sectPr>
      </w:pPr>
    </w:p>
    <w:p w:rsidR="004F32B2" w:rsidRDefault="004F32B2" w:rsidP="004F32B2">
      <w:pPr>
        <w:spacing w:after="240"/>
        <w:rPr>
          <w:rFonts w:eastAsia="Calibri"/>
          <w:b/>
          <w:noProof/>
          <w:szCs w:val="20"/>
          <w:u w:val="single"/>
          <w:lang w:eastAsia="en-GB"/>
        </w:rPr>
      </w:pPr>
      <w:r>
        <w:rPr>
          <w:rFonts w:eastAsia="Calibri"/>
          <w:b/>
          <w:noProof/>
          <w:szCs w:val="20"/>
          <w:u w:val="single"/>
          <w:lang w:eastAsia="en-GB"/>
        </w:rPr>
        <w:lastRenderedPageBreak/>
        <w:t>A.</w:t>
      </w:r>
      <w:r>
        <w:rPr>
          <w:rFonts w:eastAsia="Calibri"/>
          <w:b/>
          <w:noProof/>
          <w:szCs w:val="20"/>
          <w:u w:val="single"/>
          <w:lang w:eastAsia="en-GB"/>
        </w:rPr>
        <w:tab/>
        <w:t xml:space="preserve">Summary of the main elements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808"/>
        <w:gridCol w:w="1313"/>
        <w:gridCol w:w="1313"/>
        <w:gridCol w:w="1343"/>
        <w:gridCol w:w="804"/>
        <w:gridCol w:w="1396"/>
        <w:gridCol w:w="804"/>
        <w:gridCol w:w="1440"/>
        <w:gridCol w:w="1635"/>
        <w:gridCol w:w="1224"/>
        <w:gridCol w:w="1694"/>
      </w:tblGrid>
      <w:tr w:rsidR="004F32B2" w:rsidTr="004F32B2">
        <w:tc>
          <w:tcPr>
            <w:tcW w:w="342" w:type="pct"/>
            <w:tcBorders>
              <w:top w:val="single" w:sz="4" w:space="0" w:color="auto"/>
              <w:left w:val="single" w:sz="4" w:space="0" w:color="auto"/>
              <w:bottom w:val="single" w:sz="4" w:space="0" w:color="auto"/>
              <w:right w:val="single" w:sz="4" w:space="0" w:color="auto"/>
            </w:tcBorders>
            <w:hideMark/>
          </w:tcPr>
          <w:p w:rsidR="004F32B2" w:rsidRDefault="004F32B2" w:rsidP="004F32B2">
            <w:pPr>
              <w:jc w:val="center"/>
              <w:rPr>
                <w:rFonts w:eastAsia="Calibri"/>
                <w:b/>
                <w:noProof/>
                <w:sz w:val="18"/>
                <w:szCs w:val="18"/>
                <w:lang w:val="en-US" w:eastAsia="en-GB"/>
              </w:rPr>
            </w:pPr>
            <w:r>
              <w:rPr>
                <w:rFonts w:eastAsia="Calibri"/>
                <w:b/>
                <w:noProof/>
                <w:sz w:val="18"/>
                <w:szCs w:val="18"/>
                <w:lang w:val="en-US" w:eastAsia="en-GB"/>
              </w:rPr>
              <w:t xml:space="preserve">Priority </w:t>
            </w:r>
          </w:p>
        </w:tc>
        <w:tc>
          <w:tcPr>
            <w:tcW w:w="273" w:type="pct"/>
            <w:tcBorders>
              <w:top w:val="single" w:sz="4" w:space="0" w:color="auto"/>
              <w:left w:val="single" w:sz="4" w:space="0" w:color="auto"/>
              <w:bottom w:val="single" w:sz="4" w:space="0" w:color="auto"/>
              <w:right w:val="single" w:sz="4" w:space="0" w:color="auto"/>
            </w:tcBorders>
            <w:hideMark/>
          </w:tcPr>
          <w:p w:rsidR="004F32B2" w:rsidRDefault="004F32B2" w:rsidP="004F32B2">
            <w:pPr>
              <w:jc w:val="center"/>
              <w:rPr>
                <w:rFonts w:eastAsia="Calibri"/>
                <w:b/>
                <w:noProof/>
                <w:sz w:val="18"/>
                <w:szCs w:val="18"/>
                <w:lang w:val="en-US" w:eastAsia="en-GB"/>
              </w:rPr>
            </w:pPr>
            <w:r>
              <w:rPr>
                <w:rFonts w:eastAsia="Calibri"/>
                <w:b/>
                <w:noProof/>
                <w:sz w:val="18"/>
                <w:szCs w:val="18"/>
                <w:lang w:val="en-US" w:eastAsia="en-GB"/>
              </w:rPr>
              <w:t>Fund</w:t>
            </w:r>
          </w:p>
        </w:tc>
        <w:tc>
          <w:tcPr>
            <w:tcW w:w="444" w:type="pct"/>
            <w:tcBorders>
              <w:top w:val="single" w:sz="4" w:space="0" w:color="auto"/>
              <w:left w:val="single" w:sz="4" w:space="0" w:color="auto"/>
              <w:bottom w:val="single" w:sz="4" w:space="0" w:color="auto"/>
              <w:right w:val="single" w:sz="4" w:space="0" w:color="auto"/>
            </w:tcBorders>
            <w:hideMark/>
          </w:tcPr>
          <w:p w:rsidR="004F32B2" w:rsidRDefault="004F32B2" w:rsidP="004F32B2">
            <w:pPr>
              <w:jc w:val="center"/>
              <w:rPr>
                <w:rFonts w:eastAsia="Calibri"/>
                <w:b/>
                <w:noProof/>
                <w:sz w:val="18"/>
                <w:szCs w:val="18"/>
                <w:lang w:val="en-US" w:eastAsia="en-GB"/>
              </w:rPr>
            </w:pPr>
            <w:r>
              <w:rPr>
                <w:rFonts w:eastAsia="Calibri"/>
                <w:b/>
                <w:noProof/>
                <w:sz w:val="18"/>
                <w:szCs w:val="18"/>
                <w:lang w:val="en-US" w:eastAsia="en-GB"/>
              </w:rPr>
              <w:t xml:space="preserve">Specific objective </w:t>
            </w:r>
          </w:p>
        </w:tc>
        <w:tc>
          <w:tcPr>
            <w:tcW w:w="444" w:type="pct"/>
            <w:tcBorders>
              <w:top w:val="single" w:sz="4" w:space="0" w:color="auto"/>
              <w:left w:val="single" w:sz="4" w:space="0" w:color="auto"/>
              <w:bottom w:val="single" w:sz="4" w:space="0" w:color="auto"/>
              <w:right w:val="single" w:sz="4" w:space="0" w:color="auto"/>
            </w:tcBorders>
            <w:hideMark/>
          </w:tcPr>
          <w:p w:rsidR="004F32B2" w:rsidRDefault="004F32B2" w:rsidP="004F32B2">
            <w:pPr>
              <w:jc w:val="center"/>
              <w:rPr>
                <w:rFonts w:eastAsia="Calibri"/>
                <w:b/>
                <w:noProof/>
                <w:sz w:val="18"/>
                <w:szCs w:val="18"/>
                <w:lang w:val="en-US" w:eastAsia="en-GB"/>
              </w:rPr>
            </w:pPr>
            <w:r>
              <w:rPr>
                <w:rFonts w:eastAsia="Calibri"/>
                <w:b/>
                <w:noProof/>
                <w:sz w:val="18"/>
                <w:szCs w:val="18"/>
                <w:lang w:val="en-US" w:eastAsia="en-GB"/>
              </w:rPr>
              <w:t xml:space="preserve">Category of region </w:t>
            </w:r>
          </w:p>
        </w:tc>
        <w:tc>
          <w:tcPr>
            <w:tcW w:w="454" w:type="pct"/>
            <w:tcBorders>
              <w:top w:val="single" w:sz="4" w:space="0" w:color="auto"/>
              <w:left w:val="single" w:sz="4" w:space="0" w:color="auto"/>
              <w:bottom w:val="single" w:sz="4" w:space="0" w:color="auto"/>
              <w:right w:val="single" w:sz="4" w:space="0" w:color="auto"/>
            </w:tcBorders>
            <w:hideMark/>
          </w:tcPr>
          <w:p w:rsidR="004F32B2" w:rsidRDefault="004F32B2" w:rsidP="004F32B2">
            <w:pPr>
              <w:jc w:val="center"/>
              <w:rPr>
                <w:rFonts w:eastAsia="Calibri"/>
                <w:b/>
                <w:noProof/>
                <w:sz w:val="18"/>
                <w:szCs w:val="18"/>
                <w:lang w:val="en-US" w:eastAsia="en-GB"/>
              </w:rPr>
            </w:pPr>
            <w:r>
              <w:rPr>
                <w:rFonts w:eastAsia="Calibri"/>
                <w:b/>
                <w:noProof/>
                <w:sz w:val="18"/>
                <w:szCs w:val="18"/>
                <w:lang w:val="en-US" w:eastAsia="en-GB"/>
              </w:rPr>
              <w:t>Estimated proportion of the total financial allocation within the priority to which the SCO will be applied in % (estimate)</w:t>
            </w:r>
          </w:p>
        </w:tc>
        <w:tc>
          <w:tcPr>
            <w:tcW w:w="744" w:type="pct"/>
            <w:gridSpan w:val="2"/>
            <w:tcBorders>
              <w:top w:val="single" w:sz="4" w:space="0" w:color="auto"/>
              <w:left w:val="single" w:sz="4" w:space="0" w:color="auto"/>
              <w:bottom w:val="single" w:sz="4" w:space="0" w:color="auto"/>
              <w:right w:val="single" w:sz="4" w:space="0" w:color="auto"/>
            </w:tcBorders>
            <w:hideMark/>
          </w:tcPr>
          <w:p w:rsidR="004F32B2" w:rsidRDefault="004F32B2" w:rsidP="004F32B2">
            <w:pPr>
              <w:jc w:val="center"/>
              <w:rPr>
                <w:rFonts w:eastAsia="Calibri"/>
                <w:b/>
                <w:noProof/>
                <w:sz w:val="18"/>
                <w:szCs w:val="18"/>
                <w:lang w:val="en-US" w:eastAsia="en-GB"/>
              </w:rPr>
            </w:pPr>
            <w:r>
              <w:rPr>
                <w:rFonts w:eastAsia="Calibri"/>
                <w:b/>
                <w:noProof/>
                <w:sz w:val="18"/>
                <w:szCs w:val="18"/>
                <w:lang w:val="en-US" w:eastAsia="en-GB"/>
              </w:rPr>
              <w:t>Type(s) of operation</w:t>
            </w:r>
          </w:p>
        </w:tc>
        <w:tc>
          <w:tcPr>
            <w:tcW w:w="759" w:type="pct"/>
            <w:gridSpan w:val="2"/>
            <w:tcBorders>
              <w:top w:val="single" w:sz="4" w:space="0" w:color="auto"/>
              <w:left w:val="single" w:sz="4" w:space="0" w:color="auto"/>
              <w:bottom w:val="single" w:sz="4" w:space="0" w:color="auto"/>
              <w:right w:val="single" w:sz="4" w:space="0" w:color="auto"/>
            </w:tcBorders>
            <w:hideMark/>
          </w:tcPr>
          <w:p w:rsidR="004F32B2" w:rsidRDefault="004F32B2" w:rsidP="004F32B2">
            <w:pPr>
              <w:jc w:val="center"/>
              <w:rPr>
                <w:rFonts w:eastAsia="Calibri"/>
                <w:b/>
                <w:noProof/>
                <w:sz w:val="18"/>
                <w:szCs w:val="18"/>
                <w:lang w:val="en-US" w:eastAsia="en-GB"/>
              </w:rPr>
            </w:pPr>
            <w:r>
              <w:rPr>
                <w:rFonts w:eastAsia="Calibri"/>
                <w:b/>
                <w:noProof/>
                <w:sz w:val="18"/>
                <w:szCs w:val="18"/>
                <w:lang w:val="en-US" w:eastAsia="en-GB"/>
              </w:rPr>
              <w:t>Corresponding indicator name(s)</w:t>
            </w:r>
          </w:p>
        </w:tc>
        <w:tc>
          <w:tcPr>
            <w:tcW w:w="553" w:type="pct"/>
            <w:tcBorders>
              <w:top w:val="single" w:sz="4" w:space="0" w:color="auto"/>
              <w:left w:val="single" w:sz="4" w:space="0" w:color="auto"/>
              <w:bottom w:val="single" w:sz="4" w:space="0" w:color="auto"/>
              <w:right w:val="single" w:sz="4" w:space="0" w:color="auto"/>
            </w:tcBorders>
            <w:hideMark/>
          </w:tcPr>
          <w:p w:rsidR="004F32B2" w:rsidRDefault="004F32B2" w:rsidP="004F32B2">
            <w:pPr>
              <w:jc w:val="center"/>
              <w:rPr>
                <w:rFonts w:eastAsia="Calibri"/>
                <w:b/>
                <w:noProof/>
                <w:sz w:val="18"/>
                <w:szCs w:val="18"/>
                <w:lang w:val="en-US" w:eastAsia="en-GB"/>
              </w:rPr>
            </w:pPr>
            <w:r>
              <w:rPr>
                <w:rFonts w:eastAsia="Calibri"/>
                <w:b/>
                <w:noProof/>
                <w:sz w:val="18"/>
                <w:szCs w:val="18"/>
                <w:lang w:val="en-US" w:eastAsia="en-GB"/>
              </w:rPr>
              <w:t>Unit of measurement for the indicator</w:t>
            </w:r>
          </w:p>
        </w:tc>
        <w:tc>
          <w:tcPr>
            <w:tcW w:w="414" w:type="pct"/>
            <w:tcBorders>
              <w:top w:val="single" w:sz="4" w:space="0" w:color="auto"/>
              <w:left w:val="single" w:sz="4" w:space="0" w:color="auto"/>
              <w:bottom w:val="single" w:sz="4" w:space="0" w:color="auto"/>
              <w:right w:val="single" w:sz="4" w:space="0" w:color="auto"/>
            </w:tcBorders>
            <w:hideMark/>
          </w:tcPr>
          <w:p w:rsidR="004F32B2" w:rsidRDefault="004F32B2" w:rsidP="004F32B2">
            <w:pPr>
              <w:jc w:val="center"/>
              <w:rPr>
                <w:rFonts w:eastAsia="Calibri"/>
                <w:b/>
                <w:noProof/>
                <w:sz w:val="18"/>
                <w:szCs w:val="18"/>
                <w:lang w:val="en-US" w:eastAsia="en-GB"/>
              </w:rPr>
            </w:pPr>
            <w:r>
              <w:rPr>
                <w:rFonts w:eastAsia="Calibri"/>
                <w:b/>
                <w:noProof/>
                <w:sz w:val="18"/>
                <w:szCs w:val="18"/>
                <w:lang w:val="en-US" w:eastAsia="en-GB"/>
              </w:rPr>
              <w:t>Type of SCO (standard scale of unit costs, lump sums or flat rates)</w:t>
            </w:r>
          </w:p>
        </w:tc>
        <w:tc>
          <w:tcPr>
            <w:tcW w:w="573"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b/>
                <w:noProof/>
                <w:sz w:val="18"/>
                <w:szCs w:val="18"/>
                <w:lang w:val="en-US" w:eastAsia="en-GB"/>
              </w:rPr>
            </w:pPr>
            <w:r>
              <w:rPr>
                <w:rFonts w:eastAsia="Calibri"/>
                <w:b/>
                <w:noProof/>
                <w:sz w:val="18"/>
                <w:szCs w:val="18"/>
                <w:lang w:val="en-US" w:eastAsia="en-GB"/>
              </w:rPr>
              <w:t>Corresponding standard scales of unit costs, lump sums or flat rates</w:t>
            </w:r>
          </w:p>
          <w:p w:rsidR="004F32B2" w:rsidRDefault="004F32B2" w:rsidP="004F32B2">
            <w:pPr>
              <w:jc w:val="center"/>
              <w:rPr>
                <w:rFonts w:eastAsia="Calibri"/>
                <w:b/>
                <w:strike/>
                <w:noProof/>
                <w:sz w:val="18"/>
                <w:szCs w:val="18"/>
                <w:lang w:val="en-US" w:eastAsia="en-GB"/>
              </w:rPr>
            </w:pPr>
          </w:p>
        </w:tc>
      </w:tr>
      <w:tr w:rsidR="004F32B2" w:rsidTr="004F32B2">
        <w:tc>
          <w:tcPr>
            <w:tcW w:w="342"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273"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444"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444"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454"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272" w:type="pct"/>
            <w:tcBorders>
              <w:top w:val="single" w:sz="4" w:space="0" w:color="auto"/>
              <w:left w:val="single" w:sz="4" w:space="0" w:color="auto"/>
              <w:bottom w:val="single" w:sz="4" w:space="0" w:color="auto"/>
              <w:right w:val="single" w:sz="4" w:space="0" w:color="auto"/>
            </w:tcBorders>
            <w:hideMark/>
          </w:tcPr>
          <w:p w:rsidR="004F32B2" w:rsidRDefault="004F32B2" w:rsidP="004F32B2">
            <w:pPr>
              <w:jc w:val="center"/>
              <w:rPr>
                <w:rFonts w:eastAsia="Calibri"/>
                <w:noProof/>
                <w:sz w:val="18"/>
                <w:szCs w:val="18"/>
                <w:lang w:val="en-US" w:eastAsia="en-GB"/>
              </w:rPr>
            </w:pPr>
            <w:r>
              <w:rPr>
                <w:rFonts w:eastAsia="Calibri"/>
                <w:noProof/>
                <w:sz w:val="18"/>
                <w:szCs w:val="18"/>
                <w:lang w:val="en-US" w:eastAsia="en-GB"/>
              </w:rPr>
              <w:t>Code</w:t>
            </w:r>
          </w:p>
        </w:tc>
        <w:tc>
          <w:tcPr>
            <w:tcW w:w="472" w:type="pct"/>
            <w:tcBorders>
              <w:top w:val="single" w:sz="4" w:space="0" w:color="auto"/>
              <w:left w:val="single" w:sz="4" w:space="0" w:color="auto"/>
              <w:bottom w:val="single" w:sz="4" w:space="0" w:color="auto"/>
              <w:right w:val="single" w:sz="4" w:space="0" w:color="auto"/>
            </w:tcBorders>
            <w:hideMark/>
          </w:tcPr>
          <w:p w:rsidR="004F32B2" w:rsidRDefault="004F32B2" w:rsidP="004F32B2">
            <w:pPr>
              <w:jc w:val="center"/>
              <w:rPr>
                <w:rFonts w:eastAsia="Calibri"/>
                <w:noProof/>
                <w:sz w:val="18"/>
                <w:szCs w:val="18"/>
                <w:lang w:val="en-US" w:eastAsia="en-GB"/>
              </w:rPr>
            </w:pPr>
            <w:r>
              <w:rPr>
                <w:rFonts w:eastAsia="Calibri"/>
                <w:noProof/>
                <w:sz w:val="18"/>
                <w:szCs w:val="18"/>
                <w:lang w:val="en-US" w:eastAsia="en-GB"/>
              </w:rPr>
              <w:t>Description</w:t>
            </w:r>
          </w:p>
        </w:tc>
        <w:tc>
          <w:tcPr>
            <w:tcW w:w="272" w:type="pct"/>
            <w:tcBorders>
              <w:top w:val="single" w:sz="4" w:space="0" w:color="auto"/>
              <w:left w:val="single" w:sz="4" w:space="0" w:color="auto"/>
              <w:bottom w:val="single" w:sz="4" w:space="0" w:color="auto"/>
              <w:right w:val="single" w:sz="4" w:space="0" w:color="auto"/>
            </w:tcBorders>
            <w:hideMark/>
          </w:tcPr>
          <w:p w:rsidR="004F32B2" w:rsidRDefault="004F32B2" w:rsidP="004F32B2">
            <w:pPr>
              <w:jc w:val="center"/>
              <w:rPr>
                <w:rFonts w:eastAsia="Calibri"/>
                <w:noProof/>
                <w:sz w:val="18"/>
                <w:szCs w:val="18"/>
                <w:lang w:val="en-US" w:eastAsia="en-GB"/>
              </w:rPr>
            </w:pPr>
            <w:r>
              <w:rPr>
                <w:rFonts w:eastAsia="Calibri"/>
                <w:noProof/>
                <w:sz w:val="18"/>
                <w:szCs w:val="18"/>
                <w:lang w:val="en-US" w:eastAsia="en-GB"/>
              </w:rPr>
              <w:t xml:space="preserve">Code </w:t>
            </w:r>
          </w:p>
        </w:tc>
        <w:tc>
          <w:tcPr>
            <w:tcW w:w="487" w:type="pct"/>
            <w:tcBorders>
              <w:top w:val="single" w:sz="4" w:space="0" w:color="auto"/>
              <w:left w:val="single" w:sz="4" w:space="0" w:color="auto"/>
              <w:bottom w:val="single" w:sz="4" w:space="0" w:color="auto"/>
              <w:right w:val="single" w:sz="4" w:space="0" w:color="auto"/>
            </w:tcBorders>
            <w:hideMark/>
          </w:tcPr>
          <w:p w:rsidR="004F32B2" w:rsidRDefault="004F32B2" w:rsidP="004F32B2">
            <w:pPr>
              <w:jc w:val="center"/>
              <w:rPr>
                <w:rFonts w:eastAsia="Calibri"/>
                <w:noProof/>
                <w:sz w:val="18"/>
                <w:szCs w:val="18"/>
                <w:lang w:val="en-US" w:eastAsia="en-GB"/>
              </w:rPr>
            </w:pPr>
            <w:r>
              <w:rPr>
                <w:rFonts w:eastAsia="Calibri"/>
                <w:noProof/>
                <w:sz w:val="18"/>
                <w:szCs w:val="18"/>
                <w:lang w:val="en-US" w:eastAsia="en-GB"/>
              </w:rPr>
              <w:t>Description</w:t>
            </w:r>
          </w:p>
        </w:tc>
        <w:tc>
          <w:tcPr>
            <w:tcW w:w="553"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414"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573"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r>
      <w:tr w:rsidR="004F32B2" w:rsidTr="004F32B2">
        <w:tc>
          <w:tcPr>
            <w:tcW w:w="342"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b/>
                <w:i/>
                <w:noProof/>
                <w:sz w:val="18"/>
                <w:szCs w:val="18"/>
                <w:lang w:val="en-US" w:eastAsia="en-GB"/>
              </w:rPr>
            </w:pPr>
          </w:p>
        </w:tc>
        <w:tc>
          <w:tcPr>
            <w:tcW w:w="273"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b/>
                <w:i/>
                <w:noProof/>
                <w:sz w:val="18"/>
                <w:szCs w:val="18"/>
                <w:lang w:val="en-US" w:eastAsia="en-GB"/>
              </w:rPr>
            </w:pPr>
          </w:p>
        </w:tc>
        <w:tc>
          <w:tcPr>
            <w:tcW w:w="444"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b/>
                <w:i/>
                <w:noProof/>
                <w:sz w:val="18"/>
                <w:szCs w:val="18"/>
                <w:lang w:val="en-US" w:eastAsia="en-GB"/>
              </w:rPr>
            </w:pPr>
          </w:p>
        </w:tc>
        <w:tc>
          <w:tcPr>
            <w:tcW w:w="444"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b/>
                <w:i/>
                <w:noProof/>
                <w:sz w:val="18"/>
                <w:szCs w:val="18"/>
                <w:lang w:val="en-US" w:eastAsia="en-GB"/>
              </w:rPr>
            </w:pPr>
          </w:p>
        </w:tc>
        <w:tc>
          <w:tcPr>
            <w:tcW w:w="454"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b/>
                <w:i/>
                <w:noProof/>
                <w:sz w:val="18"/>
                <w:szCs w:val="18"/>
                <w:lang w:val="en-US" w:eastAsia="en-GB"/>
              </w:rPr>
            </w:pPr>
          </w:p>
        </w:tc>
        <w:tc>
          <w:tcPr>
            <w:tcW w:w="272"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i/>
                <w:noProof/>
                <w:sz w:val="18"/>
                <w:szCs w:val="18"/>
                <w:lang w:val="en-US" w:eastAsia="en-GB"/>
              </w:rPr>
            </w:pPr>
          </w:p>
        </w:tc>
        <w:tc>
          <w:tcPr>
            <w:tcW w:w="472"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i/>
                <w:noProof/>
                <w:sz w:val="18"/>
                <w:szCs w:val="18"/>
                <w:lang w:val="en-US" w:eastAsia="en-GB"/>
              </w:rPr>
            </w:pPr>
          </w:p>
        </w:tc>
        <w:tc>
          <w:tcPr>
            <w:tcW w:w="272"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i/>
                <w:noProof/>
                <w:sz w:val="18"/>
                <w:szCs w:val="18"/>
                <w:lang w:val="en-US" w:eastAsia="en-GB"/>
              </w:rPr>
            </w:pPr>
          </w:p>
        </w:tc>
        <w:tc>
          <w:tcPr>
            <w:tcW w:w="487"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i/>
                <w:noProof/>
                <w:sz w:val="18"/>
                <w:szCs w:val="18"/>
                <w:lang w:val="en-US" w:eastAsia="en-GB"/>
              </w:rPr>
            </w:pPr>
          </w:p>
        </w:tc>
        <w:tc>
          <w:tcPr>
            <w:tcW w:w="553"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i/>
                <w:noProof/>
                <w:sz w:val="18"/>
                <w:szCs w:val="18"/>
                <w:lang w:val="en-US" w:eastAsia="en-GB"/>
              </w:rPr>
            </w:pPr>
          </w:p>
        </w:tc>
        <w:tc>
          <w:tcPr>
            <w:tcW w:w="414"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i/>
                <w:noProof/>
                <w:sz w:val="18"/>
                <w:szCs w:val="18"/>
                <w:lang w:val="en-US" w:eastAsia="en-GB"/>
              </w:rPr>
            </w:pPr>
          </w:p>
        </w:tc>
        <w:tc>
          <w:tcPr>
            <w:tcW w:w="573"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i/>
                <w:noProof/>
                <w:sz w:val="18"/>
                <w:szCs w:val="18"/>
                <w:lang w:val="en-US" w:eastAsia="en-GB"/>
              </w:rPr>
            </w:pPr>
          </w:p>
        </w:tc>
      </w:tr>
      <w:tr w:rsidR="004F32B2" w:rsidTr="004F32B2">
        <w:tc>
          <w:tcPr>
            <w:tcW w:w="342"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b/>
                <w:i/>
                <w:noProof/>
                <w:sz w:val="18"/>
                <w:szCs w:val="18"/>
                <w:lang w:val="en-US" w:eastAsia="en-GB"/>
              </w:rPr>
            </w:pPr>
          </w:p>
        </w:tc>
        <w:tc>
          <w:tcPr>
            <w:tcW w:w="273"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b/>
                <w:i/>
                <w:noProof/>
                <w:sz w:val="18"/>
                <w:szCs w:val="18"/>
                <w:lang w:val="en-US" w:eastAsia="en-GB"/>
              </w:rPr>
            </w:pPr>
          </w:p>
        </w:tc>
        <w:tc>
          <w:tcPr>
            <w:tcW w:w="444"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b/>
                <w:i/>
                <w:noProof/>
                <w:sz w:val="18"/>
                <w:szCs w:val="18"/>
                <w:lang w:val="en-US" w:eastAsia="en-GB"/>
              </w:rPr>
            </w:pPr>
          </w:p>
        </w:tc>
        <w:tc>
          <w:tcPr>
            <w:tcW w:w="444"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b/>
                <w:i/>
                <w:noProof/>
                <w:sz w:val="18"/>
                <w:szCs w:val="18"/>
                <w:lang w:val="en-US" w:eastAsia="en-GB"/>
              </w:rPr>
            </w:pPr>
          </w:p>
        </w:tc>
        <w:tc>
          <w:tcPr>
            <w:tcW w:w="454"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b/>
                <w:i/>
                <w:noProof/>
                <w:sz w:val="18"/>
                <w:szCs w:val="18"/>
                <w:lang w:val="en-US" w:eastAsia="en-GB"/>
              </w:rPr>
            </w:pPr>
          </w:p>
        </w:tc>
        <w:tc>
          <w:tcPr>
            <w:tcW w:w="272"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i/>
                <w:noProof/>
                <w:sz w:val="18"/>
                <w:szCs w:val="18"/>
                <w:lang w:val="en-US" w:eastAsia="en-GB"/>
              </w:rPr>
            </w:pPr>
          </w:p>
        </w:tc>
        <w:tc>
          <w:tcPr>
            <w:tcW w:w="472"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i/>
                <w:noProof/>
                <w:sz w:val="18"/>
                <w:szCs w:val="18"/>
                <w:lang w:val="en-US" w:eastAsia="en-GB"/>
              </w:rPr>
            </w:pPr>
          </w:p>
        </w:tc>
        <w:tc>
          <w:tcPr>
            <w:tcW w:w="272"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i/>
                <w:noProof/>
                <w:sz w:val="18"/>
                <w:szCs w:val="18"/>
                <w:lang w:val="en-US" w:eastAsia="en-GB"/>
              </w:rPr>
            </w:pPr>
          </w:p>
        </w:tc>
        <w:tc>
          <w:tcPr>
            <w:tcW w:w="487"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i/>
                <w:noProof/>
                <w:sz w:val="18"/>
                <w:szCs w:val="18"/>
                <w:lang w:val="en-US" w:eastAsia="en-GB"/>
              </w:rPr>
            </w:pPr>
          </w:p>
        </w:tc>
        <w:tc>
          <w:tcPr>
            <w:tcW w:w="553"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i/>
                <w:noProof/>
                <w:sz w:val="18"/>
                <w:szCs w:val="18"/>
                <w:lang w:val="en-US" w:eastAsia="en-GB"/>
              </w:rPr>
            </w:pPr>
          </w:p>
        </w:tc>
        <w:tc>
          <w:tcPr>
            <w:tcW w:w="414"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i/>
                <w:noProof/>
                <w:sz w:val="18"/>
                <w:szCs w:val="18"/>
                <w:lang w:val="en-US" w:eastAsia="en-GB"/>
              </w:rPr>
            </w:pPr>
          </w:p>
        </w:tc>
        <w:tc>
          <w:tcPr>
            <w:tcW w:w="573"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i/>
                <w:noProof/>
                <w:sz w:val="18"/>
                <w:szCs w:val="18"/>
                <w:lang w:val="en-US" w:eastAsia="en-GB"/>
              </w:rPr>
            </w:pPr>
          </w:p>
        </w:tc>
      </w:tr>
      <w:tr w:rsidR="004F32B2" w:rsidTr="004F32B2">
        <w:tc>
          <w:tcPr>
            <w:tcW w:w="342"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273"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444"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444"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454"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272"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472"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272"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487"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553"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414"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573"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r>
      <w:tr w:rsidR="004F32B2" w:rsidTr="004F32B2">
        <w:tc>
          <w:tcPr>
            <w:tcW w:w="342"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273"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444"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444"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454"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272"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472"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272"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487"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553"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414"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573"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r>
      <w:tr w:rsidR="004F32B2" w:rsidTr="004F32B2">
        <w:tc>
          <w:tcPr>
            <w:tcW w:w="342"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273"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444"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444"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454"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272"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472"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272"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487"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553"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414"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573"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r>
    </w:tbl>
    <w:p w:rsidR="004F32B2" w:rsidRDefault="004F32B2" w:rsidP="004F32B2">
      <w:pPr>
        <w:spacing w:after="0"/>
        <w:rPr>
          <w:rFonts w:eastAsia="Calibri"/>
          <w:noProof/>
          <w:szCs w:val="20"/>
          <w:lang w:eastAsia="en-GB"/>
        </w:rPr>
        <w:sectPr w:rsidR="004F32B2" w:rsidSect="004F32B2">
          <w:headerReference w:type="default" r:id="rId31"/>
          <w:footerReference w:type="default" r:id="rId32"/>
          <w:pgSz w:w="16838" w:h="11906" w:orient="landscape"/>
          <w:pgMar w:top="1134" w:right="1134" w:bottom="1134" w:left="1134" w:header="567" w:footer="567" w:gutter="0"/>
          <w:cols w:space="720"/>
          <w:docGrid w:linePitch="326"/>
        </w:sectPr>
      </w:pPr>
    </w:p>
    <w:p w:rsidR="004F32B2" w:rsidRDefault="004F32B2" w:rsidP="004F32B2">
      <w:pPr>
        <w:rPr>
          <w:rFonts w:eastAsia="Calibri"/>
          <w:b/>
          <w:noProof/>
          <w:szCs w:val="20"/>
          <w:u w:val="single"/>
          <w:lang w:eastAsia="en-GB"/>
        </w:rPr>
      </w:pPr>
      <w:r>
        <w:rPr>
          <w:rFonts w:eastAsia="Calibri"/>
          <w:b/>
          <w:noProof/>
          <w:szCs w:val="20"/>
          <w:u w:val="single"/>
          <w:lang w:eastAsia="en-GB"/>
        </w:rPr>
        <w:lastRenderedPageBreak/>
        <w:t>B. Details by type of operation (to be completed for every type of operation)</w:t>
      </w:r>
    </w:p>
    <w:p w:rsidR="004F32B2" w:rsidRDefault="004F32B2" w:rsidP="004F32B2">
      <w:pPr>
        <w:rPr>
          <w:rFonts w:eastAsia="Calibri"/>
          <w:b/>
          <w:noProof/>
          <w:szCs w:val="20"/>
          <w:lang w:eastAsia="en-GB"/>
        </w:rPr>
      </w:pPr>
      <w:r>
        <w:rPr>
          <w:rFonts w:eastAsia="Calibri"/>
          <w:b/>
          <w:noProof/>
          <w:szCs w:val="20"/>
          <w:lang w:eastAsia="en-GB"/>
        </w:rPr>
        <w:t xml:space="preserve">Did the managing authority receive support from an external company to set out the simplified costs below? </w:t>
      </w:r>
    </w:p>
    <w:p w:rsidR="004F32B2" w:rsidRDefault="004F32B2" w:rsidP="004F32B2">
      <w:pPr>
        <w:rPr>
          <w:rFonts w:eastAsia="Calibri"/>
          <w:b/>
          <w:noProof/>
          <w:szCs w:val="20"/>
          <w:lang w:eastAsia="en-GB"/>
        </w:rPr>
      </w:pPr>
      <w:r>
        <w:rPr>
          <w:rFonts w:eastAsia="Calibri"/>
          <w:b/>
          <w:noProof/>
          <w:szCs w:val="20"/>
          <w:lang w:eastAsia="en-GB"/>
        </w:rPr>
        <w:t xml:space="preserve">If so, please specify which external company: </w:t>
      </w:r>
      <w:r>
        <w:rPr>
          <w:rFonts w:eastAsia="Calibri"/>
          <w:b/>
          <w:noProof/>
          <w:szCs w:val="20"/>
          <w:lang w:eastAsia="en-GB"/>
        </w:rPr>
        <w:tab/>
      </w:r>
      <w:r>
        <w:rPr>
          <w:rFonts w:eastAsia="Calibri"/>
          <w:b/>
          <w:noProof/>
          <w:szCs w:val="20"/>
          <w:bdr w:val="single" w:sz="4" w:space="0" w:color="auto" w:frame="1"/>
          <w:lang w:eastAsia="en-GB"/>
        </w:rPr>
        <w:t>Yes/No – Name of external company</w:t>
      </w:r>
    </w:p>
    <w:p w:rsidR="004F32B2" w:rsidRDefault="004F32B2" w:rsidP="004F32B2">
      <w:pPr>
        <w:rPr>
          <w:rFonts w:eastAsia="Calibri"/>
          <w:noProof/>
          <w:szCs w:val="20"/>
          <w:lang w:eastAsia="en-GB"/>
        </w:rPr>
      </w:pPr>
      <w:r>
        <w:rPr>
          <w:rFonts w:eastAsia="Calibri"/>
          <w:noProof/>
          <w:szCs w:val="20"/>
          <w:lang w:eastAsia="en-GB"/>
        </w:rPr>
        <w:t>Types of operation:</w:t>
      </w:r>
    </w:p>
    <w:tbl>
      <w:tblPr>
        <w:tblW w:w="908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5670"/>
      </w:tblGrid>
      <w:tr w:rsidR="004F32B2"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rsidR="004F32B2" w:rsidRDefault="004F32B2" w:rsidP="004F32B2">
            <w:pPr>
              <w:rPr>
                <w:rFonts w:eastAsia="Calibri"/>
                <w:bCs/>
                <w:noProof/>
                <w:szCs w:val="20"/>
                <w:lang w:val="en-US" w:eastAsia="en-GB"/>
              </w:rPr>
            </w:pPr>
            <w:r>
              <w:rPr>
                <w:rFonts w:eastAsia="Calibri"/>
                <w:bCs/>
                <w:noProof/>
                <w:szCs w:val="20"/>
                <w:lang w:val="en-US" w:eastAsia="en-GB"/>
              </w:rPr>
              <w:t xml:space="preserve">1.1. Description of the operation type </w:t>
            </w:r>
          </w:p>
        </w:tc>
        <w:tc>
          <w:tcPr>
            <w:tcW w:w="5670" w:type="dxa"/>
            <w:tcBorders>
              <w:top w:val="single" w:sz="4" w:space="0" w:color="auto"/>
              <w:left w:val="single" w:sz="4" w:space="0" w:color="auto"/>
              <w:bottom w:val="single" w:sz="4" w:space="0" w:color="auto"/>
              <w:right w:val="single" w:sz="4" w:space="0" w:color="auto"/>
            </w:tcBorders>
            <w:vAlign w:val="center"/>
          </w:tcPr>
          <w:p w:rsidR="004F32B2" w:rsidRDefault="004F32B2" w:rsidP="004F32B2">
            <w:pPr>
              <w:jc w:val="center"/>
              <w:rPr>
                <w:rFonts w:eastAsia="Calibri"/>
                <w:noProof/>
                <w:szCs w:val="20"/>
                <w:lang w:val="en-US" w:eastAsia="en-GB"/>
              </w:rPr>
            </w:pPr>
          </w:p>
        </w:tc>
      </w:tr>
      <w:tr w:rsidR="004F32B2"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rsidR="004F32B2" w:rsidRDefault="004F32B2" w:rsidP="004F32B2">
            <w:pPr>
              <w:rPr>
                <w:rFonts w:eastAsia="Calibri"/>
                <w:bCs/>
                <w:noProof/>
                <w:szCs w:val="20"/>
                <w:lang w:val="en-US" w:eastAsia="en-GB"/>
              </w:rPr>
            </w:pPr>
            <w:r>
              <w:rPr>
                <w:rFonts w:eastAsia="Calibri"/>
                <w:bCs/>
                <w:noProof/>
                <w:szCs w:val="20"/>
                <w:lang w:val="en-US" w:eastAsia="en-GB"/>
              </w:rPr>
              <w:t>1.2 specific objective</w:t>
            </w:r>
          </w:p>
        </w:tc>
        <w:tc>
          <w:tcPr>
            <w:tcW w:w="5670" w:type="dxa"/>
            <w:tcBorders>
              <w:top w:val="single" w:sz="4" w:space="0" w:color="auto"/>
              <w:left w:val="single" w:sz="4" w:space="0" w:color="auto"/>
              <w:bottom w:val="single" w:sz="4" w:space="0" w:color="auto"/>
              <w:right w:val="single" w:sz="4" w:space="0" w:color="auto"/>
            </w:tcBorders>
            <w:vAlign w:val="center"/>
          </w:tcPr>
          <w:p w:rsidR="004F32B2" w:rsidRDefault="004F32B2" w:rsidP="004F32B2">
            <w:pPr>
              <w:jc w:val="center"/>
              <w:rPr>
                <w:rFonts w:eastAsia="Calibri"/>
                <w:noProof/>
                <w:szCs w:val="20"/>
                <w:lang w:val="en-US" w:eastAsia="en-GB"/>
              </w:rPr>
            </w:pPr>
          </w:p>
          <w:p w:rsidR="004F32B2" w:rsidRDefault="004F32B2" w:rsidP="004F32B2">
            <w:pPr>
              <w:jc w:val="center"/>
              <w:rPr>
                <w:rFonts w:eastAsia="Calibri"/>
                <w:noProof/>
                <w:szCs w:val="20"/>
                <w:lang w:val="en-US" w:eastAsia="en-GB"/>
              </w:rPr>
            </w:pPr>
          </w:p>
          <w:p w:rsidR="004F32B2" w:rsidRDefault="004F32B2" w:rsidP="004F32B2">
            <w:pPr>
              <w:jc w:val="center"/>
              <w:rPr>
                <w:rFonts w:eastAsia="Calibri"/>
                <w:noProof/>
                <w:szCs w:val="20"/>
                <w:lang w:val="en-US" w:eastAsia="en-GB"/>
              </w:rPr>
            </w:pPr>
          </w:p>
        </w:tc>
      </w:tr>
      <w:tr w:rsidR="004F32B2"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rsidR="004F32B2" w:rsidRDefault="004F32B2" w:rsidP="004F32B2">
            <w:pPr>
              <w:rPr>
                <w:rFonts w:eastAsia="Calibri"/>
                <w:bCs/>
                <w:noProof/>
                <w:szCs w:val="20"/>
                <w:lang w:val="en-US" w:eastAsia="en-GB"/>
              </w:rPr>
            </w:pPr>
            <w:r>
              <w:rPr>
                <w:rFonts w:eastAsia="Calibri"/>
                <w:bCs/>
                <w:noProof/>
                <w:szCs w:val="20"/>
                <w:lang w:val="en-US" w:eastAsia="en-GB"/>
              </w:rPr>
              <w:t>1.3 Indicator name</w:t>
            </w:r>
            <w:r>
              <w:rPr>
                <w:rFonts w:eastAsia="Calibri"/>
                <w:bCs/>
                <w:noProof/>
                <w:szCs w:val="20"/>
                <w:vertAlign w:val="superscript"/>
                <w:lang w:val="en-US" w:eastAsia="en-GB"/>
              </w:rPr>
              <w:footnoteReference w:id="64"/>
            </w:r>
          </w:p>
        </w:tc>
        <w:tc>
          <w:tcPr>
            <w:tcW w:w="5670" w:type="dxa"/>
            <w:tcBorders>
              <w:top w:val="single" w:sz="4" w:space="0" w:color="auto"/>
              <w:left w:val="single" w:sz="4" w:space="0" w:color="auto"/>
              <w:bottom w:val="single" w:sz="4" w:space="0" w:color="auto"/>
              <w:right w:val="single" w:sz="4" w:space="0" w:color="auto"/>
            </w:tcBorders>
            <w:vAlign w:val="center"/>
          </w:tcPr>
          <w:p w:rsidR="004F32B2" w:rsidRDefault="004F32B2" w:rsidP="004F32B2">
            <w:pPr>
              <w:jc w:val="center"/>
              <w:rPr>
                <w:rFonts w:eastAsia="Calibri"/>
                <w:noProof/>
                <w:szCs w:val="20"/>
                <w:lang w:val="en-US" w:eastAsia="en-GB"/>
              </w:rPr>
            </w:pPr>
          </w:p>
        </w:tc>
      </w:tr>
      <w:tr w:rsidR="004F32B2"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rsidR="004F32B2" w:rsidRDefault="004F32B2" w:rsidP="004F32B2">
            <w:pPr>
              <w:rPr>
                <w:rFonts w:eastAsia="Calibri"/>
                <w:bCs/>
                <w:noProof/>
                <w:szCs w:val="20"/>
                <w:lang w:val="en-US" w:eastAsia="en-GB"/>
              </w:rPr>
            </w:pPr>
            <w:r>
              <w:rPr>
                <w:rFonts w:eastAsia="Calibri"/>
                <w:bCs/>
                <w:noProof/>
                <w:szCs w:val="20"/>
                <w:lang w:val="en-US" w:eastAsia="en-GB"/>
              </w:rPr>
              <w:t xml:space="preserve">1.4 </w:t>
            </w:r>
            <w:r>
              <w:rPr>
                <w:rFonts w:eastAsia="Calibri"/>
                <w:noProof/>
                <w:szCs w:val="20"/>
                <w:lang w:val="en-US" w:eastAsia="en-GB"/>
              </w:rPr>
              <w:t>Unit of measurement for indicator</w:t>
            </w:r>
          </w:p>
        </w:tc>
        <w:tc>
          <w:tcPr>
            <w:tcW w:w="5670" w:type="dxa"/>
            <w:tcBorders>
              <w:top w:val="single" w:sz="4" w:space="0" w:color="auto"/>
              <w:left w:val="single" w:sz="4" w:space="0" w:color="auto"/>
              <w:bottom w:val="single" w:sz="4" w:space="0" w:color="auto"/>
              <w:right w:val="single" w:sz="4" w:space="0" w:color="auto"/>
            </w:tcBorders>
            <w:vAlign w:val="center"/>
          </w:tcPr>
          <w:p w:rsidR="004F32B2" w:rsidRDefault="004F32B2" w:rsidP="004F32B2">
            <w:pPr>
              <w:jc w:val="center"/>
              <w:rPr>
                <w:rFonts w:eastAsia="Calibri"/>
                <w:noProof/>
                <w:szCs w:val="20"/>
                <w:lang w:val="en-US" w:eastAsia="en-GB"/>
              </w:rPr>
            </w:pPr>
          </w:p>
        </w:tc>
      </w:tr>
      <w:tr w:rsidR="004F32B2"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rsidR="004F32B2" w:rsidRDefault="004F32B2" w:rsidP="004F32B2">
            <w:pPr>
              <w:rPr>
                <w:rFonts w:eastAsia="Calibri"/>
                <w:bCs/>
                <w:noProof/>
                <w:szCs w:val="20"/>
                <w:lang w:val="en-US" w:eastAsia="en-GB"/>
              </w:rPr>
            </w:pPr>
            <w:r>
              <w:rPr>
                <w:rFonts w:eastAsia="Calibri"/>
                <w:bCs/>
                <w:noProof/>
                <w:szCs w:val="20"/>
                <w:lang w:val="en-US" w:eastAsia="en-GB"/>
              </w:rPr>
              <w:t>1.5 Standard scale of unit cost, lump sum or flat rate</w:t>
            </w:r>
          </w:p>
        </w:tc>
        <w:tc>
          <w:tcPr>
            <w:tcW w:w="5670" w:type="dxa"/>
            <w:tcBorders>
              <w:top w:val="single" w:sz="4" w:space="0" w:color="auto"/>
              <w:left w:val="single" w:sz="4" w:space="0" w:color="auto"/>
              <w:bottom w:val="single" w:sz="4" w:space="0" w:color="auto"/>
              <w:right w:val="single" w:sz="4" w:space="0" w:color="auto"/>
            </w:tcBorders>
            <w:vAlign w:val="center"/>
          </w:tcPr>
          <w:p w:rsidR="004F32B2" w:rsidRDefault="004F32B2" w:rsidP="004F32B2">
            <w:pPr>
              <w:rPr>
                <w:rFonts w:eastAsia="Calibri"/>
                <w:noProof/>
                <w:szCs w:val="20"/>
                <w:lang w:val="en-US" w:eastAsia="en-GB"/>
              </w:rPr>
            </w:pPr>
          </w:p>
        </w:tc>
      </w:tr>
      <w:tr w:rsidR="004F32B2"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rsidR="004F32B2" w:rsidRDefault="004F32B2" w:rsidP="004F32B2">
            <w:pPr>
              <w:rPr>
                <w:rFonts w:eastAsia="Calibri"/>
                <w:bCs/>
                <w:noProof/>
                <w:szCs w:val="20"/>
                <w:lang w:val="en-US" w:eastAsia="en-GB"/>
              </w:rPr>
            </w:pPr>
            <w:r>
              <w:rPr>
                <w:rFonts w:eastAsia="Calibri"/>
                <w:bCs/>
                <w:noProof/>
                <w:szCs w:val="20"/>
                <w:lang w:val="en-US" w:eastAsia="en-GB"/>
              </w:rPr>
              <w:t xml:space="preserve">1.6 Amount </w:t>
            </w:r>
          </w:p>
        </w:tc>
        <w:tc>
          <w:tcPr>
            <w:tcW w:w="5670" w:type="dxa"/>
            <w:tcBorders>
              <w:top w:val="single" w:sz="4" w:space="0" w:color="auto"/>
              <w:left w:val="single" w:sz="4" w:space="0" w:color="auto"/>
              <w:bottom w:val="single" w:sz="4" w:space="0" w:color="auto"/>
              <w:right w:val="single" w:sz="4" w:space="0" w:color="auto"/>
            </w:tcBorders>
            <w:vAlign w:val="center"/>
          </w:tcPr>
          <w:p w:rsidR="004F32B2" w:rsidRDefault="004F32B2" w:rsidP="004F32B2">
            <w:pPr>
              <w:jc w:val="center"/>
              <w:rPr>
                <w:rFonts w:eastAsia="Calibri"/>
                <w:noProof/>
                <w:szCs w:val="20"/>
                <w:lang w:val="en-US" w:eastAsia="en-GB"/>
              </w:rPr>
            </w:pPr>
          </w:p>
        </w:tc>
      </w:tr>
      <w:tr w:rsidR="004F32B2"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rsidR="004F32B2" w:rsidRDefault="004F32B2" w:rsidP="004F32B2">
            <w:pPr>
              <w:rPr>
                <w:rFonts w:eastAsia="Calibri"/>
                <w:bCs/>
                <w:noProof/>
                <w:szCs w:val="20"/>
                <w:lang w:val="en-US" w:eastAsia="en-GB"/>
              </w:rPr>
            </w:pPr>
            <w:r>
              <w:rPr>
                <w:rFonts w:eastAsia="Calibri"/>
                <w:bCs/>
                <w:noProof/>
                <w:szCs w:val="20"/>
                <w:lang w:val="en-US" w:eastAsia="en-GB"/>
              </w:rPr>
              <w:t>1.7 Categories of costs covered by unit cost, lump sum or flat rate</w:t>
            </w:r>
          </w:p>
        </w:tc>
        <w:tc>
          <w:tcPr>
            <w:tcW w:w="5670" w:type="dxa"/>
            <w:tcBorders>
              <w:top w:val="single" w:sz="4" w:space="0" w:color="auto"/>
              <w:left w:val="single" w:sz="4" w:space="0" w:color="auto"/>
              <w:bottom w:val="single" w:sz="4" w:space="0" w:color="auto"/>
              <w:right w:val="single" w:sz="4" w:space="0" w:color="auto"/>
            </w:tcBorders>
            <w:vAlign w:val="center"/>
          </w:tcPr>
          <w:p w:rsidR="004F32B2" w:rsidRDefault="004F32B2" w:rsidP="004F32B2">
            <w:pPr>
              <w:jc w:val="center"/>
              <w:rPr>
                <w:rFonts w:eastAsia="Calibri"/>
                <w:noProof/>
                <w:szCs w:val="20"/>
                <w:lang w:val="en-US" w:eastAsia="en-GB"/>
              </w:rPr>
            </w:pPr>
          </w:p>
        </w:tc>
      </w:tr>
      <w:tr w:rsidR="004F32B2"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rsidR="004F32B2" w:rsidRDefault="004F32B2" w:rsidP="004F32B2">
            <w:pPr>
              <w:rPr>
                <w:rFonts w:eastAsia="Calibri"/>
                <w:bCs/>
                <w:noProof/>
                <w:szCs w:val="20"/>
                <w:lang w:val="en-US" w:eastAsia="en-GB"/>
              </w:rPr>
            </w:pPr>
            <w:r>
              <w:rPr>
                <w:rFonts w:eastAsia="Calibri"/>
                <w:bCs/>
                <w:noProof/>
                <w:szCs w:val="20"/>
                <w:lang w:val="en-US" w:eastAsia="en-GB"/>
              </w:rPr>
              <w:t>1.8 Do these categories of costs cover all eligible expenditure for the operation? (Y/N)</w:t>
            </w:r>
          </w:p>
        </w:tc>
        <w:tc>
          <w:tcPr>
            <w:tcW w:w="5670" w:type="dxa"/>
            <w:tcBorders>
              <w:top w:val="single" w:sz="4" w:space="0" w:color="auto"/>
              <w:left w:val="single" w:sz="4" w:space="0" w:color="auto"/>
              <w:bottom w:val="single" w:sz="4" w:space="0" w:color="auto"/>
              <w:right w:val="single" w:sz="4" w:space="0" w:color="auto"/>
            </w:tcBorders>
            <w:vAlign w:val="center"/>
          </w:tcPr>
          <w:p w:rsidR="004F32B2" w:rsidRDefault="004F32B2" w:rsidP="004F32B2">
            <w:pPr>
              <w:jc w:val="center"/>
              <w:rPr>
                <w:rFonts w:eastAsia="Calibri"/>
                <w:i/>
                <w:noProof/>
                <w:szCs w:val="20"/>
                <w:lang w:val="en-US" w:eastAsia="en-GB"/>
              </w:rPr>
            </w:pPr>
          </w:p>
        </w:tc>
      </w:tr>
      <w:tr w:rsidR="004F32B2"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rsidR="004F32B2" w:rsidRDefault="004F32B2" w:rsidP="004F32B2">
            <w:pPr>
              <w:rPr>
                <w:rFonts w:eastAsia="Calibri"/>
                <w:bCs/>
                <w:noProof/>
                <w:szCs w:val="20"/>
                <w:lang w:val="en-US" w:eastAsia="en-GB"/>
              </w:rPr>
            </w:pPr>
            <w:r>
              <w:rPr>
                <w:rFonts w:eastAsia="Calibri"/>
                <w:bCs/>
                <w:noProof/>
                <w:szCs w:val="20"/>
                <w:lang w:val="en-US" w:eastAsia="en-GB"/>
              </w:rPr>
              <w:t xml:space="preserve">1.9 Adjustment(s) method </w:t>
            </w:r>
          </w:p>
        </w:tc>
        <w:tc>
          <w:tcPr>
            <w:tcW w:w="5670" w:type="dxa"/>
            <w:tcBorders>
              <w:top w:val="single" w:sz="4" w:space="0" w:color="auto"/>
              <w:left w:val="single" w:sz="4" w:space="0" w:color="auto"/>
              <w:bottom w:val="single" w:sz="4" w:space="0" w:color="auto"/>
              <w:right w:val="single" w:sz="4" w:space="0" w:color="auto"/>
            </w:tcBorders>
            <w:vAlign w:val="center"/>
          </w:tcPr>
          <w:p w:rsidR="004F32B2" w:rsidRDefault="004F32B2" w:rsidP="004F32B2">
            <w:pPr>
              <w:jc w:val="center"/>
              <w:rPr>
                <w:rFonts w:eastAsia="Calibri"/>
                <w:noProof/>
                <w:szCs w:val="20"/>
                <w:lang w:val="en-US" w:eastAsia="en-GB"/>
              </w:rPr>
            </w:pPr>
          </w:p>
        </w:tc>
      </w:tr>
      <w:tr w:rsidR="004F32B2"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rsidR="004F32B2" w:rsidRDefault="004F32B2" w:rsidP="004F32B2">
            <w:pPr>
              <w:rPr>
                <w:rFonts w:eastAsia="Calibri"/>
                <w:noProof/>
                <w:szCs w:val="20"/>
                <w:lang w:val="en-US" w:eastAsia="en-GB"/>
              </w:rPr>
            </w:pPr>
            <w:r>
              <w:rPr>
                <w:rFonts w:eastAsia="Calibri"/>
                <w:noProof/>
                <w:szCs w:val="20"/>
                <w:lang w:val="en-US" w:eastAsia="en-GB"/>
              </w:rPr>
              <w:t xml:space="preserve">1.10 Verification of the achievement of the unit of measurement  </w:t>
            </w:r>
          </w:p>
          <w:p w:rsidR="004F32B2" w:rsidRDefault="004F32B2" w:rsidP="004F32B2">
            <w:pPr>
              <w:rPr>
                <w:rFonts w:eastAsia="Calibri"/>
                <w:noProof/>
                <w:szCs w:val="20"/>
                <w:lang w:val="en-US" w:eastAsia="en-GB"/>
              </w:rPr>
            </w:pPr>
            <w:r>
              <w:rPr>
                <w:rFonts w:eastAsia="Calibri"/>
                <w:noProof/>
                <w:szCs w:val="20"/>
                <w:lang w:val="en-US" w:eastAsia="en-GB"/>
              </w:rPr>
              <w:t>- what document(s) will be used to verify the achievement of the unit of measurement?</w:t>
            </w:r>
          </w:p>
          <w:p w:rsidR="004F32B2" w:rsidRDefault="004F32B2" w:rsidP="004F32B2">
            <w:pPr>
              <w:rPr>
                <w:rFonts w:eastAsia="Calibri"/>
                <w:noProof/>
                <w:szCs w:val="20"/>
                <w:lang w:val="en-US" w:eastAsia="en-GB"/>
              </w:rPr>
            </w:pPr>
            <w:r>
              <w:rPr>
                <w:rFonts w:eastAsia="Calibri"/>
                <w:noProof/>
                <w:szCs w:val="20"/>
                <w:lang w:val="en-US" w:eastAsia="en-GB"/>
              </w:rPr>
              <w:t xml:space="preserve">- describe what will be checked during management verifications (including on-the-spot), and by </w:t>
            </w:r>
            <w:r>
              <w:rPr>
                <w:rFonts w:eastAsia="Calibri"/>
                <w:noProof/>
                <w:szCs w:val="20"/>
                <w:lang w:val="en-US" w:eastAsia="en-GB"/>
              </w:rPr>
              <w:lastRenderedPageBreak/>
              <w:t xml:space="preserve">whom.  </w:t>
            </w:r>
          </w:p>
          <w:p w:rsidR="004F32B2" w:rsidRDefault="004F32B2" w:rsidP="004F32B2">
            <w:pPr>
              <w:rPr>
                <w:rFonts w:eastAsia="Calibri"/>
                <w:noProof/>
                <w:szCs w:val="20"/>
                <w:lang w:val="en-US" w:eastAsia="en-GB"/>
              </w:rPr>
            </w:pPr>
            <w:r>
              <w:rPr>
                <w:rFonts w:eastAsia="Calibri"/>
                <w:noProof/>
                <w:szCs w:val="20"/>
                <w:lang w:val="en-US" w:eastAsia="en-GB"/>
              </w:rPr>
              <w:t>- what arrangements to collect and store the data/documents described?</w:t>
            </w:r>
          </w:p>
        </w:tc>
        <w:tc>
          <w:tcPr>
            <w:tcW w:w="5670" w:type="dxa"/>
            <w:tcBorders>
              <w:top w:val="single" w:sz="4" w:space="0" w:color="auto"/>
              <w:left w:val="single" w:sz="4" w:space="0" w:color="auto"/>
              <w:bottom w:val="single" w:sz="4" w:space="0" w:color="auto"/>
              <w:right w:val="single" w:sz="4" w:space="0" w:color="auto"/>
            </w:tcBorders>
            <w:vAlign w:val="center"/>
          </w:tcPr>
          <w:p w:rsidR="004F32B2" w:rsidRDefault="004F32B2" w:rsidP="004F32B2">
            <w:pPr>
              <w:jc w:val="center"/>
              <w:rPr>
                <w:rFonts w:eastAsia="Calibri"/>
                <w:noProof/>
                <w:szCs w:val="20"/>
                <w:lang w:val="en-US" w:eastAsia="en-GB"/>
              </w:rPr>
            </w:pPr>
          </w:p>
        </w:tc>
      </w:tr>
      <w:tr w:rsidR="004F32B2"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rsidR="004F32B2" w:rsidRDefault="004F32B2" w:rsidP="004F32B2">
            <w:pPr>
              <w:rPr>
                <w:rFonts w:eastAsia="Calibri"/>
                <w:bCs/>
                <w:noProof/>
                <w:szCs w:val="20"/>
                <w:lang w:val="en-US" w:eastAsia="en-GB"/>
              </w:rPr>
            </w:pPr>
            <w:r>
              <w:rPr>
                <w:rFonts w:eastAsia="Calibri"/>
                <w:noProof/>
                <w:szCs w:val="20"/>
                <w:lang w:val="en-US" w:eastAsia="en-GB"/>
              </w:rPr>
              <w:lastRenderedPageBreak/>
              <w:t>1.11 Possible perverse incentives or problems caused by this indicator, how they could be mitigated, and the estimated level of risk</w:t>
            </w:r>
          </w:p>
        </w:tc>
        <w:tc>
          <w:tcPr>
            <w:tcW w:w="5670" w:type="dxa"/>
            <w:tcBorders>
              <w:top w:val="single" w:sz="4" w:space="0" w:color="auto"/>
              <w:left w:val="single" w:sz="4" w:space="0" w:color="auto"/>
              <w:bottom w:val="single" w:sz="4" w:space="0" w:color="auto"/>
              <w:right w:val="single" w:sz="4" w:space="0" w:color="auto"/>
            </w:tcBorders>
            <w:vAlign w:val="center"/>
          </w:tcPr>
          <w:p w:rsidR="004F32B2" w:rsidRDefault="004F32B2" w:rsidP="004F32B2">
            <w:pPr>
              <w:jc w:val="center"/>
              <w:rPr>
                <w:rFonts w:eastAsia="Calibri"/>
                <w:noProof/>
                <w:szCs w:val="20"/>
                <w:lang w:val="en-US" w:eastAsia="en-GB"/>
              </w:rPr>
            </w:pPr>
          </w:p>
        </w:tc>
      </w:tr>
      <w:tr w:rsidR="004F32B2"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rsidR="004F32B2" w:rsidRDefault="004F32B2" w:rsidP="004F32B2">
            <w:pPr>
              <w:rPr>
                <w:rFonts w:eastAsia="Calibri"/>
                <w:noProof/>
                <w:szCs w:val="20"/>
                <w:lang w:val="en-US" w:eastAsia="en-GB"/>
              </w:rPr>
            </w:pPr>
            <w:r>
              <w:rPr>
                <w:rFonts w:eastAsia="Calibri"/>
                <w:bCs/>
                <w:noProof/>
                <w:szCs w:val="20"/>
                <w:lang w:val="en-US" w:eastAsia="en-GB"/>
              </w:rPr>
              <w:t xml:space="preserve">1.12 Total amount (national and EU) expected to be reimbursed </w:t>
            </w:r>
          </w:p>
        </w:tc>
        <w:tc>
          <w:tcPr>
            <w:tcW w:w="5670" w:type="dxa"/>
            <w:tcBorders>
              <w:top w:val="single" w:sz="4" w:space="0" w:color="auto"/>
              <w:left w:val="single" w:sz="4" w:space="0" w:color="auto"/>
              <w:bottom w:val="single" w:sz="4" w:space="0" w:color="auto"/>
              <w:right w:val="single" w:sz="4" w:space="0" w:color="auto"/>
            </w:tcBorders>
            <w:vAlign w:val="center"/>
          </w:tcPr>
          <w:p w:rsidR="004F32B2" w:rsidRDefault="004F32B2" w:rsidP="004F32B2">
            <w:pPr>
              <w:jc w:val="center"/>
              <w:rPr>
                <w:rFonts w:eastAsia="Calibri"/>
                <w:noProof/>
                <w:szCs w:val="20"/>
                <w:lang w:val="en-US" w:eastAsia="en-GB"/>
              </w:rPr>
            </w:pPr>
          </w:p>
        </w:tc>
      </w:tr>
    </w:tbl>
    <w:p w:rsidR="004F32B2" w:rsidRDefault="004F32B2" w:rsidP="004F32B2">
      <w:pPr>
        <w:spacing w:after="0"/>
        <w:rPr>
          <w:rFonts w:eastAsia="Calibri"/>
          <w:b/>
          <w:noProof/>
          <w:szCs w:val="20"/>
          <w:u w:val="single"/>
          <w:lang w:eastAsia="en-GB"/>
        </w:rPr>
        <w:sectPr w:rsidR="004F32B2" w:rsidSect="004F32B2">
          <w:headerReference w:type="default" r:id="rId33"/>
          <w:footerReference w:type="default" r:id="rId34"/>
          <w:pgSz w:w="11906" w:h="16838"/>
          <w:pgMar w:top="1134" w:right="1134" w:bottom="1134" w:left="1134" w:header="567" w:footer="567" w:gutter="0"/>
          <w:cols w:space="720"/>
          <w:docGrid w:linePitch="326"/>
        </w:sectPr>
      </w:pPr>
    </w:p>
    <w:p w:rsidR="004F32B2" w:rsidRDefault="004F32B2" w:rsidP="004F32B2">
      <w:pPr>
        <w:rPr>
          <w:rFonts w:eastAsia="Calibri"/>
          <w:b/>
          <w:noProof/>
          <w:szCs w:val="20"/>
          <w:u w:val="single"/>
          <w:lang w:eastAsia="en-GB"/>
        </w:rPr>
      </w:pPr>
      <w:r>
        <w:rPr>
          <w:rFonts w:eastAsia="Calibri"/>
          <w:b/>
          <w:noProof/>
          <w:szCs w:val="20"/>
          <w:u w:val="single"/>
          <w:lang w:eastAsia="en-GB"/>
        </w:rPr>
        <w:lastRenderedPageBreak/>
        <w:t>C: Calculation of the standard scale of unit costs, lump sums or flat rates</w:t>
      </w:r>
    </w:p>
    <w:p w:rsidR="004F32B2" w:rsidRDefault="004F32B2" w:rsidP="004F32B2">
      <w:pPr>
        <w:autoSpaceDE w:val="0"/>
        <w:autoSpaceDN w:val="0"/>
        <w:adjustRightInd w:val="0"/>
        <w:spacing w:after="240"/>
        <w:ind w:right="112"/>
        <w:rPr>
          <w:rFonts w:eastAsia="Calibri"/>
          <w:noProof/>
          <w:szCs w:val="20"/>
          <w:lang w:eastAsia="en-GB"/>
        </w:rPr>
      </w:pPr>
      <w:r>
        <w:rPr>
          <w:rFonts w:eastAsia="Calibri"/>
          <w:bCs/>
          <w:i/>
          <w:noProof/>
          <w:szCs w:val="20"/>
          <w:lang w:eastAsia="en-GB"/>
        </w:rPr>
        <w:t>1.</w:t>
      </w:r>
      <w:r>
        <w:rPr>
          <w:rFonts w:eastAsia="Calibri"/>
          <w:bCs/>
          <w:noProof/>
          <w:szCs w:val="20"/>
          <w:lang w:eastAsia="en-GB"/>
        </w:rPr>
        <w:t xml:space="preserve"> </w:t>
      </w:r>
      <w:r>
        <w:rPr>
          <w:rFonts w:eastAsia="Calibri"/>
          <w:noProof/>
          <w:szCs w:val="20"/>
          <w:lang w:eastAsia="en-GB"/>
        </w:rPr>
        <w:t>Source of data used to calculate the standard scale of unit costs, lump sums or flat rates (who produced, collected and recorded the data; where the data are stored; cut-off dates; validation, etc.).</w:t>
      </w:r>
    </w:p>
    <w:p w:rsidR="004F32B2" w:rsidRDefault="004F32B2" w:rsidP="004F32B2">
      <w:pPr>
        <w:pBdr>
          <w:top w:val="single" w:sz="4" w:space="1" w:color="auto"/>
          <w:left w:val="single" w:sz="4" w:space="4" w:color="auto"/>
          <w:bottom w:val="single" w:sz="4" w:space="5" w:color="auto"/>
          <w:right w:val="single" w:sz="4" w:space="4" w:color="auto"/>
        </w:pBdr>
        <w:autoSpaceDE w:val="0"/>
        <w:autoSpaceDN w:val="0"/>
        <w:adjustRightInd w:val="0"/>
        <w:spacing w:after="240"/>
        <w:rPr>
          <w:rFonts w:eastAsia="Calibri"/>
          <w:bCs/>
          <w:noProof/>
          <w:szCs w:val="20"/>
          <w:lang w:eastAsia="fr-LU"/>
        </w:rPr>
      </w:pPr>
    </w:p>
    <w:p w:rsidR="004F32B2" w:rsidRDefault="004F32B2" w:rsidP="004F32B2">
      <w:pPr>
        <w:autoSpaceDE w:val="0"/>
        <w:autoSpaceDN w:val="0"/>
        <w:adjustRightInd w:val="0"/>
        <w:spacing w:after="240"/>
        <w:rPr>
          <w:rFonts w:eastAsia="Calibri"/>
          <w:bCs/>
          <w:noProof/>
          <w:szCs w:val="20"/>
          <w:lang w:eastAsia="fr-LU"/>
        </w:rPr>
      </w:pPr>
      <w:r>
        <w:rPr>
          <w:rFonts w:eastAsia="Calibri"/>
          <w:bCs/>
          <w:i/>
          <w:noProof/>
          <w:szCs w:val="20"/>
          <w:lang w:eastAsia="fr-LU"/>
        </w:rPr>
        <w:t>2.</w:t>
      </w:r>
      <w:r>
        <w:rPr>
          <w:rFonts w:eastAsia="Calibri"/>
          <w:bCs/>
          <w:noProof/>
          <w:szCs w:val="20"/>
          <w:lang w:eastAsia="fr-LU"/>
        </w:rPr>
        <w:t xml:space="preserve"> Please specify why the proposed method and calculation is relevant to the type of operation.</w:t>
      </w:r>
    </w:p>
    <w:p w:rsidR="004F32B2" w:rsidRDefault="004F32B2" w:rsidP="004F32B2">
      <w:pPr>
        <w:pBdr>
          <w:top w:val="single" w:sz="4" w:space="1" w:color="auto"/>
          <w:left w:val="single" w:sz="4" w:space="4" w:color="auto"/>
          <w:bottom w:val="single" w:sz="4" w:space="5" w:color="auto"/>
          <w:right w:val="single" w:sz="4" w:space="4" w:color="auto"/>
        </w:pBdr>
        <w:autoSpaceDE w:val="0"/>
        <w:autoSpaceDN w:val="0"/>
        <w:adjustRightInd w:val="0"/>
        <w:spacing w:after="240"/>
        <w:rPr>
          <w:rFonts w:eastAsia="Calibri"/>
          <w:bCs/>
          <w:noProof/>
          <w:szCs w:val="20"/>
          <w:lang w:eastAsia="fr-LU"/>
        </w:rPr>
      </w:pPr>
    </w:p>
    <w:p w:rsidR="004F32B2" w:rsidRDefault="004F32B2" w:rsidP="004F32B2">
      <w:pPr>
        <w:autoSpaceDE w:val="0"/>
        <w:autoSpaceDN w:val="0"/>
        <w:adjustRightInd w:val="0"/>
        <w:spacing w:after="240"/>
        <w:rPr>
          <w:rFonts w:eastAsia="Calibri"/>
          <w:bCs/>
          <w:noProof/>
          <w:szCs w:val="20"/>
          <w:lang w:eastAsia="fr-LU"/>
        </w:rPr>
      </w:pPr>
      <w:r>
        <w:rPr>
          <w:rFonts w:eastAsia="Calibri"/>
          <w:bCs/>
          <w:i/>
          <w:noProof/>
          <w:szCs w:val="20"/>
          <w:lang w:eastAsia="fr-LU"/>
        </w:rPr>
        <w:t>3.</w:t>
      </w:r>
      <w:r>
        <w:rPr>
          <w:rFonts w:eastAsia="Calibri"/>
          <w:bCs/>
          <w:noProof/>
          <w:szCs w:val="20"/>
          <w:lang w:eastAsia="fr-LU"/>
        </w:rPr>
        <w:t xml:space="preserve"> Please specify how the calculations were made, in particular including any assumptions made in terms of quality or quantities. Where relevant, statistical evidence and benchmarks should be used and attached to this annex in a format that is usable by the Commission. </w:t>
      </w:r>
    </w:p>
    <w:p w:rsidR="004F32B2" w:rsidRDefault="004F32B2" w:rsidP="004F32B2">
      <w:pPr>
        <w:pBdr>
          <w:top w:val="single" w:sz="4" w:space="1" w:color="auto"/>
          <w:left w:val="single" w:sz="4" w:space="4" w:color="auto"/>
          <w:bottom w:val="single" w:sz="4" w:space="1" w:color="auto"/>
          <w:right w:val="single" w:sz="4" w:space="4" w:color="auto"/>
        </w:pBdr>
        <w:autoSpaceDE w:val="0"/>
        <w:autoSpaceDN w:val="0"/>
        <w:adjustRightInd w:val="0"/>
        <w:spacing w:after="240"/>
        <w:rPr>
          <w:rFonts w:eastAsia="Calibri"/>
          <w:bCs/>
          <w:noProof/>
          <w:szCs w:val="20"/>
          <w:lang w:eastAsia="fr-LU"/>
        </w:rPr>
      </w:pPr>
    </w:p>
    <w:p w:rsidR="004F32B2" w:rsidRDefault="004F32B2" w:rsidP="004F32B2">
      <w:pPr>
        <w:autoSpaceDE w:val="0"/>
        <w:autoSpaceDN w:val="0"/>
        <w:adjustRightInd w:val="0"/>
        <w:spacing w:after="240"/>
        <w:rPr>
          <w:rFonts w:eastAsia="Calibri"/>
          <w:bCs/>
          <w:noProof/>
          <w:szCs w:val="20"/>
          <w:lang w:eastAsia="fr-LU"/>
        </w:rPr>
      </w:pPr>
      <w:r>
        <w:rPr>
          <w:rFonts w:eastAsia="Calibri"/>
          <w:bCs/>
          <w:i/>
          <w:noProof/>
          <w:szCs w:val="20"/>
          <w:lang w:eastAsia="fr-LU"/>
        </w:rPr>
        <w:t>4</w:t>
      </w:r>
      <w:r>
        <w:rPr>
          <w:rFonts w:eastAsia="Calibri"/>
          <w:bCs/>
          <w:noProof/>
          <w:szCs w:val="20"/>
          <w:lang w:eastAsia="fr-LU"/>
        </w:rPr>
        <w:t>. Please explain how you have ensured that only eligible expenditure was included in the calculation of the standard scale of unit cost, lump sum or flat rate.</w:t>
      </w:r>
    </w:p>
    <w:p w:rsidR="004F32B2" w:rsidRDefault="004F32B2" w:rsidP="004F32B2">
      <w:pPr>
        <w:pBdr>
          <w:top w:val="single" w:sz="4" w:space="1" w:color="auto"/>
          <w:left w:val="single" w:sz="4" w:space="4" w:color="auto"/>
          <w:bottom w:val="single" w:sz="4" w:space="1" w:color="auto"/>
          <w:right w:val="single" w:sz="4" w:space="4" w:color="auto"/>
        </w:pBdr>
        <w:autoSpaceDE w:val="0"/>
        <w:autoSpaceDN w:val="0"/>
        <w:adjustRightInd w:val="0"/>
        <w:spacing w:after="240"/>
        <w:rPr>
          <w:rFonts w:eastAsia="Calibri"/>
          <w:bCs/>
          <w:noProof/>
          <w:szCs w:val="20"/>
          <w:lang w:eastAsia="fr-LU"/>
        </w:rPr>
      </w:pPr>
    </w:p>
    <w:p w:rsidR="004F32B2" w:rsidRDefault="004F32B2" w:rsidP="004F32B2">
      <w:pPr>
        <w:spacing w:after="240"/>
        <w:rPr>
          <w:rFonts w:eastAsia="Calibri"/>
          <w:bCs/>
          <w:noProof/>
          <w:szCs w:val="20"/>
          <w:lang w:eastAsia="fr-LU"/>
        </w:rPr>
      </w:pPr>
      <w:r>
        <w:rPr>
          <w:rFonts w:eastAsia="Calibri"/>
          <w:bCs/>
          <w:i/>
          <w:noProof/>
          <w:szCs w:val="20"/>
          <w:lang w:eastAsia="fr-LU"/>
        </w:rPr>
        <w:t>5</w:t>
      </w:r>
      <w:r>
        <w:rPr>
          <w:rFonts w:eastAsia="Calibri"/>
          <w:bCs/>
          <w:noProof/>
          <w:szCs w:val="20"/>
          <w:lang w:eastAsia="fr-LU"/>
        </w:rPr>
        <w:t xml:space="preserve">. Assessment of the audit authority(ies) </w:t>
      </w:r>
      <w:r>
        <w:rPr>
          <w:rFonts w:eastAsia="Calibri"/>
          <w:noProof/>
          <w:szCs w:val="20"/>
          <w:lang w:eastAsia="en-GB"/>
        </w:rPr>
        <w:t xml:space="preserve">of the calculation methodology and amounts and the arrangements </w:t>
      </w:r>
      <w:r>
        <w:rPr>
          <w:rFonts w:eastAsia="Calibri"/>
          <w:noProof/>
          <w:szCs w:val="20"/>
          <w:lang w:eastAsia="fr-LU"/>
        </w:rPr>
        <w:t>to ensure the verification, quality, collection and storage of data</w:t>
      </w:r>
      <w:r>
        <w:rPr>
          <w:rFonts w:eastAsia="Calibri"/>
          <w:bCs/>
          <w:noProof/>
          <w:szCs w:val="20"/>
          <w:lang w:eastAsia="fr-LU"/>
        </w:rPr>
        <w:t>.</w:t>
      </w:r>
    </w:p>
    <w:p w:rsidR="004F32B2" w:rsidRDefault="004F32B2" w:rsidP="004F32B2">
      <w:pPr>
        <w:pBdr>
          <w:top w:val="single" w:sz="4" w:space="1" w:color="auto"/>
          <w:left w:val="single" w:sz="4" w:space="4" w:color="auto"/>
          <w:bottom w:val="single" w:sz="4" w:space="1" w:color="auto"/>
          <w:right w:val="single" w:sz="4" w:space="4" w:color="auto"/>
        </w:pBdr>
        <w:autoSpaceDE w:val="0"/>
        <w:autoSpaceDN w:val="0"/>
        <w:adjustRightInd w:val="0"/>
        <w:spacing w:after="240"/>
        <w:rPr>
          <w:rFonts w:eastAsia="Calibri"/>
          <w:bCs/>
          <w:noProof/>
          <w:szCs w:val="20"/>
          <w:lang w:eastAsia="fr-LU"/>
        </w:rPr>
      </w:pPr>
    </w:p>
    <w:p w:rsidR="004F32B2" w:rsidRDefault="004F32B2" w:rsidP="004F32B2">
      <w:pPr>
        <w:rPr>
          <w:rFonts w:eastAsia="Calibri"/>
          <w:b/>
          <w:noProof/>
          <w:szCs w:val="24"/>
          <w:lang w:eastAsia="en-GB"/>
        </w:rPr>
      </w:pPr>
    </w:p>
    <w:p w:rsidR="004F32B2" w:rsidRDefault="004F32B2" w:rsidP="004F32B2">
      <w:pPr>
        <w:rPr>
          <w:rFonts w:eastAsia="Calibri"/>
          <w:noProof/>
          <w:szCs w:val="20"/>
          <w:lang w:eastAsia="en-GB"/>
        </w:rPr>
      </w:pPr>
      <w:r>
        <w:rPr>
          <w:rFonts w:eastAsia="Calibri"/>
          <w:noProof/>
          <w:szCs w:val="20"/>
          <w:lang w:eastAsia="en-GB"/>
        </w:rPr>
        <w:br w:type="page"/>
      </w:r>
    </w:p>
    <w:p w:rsidR="004F32B2" w:rsidRDefault="004F32B2" w:rsidP="004F32B2">
      <w:pPr>
        <w:spacing w:after="0"/>
        <w:rPr>
          <w:rFonts w:eastAsia="Calibri"/>
          <w:b/>
          <w:noProof/>
          <w:szCs w:val="24"/>
          <w:lang w:eastAsia="en-GB"/>
        </w:rPr>
      </w:pPr>
      <w:r>
        <w:rPr>
          <w:rFonts w:eastAsia="Calibri"/>
          <w:b/>
          <w:i/>
          <w:noProof/>
          <w:szCs w:val="24"/>
          <w:lang w:eastAsia="en-GB"/>
        </w:rPr>
        <w:lastRenderedPageBreak/>
        <w:t>Appendix 2:</w:t>
      </w:r>
      <w:r>
        <w:rPr>
          <w:rFonts w:eastAsia="Calibri"/>
          <w:b/>
          <w:noProof/>
          <w:szCs w:val="24"/>
          <w:lang w:eastAsia="en-GB"/>
        </w:rPr>
        <w:t xml:space="preserve"> Union contribution based on financing not linked to costs</w:t>
      </w:r>
    </w:p>
    <w:p w:rsidR="004F32B2" w:rsidRDefault="004F32B2" w:rsidP="004F32B2">
      <w:pPr>
        <w:spacing w:after="0"/>
        <w:jc w:val="center"/>
        <w:rPr>
          <w:rFonts w:eastAsia="Calibri"/>
          <w:b/>
          <w:noProof/>
          <w:szCs w:val="24"/>
          <w:u w:val="single"/>
          <w:lang w:eastAsia="en-GB"/>
        </w:rPr>
      </w:pPr>
    </w:p>
    <w:p w:rsidR="004F32B2" w:rsidRDefault="004F32B2" w:rsidP="004F32B2">
      <w:pPr>
        <w:jc w:val="center"/>
        <w:rPr>
          <w:rFonts w:eastAsia="Calibri"/>
          <w:b/>
          <w:noProof/>
          <w:szCs w:val="24"/>
          <w:u w:val="single"/>
          <w:lang w:eastAsia="en-GB"/>
        </w:rPr>
      </w:pPr>
      <w:r>
        <w:rPr>
          <w:rFonts w:eastAsia="Calibri"/>
          <w:b/>
          <w:noProof/>
          <w:szCs w:val="24"/>
          <w:u w:val="single"/>
          <w:lang w:eastAsia="en-GB"/>
        </w:rPr>
        <w:t>Template for submitting data for the consideration of the Commission</w:t>
      </w:r>
    </w:p>
    <w:p w:rsidR="004F32B2" w:rsidRDefault="004F32B2" w:rsidP="004F32B2">
      <w:pPr>
        <w:jc w:val="center"/>
        <w:rPr>
          <w:rFonts w:eastAsia="Calibri"/>
          <w:b/>
          <w:i/>
          <w:noProof/>
          <w:szCs w:val="24"/>
          <w:lang w:eastAsia="en-GB"/>
        </w:rPr>
      </w:pPr>
      <w:r>
        <w:rPr>
          <w:rFonts w:eastAsia="Calibri"/>
          <w:b/>
          <w:noProof/>
          <w:szCs w:val="24"/>
          <w:u w:val="single"/>
          <w:lang w:eastAsia="en-GB"/>
        </w:rPr>
        <w:t>(Article 89)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4F32B2" w:rsidTr="004F32B2">
        <w:tc>
          <w:tcPr>
            <w:tcW w:w="4644" w:type="dxa"/>
            <w:tcBorders>
              <w:top w:val="single" w:sz="4" w:space="0" w:color="auto"/>
              <w:left w:val="single" w:sz="4" w:space="0" w:color="auto"/>
              <w:bottom w:val="single" w:sz="4" w:space="0" w:color="auto"/>
              <w:right w:val="single" w:sz="4" w:space="0" w:color="auto"/>
            </w:tcBorders>
            <w:hideMark/>
          </w:tcPr>
          <w:p w:rsidR="004F32B2" w:rsidRDefault="004F32B2" w:rsidP="004F32B2">
            <w:pPr>
              <w:rPr>
                <w:rFonts w:eastAsia="Calibri"/>
                <w:noProof/>
                <w:szCs w:val="24"/>
                <w:lang w:val="en-US" w:eastAsia="en-GB"/>
              </w:rPr>
            </w:pPr>
            <w:r>
              <w:rPr>
                <w:rFonts w:eastAsia="Calibri"/>
                <w:noProof/>
                <w:szCs w:val="24"/>
                <w:lang w:val="en-US" w:eastAsia="en-GB"/>
              </w:rPr>
              <w:t>Date of submitting the proposal</w:t>
            </w:r>
          </w:p>
        </w:tc>
        <w:tc>
          <w:tcPr>
            <w:tcW w:w="4644" w:type="dxa"/>
            <w:tcBorders>
              <w:top w:val="single" w:sz="4" w:space="0" w:color="auto"/>
              <w:left w:val="single" w:sz="4" w:space="0" w:color="auto"/>
              <w:bottom w:val="single" w:sz="4" w:space="0" w:color="auto"/>
              <w:right w:val="single" w:sz="4" w:space="0" w:color="auto"/>
            </w:tcBorders>
          </w:tcPr>
          <w:p w:rsidR="004F32B2" w:rsidRDefault="004F32B2" w:rsidP="004F32B2">
            <w:pPr>
              <w:rPr>
                <w:rFonts w:eastAsia="Calibri"/>
                <w:noProof/>
                <w:szCs w:val="24"/>
                <w:lang w:val="en-US" w:eastAsia="en-GB"/>
              </w:rPr>
            </w:pPr>
          </w:p>
        </w:tc>
      </w:tr>
      <w:tr w:rsidR="004F32B2" w:rsidTr="004F32B2">
        <w:tc>
          <w:tcPr>
            <w:tcW w:w="4644" w:type="dxa"/>
            <w:tcBorders>
              <w:top w:val="single" w:sz="4" w:space="0" w:color="auto"/>
              <w:left w:val="single" w:sz="4" w:space="0" w:color="auto"/>
              <w:bottom w:val="single" w:sz="4" w:space="0" w:color="auto"/>
              <w:right w:val="single" w:sz="4" w:space="0" w:color="auto"/>
            </w:tcBorders>
          </w:tcPr>
          <w:p w:rsidR="004F32B2" w:rsidRDefault="004F32B2" w:rsidP="004F32B2">
            <w:pPr>
              <w:rPr>
                <w:rFonts w:eastAsia="Calibri"/>
                <w:noProof/>
                <w:szCs w:val="24"/>
                <w:lang w:val="en-US" w:eastAsia="en-GB"/>
              </w:rPr>
            </w:pPr>
            <w:r>
              <w:rPr>
                <w:rFonts w:eastAsia="Calibri"/>
                <w:noProof/>
                <w:szCs w:val="24"/>
                <w:lang w:val="en-US" w:eastAsia="en-GB"/>
              </w:rPr>
              <w:t xml:space="preserve">Current version </w:t>
            </w:r>
          </w:p>
          <w:p w:rsidR="004F32B2" w:rsidRDefault="004F32B2" w:rsidP="004F32B2">
            <w:pPr>
              <w:rPr>
                <w:rFonts w:eastAsia="Calibri"/>
                <w:szCs w:val="24"/>
                <w:lang w:val="en-US" w:eastAsia="en-GB"/>
              </w:rPr>
            </w:pPr>
          </w:p>
          <w:p w:rsidR="004F32B2" w:rsidRDefault="004F32B2" w:rsidP="004F32B2">
            <w:pPr>
              <w:rPr>
                <w:rFonts w:eastAsia="Calibri"/>
                <w:szCs w:val="24"/>
                <w:lang w:val="en-US" w:eastAsia="en-GB"/>
              </w:rPr>
            </w:pPr>
          </w:p>
          <w:p w:rsidR="004F32B2" w:rsidRDefault="004F32B2" w:rsidP="004F32B2">
            <w:pPr>
              <w:rPr>
                <w:rFonts w:eastAsia="Calibri"/>
                <w:szCs w:val="24"/>
                <w:lang w:val="en-US" w:eastAsia="en-GB"/>
              </w:rPr>
            </w:pPr>
          </w:p>
          <w:p w:rsidR="004F32B2" w:rsidRDefault="004F32B2" w:rsidP="004F32B2">
            <w:pPr>
              <w:rPr>
                <w:rFonts w:eastAsia="Calibri"/>
                <w:szCs w:val="24"/>
                <w:lang w:val="en-US" w:eastAsia="en-GB"/>
              </w:rPr>
            </w:pPr>
          </w:p>
          <w:p w:rsidR="004F32B2" w:rsidRDefault="004F32B2" w:rsidP="004F32B2">
            <w:pPr>
              <w:rPr>
                <w:rFonts w:eastAsia="Calibri"/>
                <w:szCs w:val="24"/>
                <w:lang w:val="en-US" w:eastAsia="en-GB"/>
              </w:rPr>
            </w:pPr>
          </w:p>
          <w:p w:rsidR="004F32B2" w:rsidRDefault="004F32B2" w:rsidP="004F32B2">
            <w:pPr>
              <w:rPr>
                <w:rFonts w:eastAsia="Calibri"/>
                <w:szCs w:val="24"/>
                <w:lang w:val="en-US" w:eastAsia="en-GB"/>
              </w:rPr>
            </w:pPr>
          </w:p>
          <w:p w:rsidR="004F32B2" w:rsidRDefault="004F32B2" w:rsidP="004F32B2">
            <w:pPr>
              <w:rPr>
                <w:rFonts w:eastAsia="Calibri"/>
                <w:szCs w:val="24"/>
                <w:lang w:val="en-US" w:eastAsia="en-GB"/>
              </w:rPr>
            </w:pPr>
          </w:p>
          <w:p w:rsidR="004F32B2" w:rsidRDefault="004F32B2" w:rsidP="004F32B2">
            <w:pPr>
              <w:rPr>
                <w:rFonts w:eastAsia="Calibri"/>
                <w:szCs w:val="24"/>
                <w:lang w:val="en-US" w:eastAsia="en-GB"/>
              </w:rPr>
            </w:pPr>
          </w:p>
          <w:p w:rsidR="004F32B2" w:rsidRDefault="004F32B2" w:rsidP="004F32B2">
            <w:pPr>
              <w:rPr>
                <w:rFonts w:eastAsia="Calibri"/>
                <w:szCs w:val="24"/>
                <w:lang w:val="en-US" w:eastAsia="en-GB"/>
              </w:rPr>
            </w:pPr>
          </w:p>
          <w:p w:rsidR="004F32B2" w:rsidRDefault="004F32B2" w:rsidP="004F32B2">
            <w:pPr>
              <w:rPr>
                <w:rFonts w:eastAsia="Calibri"/>
                <w:szCs w:val="24"/>
                <w:lang w:val="en-US" w:eastAsia="en-GB"/>
              </w:rPr>
            </w:pPr>
          </w:p>
          <w:p w:rsidR="004F32B2" w:rsidRDefault="004F32B2" w:rsidP="004F32B2">
            <w:pPr>
              <w:rPr>
                <w:rFonts w:eastAsia="Calibri"/>
                <w:szCs w:val="24"/>
                <w:lang w:val="en-US" w:eastAsia="en-GB"/>
              </w:rPr>
            </w:pPr>
          </w:p>
          <w:p w:rsidR="004F32B2" w:rsidRDefault="004F32B2" w:rsidP="004F32B2">
            <w:pPr>
              <w:rPr>
                <w:rFonts w:eastAsia="Calibri"/>
                <w:szCs w:val="24"/>
                <w:lang w:val="en-US" w:eastAsia="en-GB"/>
              </w:rPr>
            </w:pPr>
          </w:p>
          <w:p w:rsidR="004F32B2" w:rsidRDefault="004F32B2" w:rsidP="004F32B2">
            <w:pPr>
              <w:rPr>
                <w:rFonts w:eastAsia="Calibri"/>
                <w:szCs w:val="24"/>
                <w:lang w:val="en-US" w:eastAsia="en-GB"/>
              </w:rPr>
            </w:pPr>
          </w:p>
          <w:p w:rsidR="004F32B2" w:rsidRDefault="004F32B2" w:rsidP="004F32B2">
            <w:pPr>
              <w:rPr>
                <w:rFonts w:eastAsia="Calibri"/>
                <w:szCs w:val="24"/>
                <w:lang w:val="en-US" w:eastAsia="en-GB"/>
              </w:rPr>
            </w:pPr>
          </w:p>
          <w:p w:rsidR="004F32B2" w:rsidRDefault="004F32B2" w:rsidP="004F32B2">
            <w:pPr>
              <w:tabs>
                <w:tab w:val="left" w:pos="960"/>
              </w:tabs>
              <w:rPr>
                <w:rFonts w:eastAsia="Calibri"/>
                <w:szCs w:val="24"/>
                <w:lang w:val="en-US" w:eastAsia="en-GB"/>
              </w:rPr>
            </w:pPr>
            <w:r>
              <w:rPr>
                <w:rFonts w:eastAsia="Calibri"/>
                <w:szCs w:val="24"/>
                <w:lang w:val="en-US" w:eastAsia="en-GB"/>
              </w:rPr>
              <w:tab/>
            </w:r>
          </w:p>
        </w:tc>
        <w:tc>
          <w:tcPr>
            <w:tcW w:w="4644" w:type="dxa"/>
            <w:tcBorders>
              <w:top w:val="single" w:sz="4" w:space="0" w:color="auto"/>
              <w:left w:val="single" w:sz="4" w:space="0" w:color="auto"/>
              <w:bottom w:val="single" w:sz="4" w:space="0" w:color="auto"/>
              <w:right w:val="single" w:sz="4" w:space="0" w:color="auto"/>
            </w:tcBorders>
          </w:tcPr>
          <w:p w:rsidR="004F32B2" w:rsidRDefault="004F32B2" w:rsidP="004F32B2">
            <w:pPr>
              <w:rPr>
                <w:rFonts w:eastAsia="Calibri"/>
                <w:noProof/>
                <w:szCs w:val="24"/>
                <w:lang w:val="en-US" w:eastAsia="en-GB"/>
              </w:rPr>
            </w:pPr>
          </w:p>
        </w:tc>
      </w:tr>
    </w:tbl>
    <w:p w:rsidR="004F32B2" w:rsidRDefault="004F32B2" w:rsidP="004F32B2">
      <w:pPr>
        <w:spacing w:after="0"/>
        <w:rPr>
          <w:rFonts w:eastAsia="Times New Roman"/>
          <w:b/>
          <w:i/>
          <w:iCs/>
          <w:noProof/>
          <w:szCs w:val="24"/>
          <w:lang w:eastAsia="en-GB"/>
        </w:rPr>
        <w:sectPr w:rsidR="004F32B2" w:rsidSect="004F32B2">
          <w:pgSz w:w="11906" w:h="16838"/>
          <w:pgMar w:top="1134" w:right="1134" w:bottom="1134" w:left="1134" w:header="567" w:footer="567" w:gutter="0"/>
          <w:cols w:space="720"/>
          <w:docGrid w:linePitch="326"/>
        </w:sectPr>
      </w:pPr>
    </w:p>
    <w:p w:rsidR="004F32B2" w:rsidRDefault="004F32B2" w:rsidP="004F32B2">
      <w:pPr>
        <w:spacing w:after="240"/>
        <w:rPr>
          <w:rFonts w:eastAsia="Calibri"/>
          <w:b/>
          <w:noProof/>
          <w:szCs w:val="20"/>
          <w:u w:val="single"/>
          <w:lang w:eastAsia="en-GB"/>
        </w:rPr>
      </w:pPr>
      <w:r>
        <w:rPr>
          <w:rFonts w:eastAsia="Calibri"/>
          <w:b/>
          <w:noProof/>
          <w:szCs w:val="20"/>
          <w:u w:val="single"/>
          <w:lang w:eastAsia="en-GB"/>
        </w:rPr>
        <w:lastRenderedPageBreak/>
        <w:t>A.</w:t>
      </w:r>
      <w:r>
        <w:rPr>
          <w:rFonts w:eastAsia="Calibri"/>
          <w:b/>
          <w:noProof/>
          <w:szCs w:val="20"/>
          <w:u w:val="single"/>
          <w:lang w:eastAsia="en-GB"/>
        </w:rPr>
        <w:tab/>
        <w:t xml:space="preserve">Summary of the main elements </w:t>
      </w:r>
    </w:p>
    <w:tbl>
      <w:tblPr>
        <w:tblW w:w="44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551"/>
        <w:gridCol w:w="835"/>
        <w:gridCol w:w="818"/>
        <w:gridCol w:w="832"/>
        <w:gridCol w:w="879"/>
        <w:gridCol w:w="1254"/>
        <w:gridCol w:w="554"/>
        <w:gridCol w:w="969"/>
        <w:gridCol w:w="1156"/>
        <w:gridCol w:w="1260"/>
      </w:tblGrid>
      <w:tr w:rsidR="004F32B2" w:rsidTr="004F32B2">
        <w:tc>
          <w:tcPr>
            <w:tcW w:w="314" w:type="pct"/>
            <w:tcBorders>
              <w:top w:val="single" w:sz="4" w:space="0" w:color="auto"/>
              <w:left w:val="single" w:sz="4" w:space="0" w:color="auto"/>
              <w:bottom w:val="single" w:sz="4" w:space="0" w:color="auto"/>
              <w:right w:val="single" w:sz="4" w:space="0" w:color="auto"/>
            </w:tcBorders>
            <w:hideMark/>
          </w:tcPr>
          <w:p w:rsidR="004F32B2" w:rsidRDefault="004F32B2" w:rsidP="004F32B2">
            <w:pPr>
              <w:jc w:val="center"/>
              <w:rPr>
                <w:rFonts w:eastAsia="Calibri"/>
                <w:b/>
                <w:noProof/>
                <w:sz w:val="18"/>
                <w:szCs w:val="18"/>
                <w:lang w:val="en-US" w:eastAsia="en-GB"/>
              </w:rPr>
            </w:pPr>
            <w:r>
              <w:rPr>
                <w:rFonts w:eastAsia="Calibri"/>
                <w:b/>
                <w:noProof/>
                <w:sz w:val="18"/>
                <w:szCs w:val="18"/>
                <w:lang w:val="en-US" w:eastAsia="en-GB"/>
              </w:rPr>
              <w:t xml:space="preserve">Priority </w:t>
            </w:r>
          </w:p>
        </w:tc>
        <w:tc>
          <w:tcPr>
            <w:tcW w:w="252" w:type="pct"/>
            <w:tcBorders>
              <w:top w:val="single" w:sz="4" w:space="0" w:color="auto"/>
              <w:left w:val="single" w:sz="4" w:space="0" w:color="auto"/>
              <w:bottom w:val="single" w:sz="4" w:space="0" w:color="auto"/>
              <w:right w:val="single" w:sz="4" w:space="0" w:color="auto"/>
            </w:tcBorders>
            <w:hideMark/>
          </w:tcPr>
          <w:p w:rsidR="004F32B2" w:rsidRDefault="004F32B2" w:rsidP="004F32B2">
            <w:pPr>
              <w:jc w:val="center"/>
              <w:rPr>
                <w:rFonts w:eastAsia="Calibri"/>
                <w:b/>
                <w:noProof/>
                <w:sz w:val="18"/>
                <w:szCs w:val="18"/>
                <w:lang w:val="en-US" w:eastAsia="en-GB"/>
              </w:rPr>
            </w:pPr>
            <w:r>
              <w:rPr>
                <w:rFonts w:eastAsia="Calibri"/>
                <w:b/>
                <w:noProof/>
                <w:sz w:val="18"/>
                <w:szCs w:val="18"/>
                <w:lang w:val="en-US" w:eastAsia="en-GB"/>
              </w:rPr>
              <w:t>Fund</w:t>
            </w:r>
          </w:p>
        </w:tc>
        <w:tc>
          <w:tcPr>
            <w:tcW w:w="408" w:type="pct"/>
            <w:tcBorders>
              <w:top w:val="single" w:sz="4" w:space="0" w:color="auto"/>
              <w:left w:val="single" w:sz="4" w:space="0" w:color="auto"/>
              <w:bottom w:val="single" w:sz="4" w:space="0" w:color="auto"/>
              <w:right w:val="single" w:sz="4" w:space="0" w:color="auto"/>
            </w:tcBorders>
            <w:hideMark/>
          </w:tcPr>
          <w:p w:rsidR="004F32B2" w:rsidRDefault="004F32B2" w:rsidP="004F32B2">
            <w:pPr>
              <w:jc w:val="center"/>
              <w:rPr>
                <w:rFonts w:eastAsia="Calibri"/>
                <w:b/>
                <w:noProof/>
                <w:sz w:val="18"/>
                <w:szCs w:val="18"/>
                <w:lang w:val="en-US" w:eastAsia="en-GB"/>
              </w:rPr>
            </w:pPr>
            <w:r>
              <w:rPr>
                <w:rFonts w:eastAsia="Calibri"/>
                <w:b/>
                <w:noProof/>
                <w:sz w:val="18"/>
                <w:szCs w:val="18"/>
                <w:lang w:val="en-US" w:eastAsia="en-GB"/>
              </w:rPr>
              <w:t xml:space="preserve">Specific objective </w:t>
            </w:r>
          </w:p>
        </w:tc>
        <w:tc>
          <w:tcPr>
            <w:tcW w:w="408" w:type="pct"/>
            <w:tcBorders>
              <w:top w:val="single" w:sz="4" w:space="0" w:color="auto"/>
              <w:left w:val="single" w:sz="4" w:space="0" w:color="auto"/>
              <w:bottom w:val="single" w:sz="4" w:space="0" w:color="auto"/>
              <w:right w:val="single" w:sz="4" w:space="0" w:color="auto"/>
            </w:tcBorders>
            <w:hideMark/>
          </w:tcPr>
          <w:p w:rsidR="004F32B2" w:rsidRDefault="004F32B2" w:rsidP="004F32B2">
            <w:pPr>
              <w:jc w:val="center"/>
              <w:rPr>
                <w:rFonts w:eastAsia="Calibri"/>
                <w:b/>
                <w:noProof/>
                <w:sz w:val="18"/>
                <w:szCs w:val="18"/>
                <w:lang w:val="en-US" w:eastAsia="en-GB"/>
              </w:rPr>
            </w:pPr>
            <w:r>
              <w:rPr>
                <w:rFonts w:eastAsia="Calibri"/>
                <w:b/>
                <w:noProof/>
                <w:sz w:val="18"/>
                <w:szCs w:val="18"/>
                <w:lang w:val="en-US" w:eastAsia="en-GB"/>
              </w:rPr>
              <w:t xml:space="preserve">Category of region </w:t>
            </w:r>
          </w:p>
        </w:tc>
        <w:tc>
          <w:tcPr>
            <w:tcW w:w="417" w:type="pct"/>
            <w:tcBorders>
              <w:top w:val="single" w:sz="4" w:space="0" w:color="auto"/>
              <w:left w:val="single" w:sz="4" w:space="0" w:color="auto"/>
              <w:bottom w:val="single" w:sz="4" w:space="0" w:color="auto"/>
              <w:right w:val="single" w:sz="4" w:space="0" w:color="auto"/>
            </w:tcBorders>
            <w:hideMark/>
          </w:tcPr>
          <w:p w:rsidR="004F32B2" w:rsidRDefault="004F32B2" w:rsidP="004F32B2">
            <w:pPr>
              <w:jc w:val="center"/>
              <w:rPr>
                <w:rFonts w:eastAsia="Calibri"/>
                <w:b/>
                <w:noProof/>
                <w:sz w:val="18"/>
                <w:szCs w:val="18"/>
                <w:lang w:val="en-US" w:eastAsia="en-GB"/>
              </w:rPr>
            </w:pPr>
            <w:r>
              <w:rPr>
                <w:rFonts w:eastAsia="Calibri"/>
                <w:b/>
                <w:noProof/>
                <w:sz w:val="18"/>
                <w:szCs w:val="18"/>
                <w:lang w:val="en-US" w:eastAsia="en-GB"/>
              </w:rPr>
              <w:t>The amount covered by the financing not linked to cost</w:t>
            </w:r>
          </w:p>
        </w:tc>
        <w:tc>
          <w:tcPr>
            <w:tcW w:w="794" w:type="pct"/>
            <w:tcBorders>
              <w:top w:val="single" w:sz="4" w:space="0" w:color="auto"/>
              <w:left w:val="single" w:sz="4" w:space="0" w:color="auto"/>
              <w:bottom w:val="single" w:sz="4" w:space="0" w:color="auto"/>
              <w:right w:val="single" w:sz="4" w:space="0" w:color="auto"/>
            </w:tcBorders>
            <w:hideMark/>
          </w:tcPr>
          <w:p w:rsidR="004F32B2" w:rsidRDefault="004F32B2" w:rsidP="004F32B2">
            <w:pPr>
              <w:jc w:val="center"/>
              <w:rPr>
                <w:rFonts w:eastAsia="Calibri"/>
                <w:b/>
                <w:noProof/>
                <w:sz w:val="18"/>
                <w:szCs w:val="18"/>
                <w:lang w:val="en-US" w:eastAsia="en-GB"/>
              </w:rPr>
            </w:pPr>
            <w:r>
              <w:rPr>
                <w:rFonts w:eastAsia="Calibri"/>
                <w:b/>
                <w:noProof/>
                <w:sz w:val="18"/>
                <w:szCs w:val="18"/>
                <w:lang w:val="en-US" w:eastAsia="en-GB"/>
              </w:rPr>
              <w:t>Type(s) of operation</w:t>
            </w:r>
          </w:p>
        </w:tc>
        <w:tc>
          <w:tcPr>
            <w:tcW w:w="696" w:type="pct"/>
            <w:tcBorders>
              <w:top w:val="single" w:sz="4" w:space="0" w:color="auto"/>
              <w:left w:val="single" w:sz="4" w:space="0" w:color="auto"/>
              <w:bottom w:val="single" w:sz="4" w:space="0" w:color="auto"/>
              <w:right w:val="single" w:sz="4" w:space="0" w:color="auto"/>
            </w:tcBorders>
            <w:hideMark/>
          </w:tcPr>
          <w:p w:rsidR="004F32B2" w:rsidRDefault="004F32B2" w:rsidP="004F32B2">
            <w:pPr>
              <w:jc w:val="center"/>
              <w:rPr>
                <w:rFonts w:eastAsia="Calibri"/>
                <w:b/>
                <w:noProof/>
                <w:sz w:val="18"/>
                <w:szCs w:val="18"/>
                <w:lang w:val="en-US" w:eastAsia="en-GB"/>
              </w:rPr>
            </w:pPr>
            <w:r>
              <w:rPr>
                <w:rFonts w:eastAsia="Calibri"/>
                <w:b/>
                <w:noProof/>
                <w:sz w:val="18"/>
                <w:szCs w:val="18"/>
                <w:lang w:val="en-US" w:eastAsia="en-GB"/>
              </w:rPr>
              <w:t>Conditions to be fulfilled/results to be achieved</w:t>
            </w:r>
          </w:p>
        </w:tc>
        <w:tc>
          <w:tcPr>
            <w:tcW w:w="698" w:type="pct"/>
            <w:gridSpan w:val="2"/>
            <w:tcBorders>
              <w:top w:val="single" w:sz="4" w:space="0" w:color="auto"/>
              <w:left w:val="single" w:sz="4" w:space="0" w:color="auto"/>
              <w:bottom w:val="single" w:sz="4" w:space="0" w:color="auto"/>
              <w:right w:val="single" w:sz="4" w:space="0" w:color="auto"/>
            </w:tcBorders>
            <w:hideMark/>
          </w:tcPr>
          <w:p w:rsidR="004F32B2" w:rsidRDefault="004F32B2" w:rsidP="004F32B2">
            <w:pPr>
              <w:jc w:val="center"/>
              <w:rPr>
                <w:rFonts w:eastAsia="Calibri"/>
                <w:b/>
                <w:noProof/>
                <w:sz w:val="18"/>
                <w:szCs w:val="18"/>
                <w:lang w:val="en-US" w:eastAsia="en-GB"/>
              </w:rPr>
            </w:pPr>
            <w:r>
              <w:rPr>
                <w:rFonts w:eastAsia="Calibri"/>
                <w:b/>
                <w:noProof/>
                <w:sz w:val="18"/>
                <w:szCs w:val="18"/>
                <w:lang w:val="en-US" w:eastAsia="en-GB"/>
              </w:rPr>
              <w:t>Corresponding indicator name(s)</w:t>
            </w:r>
          </w:p>
        </w:tc>
        <w:tc>
          <w:tcPr>
            <w:tcW w:w="507" w:type="pct"/>
            <w:tcBorders>
              <w:top w:val="single" w:sz="4" w:space="0" w:color="auto"/>
              <w:left w:val="single" w:sz="4" w:space="0" w:color="auto"/>
              <w:bottom w:val="single" w:sz="4" w:space="0" w:color="auto"/>
              <w:right w:val="single" w:sz="4" w:space="0" w:color="auto"/>
            </w:tcBorders>
            <w:hideMark/>
          </w:tcPr>
          <w:p w:rsidR="004F32B2" w:rsidRDefault="004F32B2" w:rsidP="004F32B2">
            <w:pPr>
              <w:jc w:val="center"/>
              <w:rPr>
                <w:rFonts w:eastAsia="Calibri"/>
                <w:b/>
                <w:noProof/>
                <w:sz w:val="18"/>
                <w:szCs w:val="18"/>
                <w:lang w:val="en-US" w:eastAsia="en-GB"/>
              </w:rPr>
            </w:pPr>
            <w:r>
              <w:rPr>
                <w:rFonts w:eastAsia="Calibri"/>
                <w:b/>
                <w:noProof/>
                <w:sz w:val="18"/>
                <w:szCs w:val="18"/>
                <w:lang w:val="en-US" w:eastAsia="en-GB"/>
              </w:rPr>
              <w:t>Unit of measurement for the indicator</w:t>
            </w:r>
          </w:p>
        </w:tc>
        <w:tc>
          <w:tcPr>
            <w:tcW w:w="507" w:type="pct"/>
            <w:tcBorders>
              <w:top w:val="single" w:sz="4" w:space="0" w:color="auto"/>
              <w:left w:val="single" w:sz="4" w:space="0" w:color="auto"/>
              <w:bottom w:val="single" w:sz="4" w:space="0" w:color="auto"/>
              <w:right w:val="single" w:sz="4" w:space="0" w:color="auto"/>
            </w:tcBorders>
            <w:hideMark/>
          </w:tcPr>
          <w:p w:rsidR="004F32B2" w:rsidRDefault="004F32B2" w:rsidP="004F32B2">
            <w:pPr>
              <w:jc w:val="center"/>
              <w:rPr>
                <w:rFonts w:eastAsia="Calibri"/>
                <w:b/>
                <w:noProof/>
                <w:sz w:val="18"/>
                <w:szCs w:val="18"/>
                <w:lang w:val="en-US" w:eastAsia="en-GB"/>
              </w:rPr>
            </w:pPr>
            <w:r>
              <w:rPr>
                <w:rFonts w:eastAsia="Calibri"/>
                <w:b/>
                <w:noProof/>
                <w:sz w:val="18"/>
                <w:szCs w:val="18"/>
                <w:lang w:val="en-US" w:eastAsia="en-GB"/>
              </w:rPr>
              <w:t>Envisaged reimbursement to the beneficiaries</w:t>
            </w:r>
          </w:p>
        </w:tc>
      </w:tr>
      <w:tr w:rsidR="004F32B2" w:rsidTr="004F32B2">
        <w:tc>
          <w:tcPr>
            <w:tcW w:w="314"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252"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408"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408"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417"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794"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highlight w:val="yellow"/>
                <w:lang w:val="en-US" w:eastAsia="en-GB"/>
              </w:rPr>
            </w:pPr>
          </w:p>
        </w:tc>
        <w:tc>
          <w:tcPr>
            <w:tcW w:w="696"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251" w:type="pct"/>
            <w:tcBorders>
              <w:top w:val="single" w:sz="4" w:space="0" w:color="auto"/>
              <w:left w:val="single" w:sz="4" w:space="0" w:color="auto"/>
              <w:bottom w:val="single" w:sz="4" w:space="0" w:color="auto"/>
              <w:right w:val="single" w:sz="4" w:space="0" w:color="auto"/>
            </w:tcBorders>
            <w:hideMark/>
          </w:tcPr>
          <w:p w:rsidR="004F32B2" w:rsidRDefault="004F32B2" w:rsidP="004F32B2">
            <w:pPr>
              <w:jc w:val="center"/>
              <w:rPr>
                <w:rFonts w:eastAsia="Calibri"/>
                <w:noProof/>
                <w:sz w:val="18"/>
                <w:szCs w:val="18"/>
                <w:lang w:val="en-US" w:eastAsia="en-GB"/>
              </w:rPr>
            </w:pPr>
            <w:r>
              <w:rPr>
                <w:rFonts w:eastAsia="Calibri"/>
                <w:noProof/>
                <w:sz w:val="18"/>
                <w:szCs w:val="18"/>
                <w:lang w:val="en-US" w:eastAsia="en-GB"/>
              </w:rPr>
              <w:t xml:space="preserve">Code </w:t>
            </w:r>
          </w:p>
        </w:tc>
        <w:tc>
          <w:tcPr>
            <w:tcW w:w="448" w:type="pct"/>
            <w:tcBorders>
              <w:top w:val="single" w:sz="4" w:space="0" w:color="auto"/>
              <w:left w:val="single" w:sz="4" w:space="0" w:color="auto"/>
              <w:bottom w:val="single" w:sz="4" w:space="0" w:color="auto"/>
              <w:right w:val="single" w:sz="4" w:space="0" w:color="auto"/>
            </w:tcBorders>
            <w:hideMark/>
          </w:tcPr>
          <w:p w:rsidR="004F32B2" w:rsidRDefault="004F32B2" w:rsidP="004F32B2">
            <w:pPr>
              <w:jc w:val="center"/>
              <w:rPr>
                <w:rFonts w:eastAsia="Calibri"/>
                <w:noProof/>
                <w:sz w:val="18"/>
                <w:szCs w:val="18"/>
                <w:lang w:val="en-US" w:eastAsia="en-GB"/>
              </w:rPr>
            </w:pPr>
            <w:r>
              <w:rPr>
                <w:rFonts w:eastAsia="Calibri"/>
                <w:noProof/>
                <w:sz w:val="18"/>
                <w:szCs w:val="18"/>
                <w:lang w:val="en-US" w:eastAsia="en-GB"/>
              </w:rPr>
              <w:t>Description</w:t>
            </w:r>
          </w:p>
        </w:tc>
        <w:tc>
          <w:tcPr>
            <w:tcW w:w="507"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507"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r>
      <w:tr w:rsidR="004F32B2" w:rsidTr="004F32B2">
        <w:tc>
          <w:tcPr>
            <w:tcW w:w="314"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b/>
                <w:i/>
                <w:noProof/>
                <w:sz w:val="18"/>
                <w:szCs w:val="18"/>
                <w:lang w:val="en-US" w:eastAsia="en-GB"/>
              </w:rPr>
            </w:pPr>
          </w:p>
        </w:tc>
        <w:tc>
          <w:tcPr>
            <w:tcW w:w="252"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b/>
                <w:i/>
                <w:noProof/>
                <w:sz w:val="18"/>
                <w:szCs w:val="18"/>
                <w:lang w:val="en-US" w:eastAsia="en-GB"/>
              </w:rPr>
            </w:pPr>
          </w:p>
        </w:tc>
        <w:tc>
          <w:tcPr>
            <w:tcW w:w="408"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b/>
                <w:i/>
                <w:noProof/>
                <w:sz w:val="18"/>
                <w:szCs w:val="18"/>
                <w:lang w:val="en-US" w:eastAsia="en-GB"/>
              </w:rPr>
            </w:pPr>
          </w:p>
        </w:tc>
        <w:tc>
          <w:tcPr>
            <w:tcW w:w="408"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b/>
                <w:i/>
                <w:noProof/>
                <w:sz w:val="18"/>
                <w:szCs w:val="18"/>
                <w:lang w:val="en-US" w:eastAsia="en-GB"/>
              </w:rPr>
            </w:pPr>
          </w:p>
        </w:tc>
        <w:tc>
          <w:tcPr>
            <w:tcW w:w="417"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b/>
                <w:i/>
                <w:noProof/>
                <w:sz w:val="18"/>
                <w:szCs w:val="18"/>
                <w:lang w:val="en-US" w:eastAsia="en-GB"/>
              </w:rPr>
            </w:pPr>
          </w:p>
        </w:tc>
        <w:tc>
          <w:tcPr>
            <w:tcW w:w="794"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i/>
                <w:noProof/>
                <w:sz w:val="18"/>
                <w:szCs w:val="18"/>
                <w:highlight w:val="yellow"/>
                <w:lang w:val="en-US" w:eastAsia="en-GB"/>
              </w:rPr>
            </w:pPr>
          </w:p>
        </w:tc>
        <w:tc>
          <w:tcPr>
            <w:tcW w:w="696"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i/>
                <w:noProof/>
                <w:sz w:val="18"/>
                <w:szCs w:val="18"/>
                <w:lang w:val="en-US" w:eastAsia="en-GB"/>
              </w:rPr>
            </w:pPr>
          </w:p>
        </w:tc>
        <w:tc>
          <w:tcPr>
            <w:tcW w:w="251"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i/>
                <w:noProof/>
                <w:sz w:val="18"/>
                <w:szCs w:val="18"/>
                <w:lang w:val="en-US" w:eastAsia="en-GB"/>
              </w:rPr>
            </w:pPr>
          </w:p>
        </w:tc>
        <w:tc>
          <w:tcPr>
            <w:tcW w:w="448"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i/>
                <w:noProof/>
                <w:sz w:val="18"/>
                <w:szCs w:val="18"/>
                <w:lang w:val="en-US" w:eastAsia="en-GB"/>
              </w:rPr>
            </w:pPr>
          </w:p>
        </w:tc>
        <w:tc>
          <w:tcPr>
            <w:tcW w:w="507"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i/>
                <w:noProof/>
                <w:sz w:val="18"/>
                <w:szCs w:val="18"/>
                <w:lang w:val="en-US" w:eastAsia="en-GB"/>
              </w:rPr>
            </w:pPr>
          </w:p>
        </w:tc>
        <w:tc>
          <w:tcPr>
            <w:tcW w:w="507"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i/>
                <w:noProof/>
                <w:sz w:val="18"/>
                <w:szCs w:val="18"/>
                <w:lang w:val="en-US" w:eastAsia="en-GB"/>
              </w:rPr>
            </w:pPr>
          </w:p>
        </w:tc>
      </w:tr>
      <w:tr w:rsidR="004F32B2" w:rsidTr="004F32B2">
        <w:tc>
          <w:tcPr>
            <w:tcW w:w="314"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b/>
                <w:i/>
                <w:noProof/>
                <w:sz w:val="18"/>
                <w:szCs w:val="18"/>
                <w:lang w:val="en-US" w:eastAsia="en-GB"/>
              </w:rPr>
            </w:pPr>
          </w:p>
        </w:tc>
        <w:tc>
          <w:tcPr>
            <w:tcW w:w="252"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b/>
                <w:i/>
                <w:noProof/>
                <w:sz w:val="18"/>
                <w:szCs w:val="18"/>
                <w:lang w:val="en-US" w:eastAsia="en-GB"/>
              </w:rPr>
            </w:pPr>
          </w:p>
        </w:tc>
        <w:tc>
          <w:tcPr>
            <w:tcW w:w="408"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b/>
                <w:i/>
                <w:noProof/>
                <w:sz w:val="18"/>
                <w:szCs w:val="18"/>
                <w:lang w:val="en-US" w:eastAsia="en-GB"/>
              </w:rPr>
            </w:pPr>
          </w:p>
        </w:tc>
        <w:tc>
          <w:tcPr>
            <w:tcW w:w="408"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b/>
                <w:i/>
                <w:noProof/>
                <w:sz w:val="18"/>
                <w:szCs w:val="18"/>
                <w:lang w:val="en-US" w:eastAsia="en-GB"/>
              </w:rPr>
            </w:pPr>
          </w:p>
        </w:tc>
        <w:tc>
          <w:tcPr>
            <w:tcW w:w="417"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b/>
                <w:i/>
                <w:noProof/>
                <w:sz w:val="18"/>
                <w:szCs w:val="18"/>
                <w:lang w:val="en-US" w:eastAsia="en-GB"/>
              </w:rPr>
            </w:pPr>
          </w:p>
        </w:tc>
        <w:tc>
          <w:tcPr>
            <w:tcW w:w="794"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i/>
                <w:noProof/>
                <w:sz w:val="18"/>
                <w:szCs w:val="18"/>
                <w:highlight w:val="yellow"/>
                <w:lang w:val="en-US" w:eastAsia="en-GB"/>
              </w:rPr>
            </w:pPr>
          </w:p>
        </w:tc>
        <w:tc>
          <w:tcPr>
            <w:tcW w:w="696"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i/>
                <w:noProof/>
                <w:sz w:val="18"/>
                <w:szCs w:val="18"/>
                <w:lang w:val="en-US" w:eastAsia="en-GB"/>
              </w:rPr>
            </w:pPr>
          </w:p>
        </w:tc>
        <w:tc>
          <w:tcPr>
            <w:tcW w:w="251"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i/>
                <w:noProof/>
                <w:sz w:val="18"/>
                <w:szCs w:val="18"/>
                <w:lang w:val="en-US" w:eastAsia="en-GB"/>
              </w:rPr>
            </w:pPr>
          </w:p>
        </w:tc>
        <w:tc>
          <w:tcPr>
            <w:tcW w:w="448"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i/>
                <w:noProof/>
                <w:sz w:val="18"/>
                <w:szCs w:val="18"/>
                <w:lang w:val="en-US" w:eastAsia="en-GB"/>
              </w:rPr>
            </w:pPr>
          </w:p>
        </w:tc>
        <w:tc>
          <w:tcPr>
            <w:tcW w:w="507"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i/>
                <w:noProof/>
                <w:sz w:val="18"/>
                <w:szCs w:val="18"/>
                <w:lang w:val="en-US" w:eastAsia="en-GB"/>
              </w:rPr>
            </w:pPr>
          </w:p>
        </w:tc>
        <w:tc>
          <w:tcPr>
            <w:tcW w:w="507"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i/>
                <w:noProof/>
                <w:sz w:val="18"/>
                <w:szCs w:val="18"/>
                <w:lang w:val="en-US" w:eastAsia="en-GB"/>
              </w:rPr>
            </w:pPr>
          </w:p>
        </w:tc>
      </w:tr>
      <w:tr w:rsidR="004F32B2" w:rsidTr="004F32B2">
        <w:tc>
          <w:tcPr>
            <w:tcW w:w="314"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252"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408"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408"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417"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794"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696"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251"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448"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507"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507"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r>
      <w:tr w:rsidR="004F32B2" w:rsidTr="004F32B2">
        <w:tc>
          <w:tcPr>
            <w:tcW w:w="314"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252"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408"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408"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417"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794"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696"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251"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448"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507"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507"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r>
      <w:tr w:rsidR="004F32B2" w:rsidTr="004F32B2">
        <w:trPr>
          <w:trHeight w:val="1064"/>
        </w:trPr>
        <w:tc>
          <w:tcPr>
            <w:tcW w:w="314" w:type="pct"/>
            <w:tcBorders>
              <w:top w:val="single" w:sz="4" w:space="0" w:color="auto"/>
              <w:left w:val="single" w:sz="4" w:space="0" w:color="auto"/>
              <w:bottom w:val="single" w:sz="4" w:space="0" w:color="auto"/>
              <w:right w:val="single" w:sz="4" w:space="0" w:color="auto"/>
            </w:tcBorders>
            <w:hideMark/>
          </w:tcPr>
          <w:p w:rsidR="004F32B2" w:rsidRDefault="004F32B2" w:rsidP="004F32B2">
            <w:pPr>
              <w:jc w:val="center"/>
              <w:rPr>
                <w:rFonts w:eastAsia="Calibri"/>
                <w:noProof/>
                <w:sz w:val="18"/>
                <w:szCs w:val="18"/>
                <w:lang w:val="en-US" w:eastAsia="en-GB"/>
              </w:rPr>
            </w:pPr>
            <w:r>
              <w:rPr>
                <w:rFonts w:eastAsia="Calibri"/>
                <w:noProof/>
                <w:sz w:val="18"/>
                <w:szCs w:val="18"/>
                <w:lang w:val="en-US" w:eastAsia="en-GB"/>
              </w:rPr>
              <w:t>The overall amount covered</w:t>
            </w:r>
          </w:p>
        </w:tc>
        <w:tc>
          <w:tcPr>
            <w:tcW w:w="252"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408"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408"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417"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794"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696"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251"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448"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507"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c>
          <w:tcPr>
            <w:tcW w:w="507" w:type="pct"/>
            <w:tcBorders>
              <w:top w:val="single" w:sz="4" w:space="0" w:color="auto"/>
              <w:left w:val="single" w:sz="4" w:space="0" w:color="auto"/>
              <w:bottom w:val="single" w:sz="4" w:space="0" w:color="auto"/>
              <w:right w:val="single" w:sz="4" w:space="0" w:color="auto"/>
            </w:tcBorders>
          </w:tcPr>
          <w:p w:rsidR="004F32B2" w:rsidRDefault="004F32B2" w:rsidP="004F32B2">
            <w:pPr>
              <w:jc w:val="center"/>
              <w:rPr>
                <w:rFonts w:eastAsia="Calibri"/>
                <w:noProof/>
                <w:sz w:val="18"/>
                <w:szCs w:val="18"/>
                <w:lang w:val="en-US" w:eastAsia="en-GB"/>
              </w:rPr>
            </w:pPr>
          </w:p>
        </w:tc>
      </w:tr>
    </w:tbl>
    <w:p w:rsidR="004F32B2" w:rsidRDefault="004F32B2" w:rsidP="004F32B2">
      <w:pPr>
        <w:rPr>
          <w:rFonts w:eastAsia="Calibri"/>
          <w:b/>
          <w:noProof/>
          <w:szCs w:val="20"/>
          <w:u w:val="single"/>
          <w:lang w:eastAsia="en-GB"/>
        </w:rPr>
      </w:pPr>
    </w:p>
    <w:p w:rsidR="004F32B2" w:rsidRDefault="004F32B2" w:rsidP="004F32B2">
      <w:pPr>
        <w:rPr>
          <w:rFonts w:eastAsia="Calibri"/>
          <w:b/>
          <w:noProof/>
          <w:szCs w:val="20"/>
          <w:u w:val="single"/>
          <w:lang w:eastAsia="en-GB"/>
        </w:rPr>
      </w:pPr>
      <w:r>
        <w:rPr>
          <w:rFonts w:eastAsia="Calibri"/>
          <w:b/>
          <w:noProof/>
          <w:szCs w:val="20"/>
          <w:u w:val="single"/>
          <w:lang w:eastAsia="en-GB"/>
        </w:rPr>
        <w:t>B. Details by type of operation (to be completed for every type of operation)</w:t>
      </w:r>
    </w:p>
    <w:p w:rsidR="004F32B2" w:rsidRDefault="004F32B2" w:rsidP="004F32B2">
      <w:pPr>
        <w:rPr>
          <w:rFonts w:eastAsia="Calibri"/>
          <w:noProof/>
          <w:szCs w:val="20"/>
          <w:lang w:eastAsia="en-GB"/>
        </w:rPr>
      </w:pPr>
      <w:r>
        <w:rPr>
          <w:rFonts w:eastAsia="Calibri"/>
          <w:noProof/>
          <w:szCs w:val="20"/>
          <w:lang w:eastAsia="en-GB"/>
        </w:rPr>
        <w:t>Types of operation:</w:t>
      </w:r>
    </w:p>
    <w:tbl>
      <w:tblPr>
        <w:tblW w:w="8946" w:type="dxa"/>
        <w:tblInd w:w="93" w:type="dxa"/>
        <w:tblLook w:val="04A0" w:firstRow="1" w:lastRow="0" w:firstColumn="1" w:lastColumn="0" w:noHBand="0" w:noVBand="1"/>
      </w:tblPr>
      <w:tblGrid>
        <w:gridCol w:w="4095"/>
        <w:gridCol w:w="2280"/>
        <w:gridCol w:w="1474"/>
        <w:gridCol w:w="1097"/>
      </w:tblGrid>
      <w:tr w:rsidR="004F32B2"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rsidR="004F32B2" w:rsidRDefault="004F32B2" w:rsidP="004F32B2">
            <w:pPr>
              <w:spacing w:after="60"/>
              <w:rPr>
                <w:rFonts w:eastAsia="Calibri"/>
                <w:bCs/>
                <w:noProof/>
                <w:szCs w:val="20"/>
                <w:lang w:val="en-US" w:eastAsia="en-GB"/>
              </w:rPr>
            </w:pPr>
            <w:r>
              <w:rPr>
                <w:rFonts w:eastAsia="Calibri"/>
                <w:bCs/>
                <w:noProof/>
                <w:szCs w:val="20"/>
                <w:lang w:val="en-US" w:eastAsia="en-GB"/>
              </w:rPr>
              <w:t xml:space="preserve">1.1. Description of the operation type </w:t>
            </w:r>
          </w:p>
        </w:tc>
        <w:tc>
          <w:tcPr>
            <w:tcW w:w="4851" w:type="dxa"/>
            <w:gridSpan w:val="3"/>
            <w:tcBorders>
              <w:top w:val="single" w:sz="4" w:space="0" w:color="auto"/>
              <w:left w:val="single" w:sz="4" w:space="0" w:color="auto"/>
              <w:bottom w:val="single" w:sz="4" w:space="0" w:color="auto"/>
              <w:right w:val="single" w:sz="4" w:space="0" w:color="auto"/>
            </w:tcBorders>
            <w:vAlign w:val="center"/>
          </w:tcPr>
          <w:p w:rsidR="004F32B2" w:rsidRDefault="004F32B2" w:rsidP="004F32B2">
            <w:pPr>
              <w:spacing w:after="60"/>
              <w:jc w:val="center"/>
              <w:rPr>
                <w:rFonts w:eastAsia="Calibri"/>
                <w:noProof/>
                <w:szCs w:val="20"/>
                <w:lang w:val="en-US" w:eastAsia="en-GB"/>
              </w:rPr>
            </w:pPr>
          </w:p>
        </w:tc>
      </w:tr>
      <w:tr w:rsidR="004F32B2"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rsidR="004F32B2" w:rsidRDefault="004F32B2" w:rsidP="004F32B2">
            <w:pPr>
              <w:spacing w:after="60"/>
              <w:rPr>
                <w:rFonts w:eastAsia="Calibri"/>
                <w:bCs/>
                <w:noProof/>
                <w:szCs w:val="20"/>
                <w:lang w:val="en-US" w:eastAsia="en-GB"/>
              </w:rPr>
            </w:pPr>
            <w:r>
              <w:rPr>
                <w:rFonts w:eastAsia="Calibri"/>
                <w:bCs/>
                <w:noProof/>
                <w:szCs w:val="20"/>
                <w:lang w:val="en-US" w:eastAsia="en-GB"/>
              </w:rPr>
              <w:t>1.2 specific objective</w:t>
            </w:r>
          </w:p>
        </w:tc>
        <w:tc>
          <w:tcPr>
            <w:tcW w:w="4851" w:type="dxa"/>
            <w:gridSpan w:val="3"/>
            <w:tcBorders>
              <w:top w:val="single" w:sz="4" w:space="0" w:color="auto"/>
              <w:left w:val="single" w:sz="4" w:space="0" w:color="auto"/>
              <w:bottom w:val="single" w:sz="4" w:space="0" w:color="auto"/>
              <w:right w:val="single" w:sz="4" w:space="0" w:color="auto"/>
            </w:tcBorders>
            <w:vAlign w:val="center"/>
          </w:tcPr>
          <w:p w:rsidR="004F32B2" w:rsidRDefault="004F32B2" w:rsidP="004F32B2">
            <w:pPr>
              <w:spacing w:after="60"/>
              <w:jc w:val="center"/>
              <w:rPr>
                <w:rFonts w:eastAsia="Calibri"/>
                <w:noProof/>
                <w:szCs w:val="20"/>
                <w:lang w:val="en-US" w:eastAsia="en-GB"/>
              </w:rPr>
            </w:pPr>
          </w:p>
          <w:p w:rsidR="004F32B2" w:rsidRDefault="004F32B2" w:rsidP="004F32B2">
            <w:pPr>
              <w:spacing w:after="60"/>
              <w:jc w:val="center"/>
              <w:rPr>
                <w:rFonts w:eastAsia="Calibri"/>
                <w:noProof/>
                <w:szCs w:val="20"/>
                <w:lang w:val="en-US" w:eastAsia="en-GB"/>
              </w:rPr>
            </w:pPr>
          </w:p>
        </w:tc>
      </w:tr>
      <w:tr w:rsidR="004F32B2"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rsidR="004F32B2" w:rsidRDefault="004F32B2" w:rsidP="004F32B2">
            <w:pPr>
              <w:spacing w:after="60"/>
              <w:rPr>
                <w:rFonts w:eastAsia="Calibri"/>
                <w:bCs/>
                <w:noProof/>
                <w:szCs w:val="20"/>
                <w:lang w:val="en-US" w:eastAsia="en-GB"/>
              </w:rPr>
            </w:pPr>
            <w:r>
              <w:rPr>
                <w:rFonts w:eastAsia="Calibri"/>
                <w:bCs/>
                <w:noProof/>
                <w:szCs w:val="20"/>
                <w:lang w:val="en-US" w:eastAsia="en-GB"/>
              </w:rPr>
              <w:t xml:space="preserve">1.3 Conditions to be fulfilled or results to be achieved </w:t>
            </w:r>
          </w:p>
        </w:tc>
        <w:tc>
          <w:tcPr>
            <w:tcW w:w="4851" w:type="dxa"/>
            <w:gridSpan w:val="3"/>
            <w:tcBorders>
              <w:top w:val="single" w:sz="4" w:space="0" w:color="auto"/>
              <w:left w:val="single" w:sz="4" w:space="0" w:color="auto"/>
              <w:bottom w:val="single" w:sz="4" w:space="0" w:color="auto"/>
              <w:right w:val="single" w:sz="4" w:space="0" w:color="auto"/>
            </w:tcBorders>
            <w:vAlign w:val="center"/>
          </w:tcPr>
          <w:p w:rsidR="004F32B2" w:rsidRDefault="004F32B2" w:rsidP="004F32B2">
            <w:pPr>
              <w:spacing w:after="60"/>
              <w:jc w:val="center"/>
              <w:rPr>
                <w:rFonts w:eastAsia="Calibri"/>
                <w:noProof/>
                <w:szCs w:val="20"/>
                <w:lang w:val="en-US" w:eastAsia="en-GB"/>
              </w:rPr>
            </w:pPr>
          </w:p>
        </w:tc>
      </w:tr>
      <w:tr w:rsidR="004F32B2"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rsidR="004F32B2" w:rsidRDefault="004F32B2" w:rsidP="004F32B2">
            <w:pPr>
              <w:spacing w:after="60"/>
              <w:rPr>
                <w:rFonts w:eastAsia="Calibri"/>
                <w:bCs/>
                <w:noProof/>
                <w:szCs w:val="20"/>
                <w:lang w:val="en-US" w:eastAsia="en-GB"/>
              </w:rPr>
            </w:pPr>
            <w:r>
              <w:rPr>
                <w:rFonts w:eastAsia="Calibri"/>
                <w:bCs/>
                <w:noProof/>
                <w:szCs w:val="20"/>
                <w:lang w:val="en-US" w:eastAsia="en-GB"/>
              </w:rPr>
              <w:t>1.4 Deadline for fulfilment of conditions or results to be achieved</w:t>
            </w:r>
          </w:p>
        </w:tc>
        <w:tc>
          <w:tcPr>
            <w:tcW w:w="4851" w:type="dxa"/>
            <w:gridSpan w:val="3"/>
            <w:tcBorders>
              <w:top w:val="single" w:sz="4" w:space="0" w:color="auto"/>
              <w:left w:val="single" w:sz="4" w:space="0" w:color="auto"/>
              <w:bottom w:val="single" w:sz="4" w:space="0" w:color="auto"/>
              <w:right w:val="single" w:sz="4" w:space="0" w:color="auto"/>
            </w:tcBorders>
            <w:vAlign w:val="center"/>
          </w:tcPr>
          <w:p w:rsidR="004F32B2" w:rsidRDefault="004F32B2" w:rsidP="004F32B2">
            <w:pPr>
              <w:spacing w:after="60"/>
              <w:jc w:val="center"/>
              <w:rPr>
                <w:rFonts w:eastAsia="Calibri"/>
                <w:noProof/>
                <w:szCs w:val="20"/>
                <w:lang w:val="en-US" w:eastAsia="en-GB"/>
              </w:rPr>
            </w:pPr>
          </w:p>
        </w:tc>
      </w:tr>
      <w:tr w:rsidR="004F32B2"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rsidR="004F32B2" w:rsidRDefault="004F32B2" w:rsidP="004F32B2">
            <w:pPr>
              <w:spacing w:after="60"/>
              <w:rPr>
                <w:rFonts w:eastAsia="Calibri"/>
                <w:bCs/>
                <w:noProof/>
                <w:szCs w:val="20"/>
                <w:lang w:val="en-US" w:eastAsia="en-GB"/>
              </w:rPr>
            </w:pPr>
            <w:r>
              <w:rPr>
                <w:rFonts w:eastAsia="Calibri"/>
                <w:bCs/>
                <w:noProof/>
                <w:szCs w:val="20"/>
                <w:lang w:val="en-US" w:eastAsia="en-GB"/>
              </w:rPr>
              <w:t>1.5 Indicator definition</w:t>
            </w:r>
            <w:r>
              <w:rPr>
                <w:rFonts w:eastAsia="Calibri"/>
                <w:noProof/>
                <w:szCs w:val="20"/>
                <w:lang w:val="en-US" w:eastAsia="en-GB"/>
              </w:rPr>
              <w:t xml:space="preserve"> for deliverables</w:t>
            </w:r>
          </w:p>
        </w:tc>
        <w:tc>
          <w:tcPr>
            <w:tcW w:w="4851" w:type="dxa"/>
            <w:gridSpan w:val="3"/>
            <w:tcBorders>
              <w:top w:val="single" w:sz="4" w:space="0" w:color="auto"/>
              <w:left w:val="single" w:sz="4" w:space="0" w:color="auto"/>
              <w:bottom w:val="single" w:sz="4" w:space="0" w:color="auto"/>
              <w:right w:val="single" w:sz="4" w:space="0" w:color="auto"/>
            </w:tcBorders>
            <w:vAlign w:val="center"/>
          </w:tcPr>
          <w:p w:rsidR="004F32B2" w:rsidRDefault="004F32B2" w:rsidP="004F32B2">
            <w:pPr>
              <w:spacing w:after="60"/>
              <w:rPr>
                <w:rFonts w:eastAsia="Calibri"/>
                <w:noProof/>
                <w:szCs w:val="20"/>
                <w:lang w:val="en-US" w:eastAsia="en-GB"/>
              </w:rPr>
            </w:pPr>
          </w:p>
        </w:tc>
      </w:tr>
      <w:tr w:rsidR="004F32B2"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rsidR="004F32B2" w:rsidRDefault="004F32B2" w:rsidP="004F32B2">
            <w:pPr>
              <w:spacing w:after="60"/>
              <w:rPr>
                <w:rFonts w:eastAsia="Calibri"/>
                <w:bCs/>
                <w:noProof/>
                <w:szCs w:val="20"/>
                <w:lang w:val="en-US" w:eastAsia="en-GB"/>
              </w:rPr>
            </w:pPr>
            <w:r>
              <w:rPr>
                <w:rFonts w:eastAsia="Calibri"/>
                <w:bCs/>
                <w:noProof/>
                <w:szCs w:val="20"/>
                <w:lang w:val="en-US" w:eastAsia="en-GB"/>
              </w:rPr>
              <w:t xml:space="preserve">1.6 </w:t>
            </w:r>
            <w:r>
              <w:rPr>
                <w:rFonts w:eastAsia="Calibri"/>
                <w:noProof/>
                <w:szCs w:val="20"/>
                <w:lang w:val="en-US" w:eastAsia="en-GB"/>
              </w:rPr>
              <w:t>Unit of measurement for indicator for deliverables</w:t>
            </w:r>
          </w:p>
        </w:tc>
        <w:tc>
          <w:tcPr>
            <w:tcW w:w="4851" w:type="dxa"/>
            <w:gridSpan w:val="3"/>
            <w:tcBorders>
              <w:top w:val="single" w:sz="4" w:space="0" w:color="auto"/>
              <w:left w:val="single" w:sz="4" w:space="0" w:color="auto"/>
              <w:bottom w:val="single" w:sz="4" w:space="0" w:color="auto"/>
              <w:right w:val="single" w:sz="4" w:space="0" w:color="auto"/>
            </w:tcBorders>
            <w:vAlign w:val="center"/>
          </w:tcPr>
          <w:p w:rsidR="004F32B2" w:rsidRDefault="004F32B2" w:rsidP="004F32B2">
            <w:pPr>
              <w:spacing w:after="60"/>
              <w:jc w:val="center"/>
              <w:rPr>
                <w:rFonts w:eastAsia="Calibri"/>
                <w:noProof/>
                <w:szCs w:val="20"/>
                <w:lang w:val="en-US" w:eastAsia="en-GB"/>
              </w:rPr>
            </w:pPr>
          </w:p>
        </w:tc>
      </w:tr>
      <w:tr w:rsidR="004F32B2" w:rsidTr="004F32B2">
        <w:trPr>
          <w:trHeight w:val="360"/>
        </w:trPr>
        <w:tc>
          <w:tcPr>
            <w:tcW w:w="4095" w:type="dxa"/>
            <w:vMerge w:val="restart"/>
            <w:tcBorders>
              <w:top w:val="single" w:sz="4" w:space="0" w:color="auto"/>
              <w:left w:val="single" w:sz="4" w:space="0" w:color="auto"/>
              <w:bottom w:val="single" w:sz="4" w:space="0" w:color="auto"/>
              <w:right w:val="single" w:sz="4" w:space="0" w:color="auto"/>
            </w:tcBorders>
            <w:noWrap/>
            <w:vAlign w:val="center"/>
            <w:hideMark/>
          </w:tcPr>
          <w:p w:rsidR="004F32B2" w:rsidRDefault="004F32B2" w:rsidP="004F32B2">
            <w:pPr>
              <w:spacing w:after="60"/>
              <w:rPr>
                <w:rFonts w:eastAsia="Calibri"/>
                <w:bCs/>
                <w:noProof/>
                <w:szCs w:val="20"/>
                <w:lang w:val="en-US" w:eastAsia="en-GB"/>
              </w:rPr>
            </w:pPr>
            <w:r>
              <w:rPr>
                <w:rFonts w:eastAsia="Calibri"/>
                <w:bCs/>
                <w:noProof/>
                <w:szCs w:val="20"/>
                <w:lang w:val="en-US" w:eastAsia="en-GB"/>
              </w:rPr>
              <w:t>1.7 Intermediate deliverables (if applicable) triggering reimbursement by the Commission with schedule for reimbursements</w:t>
            </w:r>
          </w:p>
        </w:tc>
        <w:tc>
          <w:tcPr>
            <w:tcW w:w="2280" w:type="dxa"/>
            <w:tcBorders>
              <w:top w:val="single" w:sz="4" w:space="0" w:color="auto"/>
              <w:left w:val="single" w:sz="4" w:space="0" w:color="auto"/>
              <w:bottom w:val="single" w:sz="4" w:space="0" w:color="auto"/>
              <w:right w:val="single" w:sz="4" w:space="0" w:color="auto"/>
            </w:tcBorders>
            <w:vAlign w:val="center"/>
            <w:hideMark/>
          </w:tcPr>
          <w:p w:rsidR="004F32B2" w:rsidRDefault="004F32B2" w:rsidP="004F32B2">
            <w:pPr>
              <w:spacing w:after="60"/>
              <w:jc w:val="center"/>
              <w:rPr>
                <w:rFonts w:eastAsia="Calibri"/>
                <w:noProof/>
                <w:szCs w:val="20"/>
                <w:lang w:val="en-US" w:eastAsia="en-GB"/>
              </w:rPr>
            </w:pPr>
            <w:r>
              <w:rPr>
                <w:rFonts w:eastAsia="Calibri"/>
                <w:noProof/>
                <w:szCs w:val="20"/>
                <w:lang w:val="en-US" w:eastAsia="en-GB"/>
              </w:rPr>
              <w:t xml:space="preserve">Intermediate deliverables </w:t>
            </w:r>
          </w:p>
        </w:tc>
        <w:tc>
          <w:tcPr>
            <w:tcW w:w="1474" w:type="dxa"/>
            <w:tcBorders>
              <w:top w:val="single" w:sz="4" w:space="0" w:color="auto"/>
              <w:left w:val="single" w:sz="4" w:space="0" w:color="auto"/>
              <w:bottom w:val="single" w:sz="4" w:space="0" w:color="auto"/>
              <w:right w:val="single" w:sz="4" w:space="0" w:color="auto"/>
            </w:tcBorders>
            <w:vAlign w:val="center"/>
            <w:hideMark/>
          </w:tcPr>
          <w:p w:rsidR="004F32B2" w:rsidRDefault="004F32B2" w:rsidP="004F32B2">
            <w:pPr>
              <w:spacing w:after="60"/>
              <w:jc w:val="center"/>
              <w:rPr>
                <w:rFonts w:eastAsia="Calibri"/>
                <w:noProof/>
                <w:szCs w:val="20"/>
                <w:lang w:val="en-US" w:eastAsia="en-GB"/>
              </w:rPr>
            </w:pPr>
            <w:r>
              <w:rPr>
                <w:rFonts w:eastAsia="Calibri"/>
                <w:noProof/>
                <w:szCs w:val="20"/>
                <w:lang w:val="en-US" w:eastAsia="en-GB"/>
              </w:rPr>
              <w:t>Date</w:t>
            </w:r>
          </w:p>
        </w:tc>
        <w:tc>
          <w:tcPr>
            <w:tcW w:w="1097" w:type="dxa"/>
            <w:tcBorders>
              <w:top w:val="single" w:sz="4" w:space="0" w:color="auto"/>
              <w:left w:val="single" w:sz="4" w:space="0" w:color="auto"/>
              <w:bottom w:val="single" w:sz="4" w:space="0" w:color="auto"/>
              <w:right w:val="single" w:sz="4" w:space="0" w:color="auto"/>
            </w:tcBorders>
            <w:vAlign w:val="center"/>
            <w:hideMark/>
          </w:tcPr>
          <w:p w:rsidR="004F32B2" w:rsidRDefault="004F32B2" w:rsidP="004F32B2">
            <w:pPr>
              <w:spacing w:after="60"/>
              <w:jc w:val="center"/>
              <w:rPr>
                <w:rFonts w:eastAsia="Calibri"/>
                <w:noProof/>
                <w:szCs w:val="20"/>
                <w:lang w:val="en-US" w:eastAsia="en-GB"/>
              </w:rPr>
            </w:pPr>
            <w:r>
              <w:rPr>
                <w:rFonts w:eastAsia="Calibri"/>
                <w:noProof/>
                <w:szCs w:val="20"/>
                <w:lang w:val="en-US" w:eastAsia="en-GB"/>
              </w:rPr>
              <w:t>Amounts</w:t>
            </w:r>
          </w:p>
        </w:tc>
      </w:tr>
      <w:tr w:rsidR="004F32B2" w:rsidTr="004F32B2">
        <w:trPr>
          <w:trHeight w:val="3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32B2" w:rsidRDefault="004F32B2" w:rsidP="004F32B2">
            <w:pPr>
              <w:spacing w:after="0"/>
              <w:rPr>
                <w:rFonts w:eastAsia="Calibri"/>
                <w:bCs/>
                <w:noProof/>
                <w:szCs w:val="20"/>
                <w:lang w:val="en-US" w:eastAsia="en-GB"/>
              </w:rPr>
            </w:pPr>
          </w:p>
        </w:tc>
        <w:tc>
          <w:tcPr>
            <w:tcW w:w="2280" w:type="dxa"/>
            <w:tcBorders>
              <w:top w:val="single" w:sz="4" w:space="0" w:color="auto"/>
              <w:left w:val="single" w:sz="4" w:space="0" w:color="auto"/>
              <w:bottom w:val="single" w:sz="4" w:space="0" w:color="auto"/>
              <w:right w:val="single" w:sz="4" w:space="0" w:color="auto"/>
            </w:tcBorders>
            <w:vAlign w:val="center"/>
          </w:tcPr>
          <w:p w:rsidR="004F32B2" w:rsidRDefault="004F32B2" w:rsidP="004F32B2">
            <w:pPr>
              <w:spacing w:after="60"/>
              <w:jc w:val="center"/>
              <w:rPr>
                <w:rFonts w:eastAsia="Calibri"/>
                <w:noProof/>
                <w:szCs w:val="20"/>
                <w:lang w:val="en-US" w:eastAsia="en-GB"/>
              </w:rPr>
            </w:pPr>
          </w:p>
        </w:tc>
        <w:tc>
          <w:tcPr>
            <w:tcW w:w="1474" w:type="dxa"/>
            <w:tcBorders>
              <w:top w:val="single" w:sz="4" w:space="0" w:color="auto"/>
              <w:left w:val="single" w:sz="4" w:space="0" w:color="auto"/>
              <w:bottom w:val="single" w:sz="4" w:space="0" w:color="auto"/>
              <w:right w:val="single" w:sz="4" w:space="0" w:color="auto"/>
            </w:tcBorders>
            <w:vAlign w:val="center"/>
          </w:tcPr>
          <w:p w:rsidR="004F32B2" w:rsidRDefault="004F32B2" w:rsidP="004F32B2">
            <w:pPr>
              <w:spacing w:after="60"/>
              <w:jc w:val="center"/>
              <w:rPr>
                <w:rFonts w:eastAsia="Calibri"/>
                <w:noProof/>
                <w:szCs w:val="20"/>
                <w:lang w:val="en-US" w:eastAsia="en-GB"/>
              </w:rPr>
            </w:pPr>
          </w:p>
        </w:tc>
        <w:tc>
          <w:tcPr>
            <w:tcW w:w="1097" w:type="dxa"/>
            <w:tcBorders>
              <w:top w:val="single" w:sz="4" w:space="0" w:color="auto"/>
              <w:left w:val="single" w:sz="4" w:space="0" w:color="auto"/>
              <w:bottom w:val="single" w:sz="4" w:space="0" w:color="auto"/>
              <w:right w:val="single" w:sz="4" w:space="0" w:color="auto"/>
            </w:tcBorders>
            <w:vAlign w:val="center"/>
          </w:tcPr>
          <w:p w:rsidR="004F32B2" w:rsidRDefault="004F32B2" w:rsidP="004F32B2">
            <w:pPr>
              <w:spacing w:after="60"/>
              <w:jc w:val="center"/>
              <w:rPr>
                <w:rFonts w:eastAsia="Calibri"/>
                <w:noProof/>
                <w:szCs w:val="20"/>
                <w:lang w:val="en-US" w:eastAsia="en-GB"/>
              </w:rPr>
            </w:pPr>
          </w:p>
        </w:tc>
      </w:tr>
      <w:tr w:rsidR="004F32B2" w:rsidTr="004F32B2">
        <w:trPr>
          <w:trHeight w:val="3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32B2" w:rsidRDefault="004F32B2" w:rsidP="004F32B2">
            <w:pPr>
              <w:spacing w:after="0"/>
              <w:rPr>
                <w:rFonts w:eastAsia="Calibri"/>
                <w:bCs/>
                <w:noProof/>
                <w:szCs w:val="20"/>
                <w:lang w:val="en-US" w:eastAsia="en-GB"/>
              </w:rPr>
            </w:pPr>
          </w:p>
        </w:tc>
        <w:tc>
          <w:tcPr>
            <w:tcW w:w="2280" w:type="dxa"/>
            <w:tcBorders>
              <w:top w:val="single" w:sz="4" w:space="0" w:color="auto"/>
              <w:left w:val="single" w:sz="4" w:space="0" w:color="auto"/>
              <w:bottom w:val="single" w:sz="4" w:space="0" w:color="auto"/>
              <w:right w:val="single" w:sz="4" w:space="0" w:color="auto"/>
            </w:tcBorders>
            <w:vAlign w:val="center"/>
          </w:tcPr>
          <w:p w:rsidR="004F32B2" w:rsidRDefault="004F32B2" w:rsidP="004F32B2">
            <w:pPr>
              <w:spacing w:after="60"/>
              <w:jc w:val="center"/>
              <w:rPr>
                <w:rFonts w:eastAsia="Calibri"/>
                <w:noProof/>
                <w:szCs w:val="20"/>
                <w:lang w:val="en-US" w:eastAsia="en-GB"/>
              </w:rPr>
            </w:pPr>
          </w:p>
        </w:tc>
        <w:tc>
          <w:tcPr>
            <w:tcW w:w="1474" w:type="dxa"/>
            <w:tcBorders>
              <w:top w:val="single" w:sz="4" w:space="0" w:color="auto"/>
              <w:left w:val="single" w:sz="4" w:space="0" w:color="auto"/>
              <w:bottom w:val="single" w:sz="4" w:space="0" w:color="auto"/>
              <w:right w:val="single" w:sz="4" w:space="0" w:color="auto"/>
            </w:tcBorders>
            <w:vAlign w:val="center"/>
          </w:tcPr>
          <w:p w:rsidR="004F32B2" w:rsidRDefault="004F32B2" w:rsidP="004F32B2">
            <w:pPr>
              <w:spacing w:after="60"/>
              <w:jc w:val="center"/>
              <w:rPr>
                <w:rFonts w:eastAsia="Calibri"/>
                <w:noProof/>
                <w:szCs w:val="20"/>
                <w:lang w:val="en-US" w:eastAsia="en-GB"/>
              </w:rPr>
            </w:pPr>
          </w:p>
        </w:tc>
        <w:tc>
          <w:tcPr>
            <w:tcW w:w="1097" w:type="dxa"/>
            <w:tcBorders>
              <w:top w:val="single" w:sz="4" w:space="0" w:color="auto"/>
              <w:left w:val="single" w:sz="4" w:space="0" w:color="auto"/>
              <w:bottom w:val="single" w:sz="4" w:space="0" w:color="auto"/>
              <w:right w:val="single" w:sz="4" w:space="0" w:color="auto"/>
            </w:tcBorders>
            <w:vAlign w:val="center"/>
          </w:tcPr>
          <w:p w:rsidR="004F32B2" w:rsidRDefault="004F32B2" w:rsidP="004F32B2">
            <w:pPr>
              <w:spacing w:after="60"/>
              <w:jc w:val="center"/>
              <w:rPr>
                <w:rFonts w:eastAsia="Calibri"/>
                <w:noProof/>
                <w:szCs w:val="20"/>
                <w:lang w:val="en-US" w:eastAsia="en-GB"/>
              </w:rPr>
            </w:pPr>
          </w:p>
        </w:tc>
      </w:tr>
      <w:tr w:rsidR="004F32B2"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rsidR="004F32B2" w:rsidRDefault="004F32B2" w:rsidP="004F32B2">
            <w:pPr>
              <w:spacing w:after="60"/>
              <w:rPr>
                <w:rFonts w:eastAsia="Calibri"/>
                <w:bCs/>
                <w:noProof/>
                <w:szCs w:val="20"/>
                <w:lang w:val="en-US" w:eastAsia="en-GB"/>
              </w:rPr>
            </w:pPr>
            <w:r>
              <w:rPr>
                <w:rFonts w:eastAsia="Calibri"/>
                <w:bCs/>
                <w:noProof/>
                <w:szCs w:val="20"/>
                <w:lang w:val="en-US" w:eastAsia="en-GB"/>
              </w:rPr>
              <w:t xml:space="preserve">1.8 Total amount (including EU and </w:t>
            </w:r>
            <w:r>
              <w:rPr>
                <w:rFonts w:eastAsia="Calibri"/>
                <w:bCs/>
                <w:noProof/>
                <w:szCs w:val="20"/>
                <w:lang w:val="en-US" w:eastAsia="en-GB"/>
              </w:rPr>
              <w:lastRenderedPageBreak/>
              <w:t>national funding)</w:t>
            </w:r>
          </w:p>
        </w:tc>
        <w:tc>
          <w:tcPr>
            <w:tcW w:w="4851" w:type="dxa"/>
            <w:gridSpan w:val="3"/>
            <w:tcBorders>
              <w:top w:val="single" w:sz="4" w:space="0" w:color="auto"/>
              <w:left w:val="single" w:sz="4" w:space="0" w:color="auto"/>
              <w:bottom w:val="single" w:sz="4" w:space="0" w:color="auto"/>
              <w:right w:val="single" w:sz="4" w:space="0" w:color="auto"/>
            </w:tcBorders>
            <w:vAlign w:val="center"/>
          </w:tcPr>
          <w:p w:rsidR="004F32B2" w:rsidRDefault="004F32B2" w:rsidP="004F32B2">
            <w:pPr>
              <w:spacing w:after="60"/>
              <w:jc w:val="center"/>
              <w:rPr>
                <w:rFonts w:eastAsia="Calibri"/>
                <w:noProof/>
                <w:szCs w:val="20"/>
                <w:lang w:val="en-US" w:eastAsia="en-GB"/>
              </w:rPr>
            </w:pPr>
          </w:p>
        </w:tc>
      </w:tr>
      <w:tr w:rsidR="004F32B2"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rsidR="004F32B2" w:rsidRDefault="004F32B2" w:rsidP="004F32B2">
            <w:pPr>
              <w:spacing w:after="60"/>
              <w:rPr>
                <w:rFonts w:eastAsia="Calibri"/>
                <w:bCs/>
                <w:noProof/>
                <w:szCs w:val="20"/>
                <w:lang w:val="en-US" w:eastAsia="en-GB"/>
              </w:rPr>
            </w:pPr>
            <w:r>
              <w:rPr>
                <w:rFonts w:eastAsia="Calibri"/>
                <w:bCs/>
                <w:noProof/>
                <w:szCs w:val="20"/>
                <w:lang w:val="en-US" w:eastAsia="en-GB"/>
              </w:rPr>
              <w:lastRenderedPageBreak/>
              <w:t>1.9 Adjustment(s) method</w:t>
            </w:r>
          </w:p>
        </w:tc>
        <w:tc>
          <w:tcPr>
            <w:tcW w:w="4851" w:type="dxa"/>
            <w:gridSpan w:val="3"/>
            <w:tcBorders>
              <w:top w:val="single" w:sz="4" w:space="0" w:color="auto"/>
              <w:left w:val="single" w:sz="4" w:space="0" w:color="auto"/>
              <w:bottom w:val="single" w:sz="4" w:space="0" w:color="auto"/>
              <w:right w:val="single" w:sz="4" w:space="0" w:color="auto"/>
            </w:tcBorders>
            <w:vAlign w:val="center"/>
          </w:tcPr>
          <w:p w:rsidR="004F32B2" w:rsidRDefault="004F32B2" w:rsidP="004F32B2">
            <w:pPr>
              <w:spacing w:after="60"/>
              <w:jc w:val="center"/>
              <w:rPr>
                <w:rFonts w:eastAsia="Calibri"/>
                <w:i/>
                <w:noProof/>
                <w:szCs w:val="20"/>
                <w:lang w:val="en-US" w:eastAsia="en-GB"/>
              </w:rPr>
            </w:pPr>
          </w:p>
        </w:tc>
      </w:tr>
      <w:tr w:rsidR="004F32B2"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tcPr>
          <w:p w:rsidR="004F32B2" w:rsidRDefault="004F32B2" w:rsidP="004F32B2">
            <w:pPr>
              <w:spacing w:after="60"/>
              <w:rPr>
                <w:rFonts w:eastAsia="Calibri"/>
                <w:noProof/>
                <w:szCs w:val="20"/>
                <w:lang w:val="en-US" w:eastAsia="en-GB"/>
              </w:rPr>
            </w:pPr>
            <w:r>
              <w:rPr>
                <w:rFonts w:eastAsia="Calibri"/>
                <w:bCs/>
                <w:noProof/>
                <w:szCs w:val="20"/>
                <w:lang w:val="en-US" w:eastAsia="en-GB"/>
              </w:rPr>
              <w:t xml:space="preserve">1.10 </w:t>
            </w:r>
            <w:r>
              <w:rPr>
                <w:rFonts w:eastAsia="Calibri"/>
                <w:noProof/>
                <w:szCs w:val="20"/>
                <w:lang w:val="en-US" w:eastAsia="en-GB"/>
              </w:rPr>
              <w:t>Verification of the achievement of the result or condition (and where relevant, the intermediate deliverables)</w:t>
            </w:r>
          </w:p>
          <w:p w:rsidR="004F32B2" w:rsidRDefault="004F32B2" w:rsidP="004F32B2">
            <w:pPr>
              <w:spacing w:after="60"/>
              <w:rPr>
                <w:rFonts w:eastAsia="Calibri"/>
                <w:noProof/>
                <w:szCs w:val="20"/>
                <w:lang w:val="en-US" w:eastAsia="en-GB"/>
              </w:rPr>
            </w:pPr>
            <w:r>
              <w:rPr>
                <w:rFonts w:eastAsia="Calibri"/>
                <w:noProof/>
                <w:szCs w:val="20"/>
                <w:lang w:val="en-US" w:eastAsia="en-GB"/>
              </w:rPr>
              <w:t>- describe what document(s) will be used to verify the achievement of the result or condition</w:t>
            </w:r>
          </w:p>
          <w:p w:rsidR="004F32B2" w:rsidRDefault="004F32B2" w:rsidP="004F32B2">
            <w:pPr>
              <w:spacing w:after="60"/>
              <w:rPr>
                <w:rFonts w:eastAsia="Calibri"/>
                <w:noProof/>
                <w:szCs w:val="20"/>
                <w:lang w:val="en-US" w:eastAsia="en-GB"/>
              </w:rPr>
            </w:pPr>
            <w:r>
              <w:rPr>
                <w:rFonts w:eastAsia="Calibri"/>
                <w:noProof/>
                <w:szCs w:val="20"/>
                <w:lang w:val="en-US" w:eastAsia="en-GB"/>
              </w:rPr>
              <w:t>- describe what will be checked during management verifications (including on-the-spot), and by whom.</w:t>
            </w:r>
          </w:p>
          <w:p w:rsidR="004F32B2" w:rsidRDefault="004F32B2" w:rsidP="004F32B2">
            <w:pPr>
              <w:spacing w:after="60"/>
              <w:rPr>
                <w:rFonts w:eastAsia="Calibri"/>
                <w:noProof/>
                <w:szCs w:val="20"/>
                <w:lang w:val="en-US" w:eastAsia="en-GB"/>
              </w:rPr>
            </w:pPr>
            <w:r>
              <w:rPr>
                <w:rFonts w:eastAsia="Calibri"/>
                <w:noProof/>
                <w:szCs w:val="20"/>
                <w:lang w:val="en-US" w:eastAsia="en-GB"/>
              </w:rPr>
              <w:t xml:space="preserve">- describe what are the arrangements to collect and store the data/documents  </w:t>
            </w:r>
          </w:p>
          <w:p w:rsidR="004F32B2" w:rsidRDefault="004F32B2" w:rsidP="004F32B2">
            <w:pPr>
              <w:spacing w:after="60"/>
              <w:rPr>
                <w:rFonts w:eastAsia="Calibri"/>
                <w:bCs/>
                <w:noProof/>
                <w:szCs w:val="20"/>
                <w:lang w:val="en-US" w:eastAsia="en-GB"/>
              </w:rPr>
            </w:pPr>
          </w:p>
        </w:tc>
        <w:tc>
          <w:tcPr>
            <w:tcW w:w="4851" w:type="dxa"/>
            <w:gridSpan w:val="3"/>
            <w:tcBorders>
              <w:top w:val="single" w:sz="4" w:space="0" w:color="auto"/>
              <w:left w:val="single" w:sz="4" w:space="0" w:color="auto"/>
              <w:bottom w:val="single" w:sz="4" w:space="0" w:color="auto"/>
              <w:right w:val="single" w:sz="4" w:space="0" w:color="auto"/>
            </w:tcBorders>
            <w:vAlign w:val="center"/>
          </w:tcPr>
          <w:p w:rsidR="004F32B2" w:rsidRDefault="004F32B2" w:rsidP="004F32B2">
            <w:pPr>
              <w:spacing w:after="60"/>
              <w:jc w:val="center"/>
              <w:rPr>
                <w:rFonts w:eastAsia="Calibri"/>
                <w:noProof/>
                <w:szCs w:val="20"/>
                <w:lang w:val="en-US" w:eastAsia="en-GB"/>
              </w:rPr>
            </w:pPr>
          </w:p>
          <w:p w:rsidR="004F32B2" w:rsidRDefault="004F32B2" w:rsidP="004F32B2">
            <w:pPr>
              <w:spacing w:after="60"/>
              <w:jc w:val="center"/>
              <w:rPr>
                <w:rFonts w:eastAsia="Calibri"/>
                <w:noProof/>
                <w:szCs w:val="20"/>
                <w:lang w:val="en-US" w:eastAsia="en-GB"/>
              </w:rPr>
            </w:pPr>
          </w:p>
          <w:p w:rsidR="004F32B2" w:rsidRDefault="004F32B2" w:rsidP="004F32B2">
            <w:pPr>
              <w:spacing w:after="60"/>
              <w:jc w:val="center"/>
              <w:rPr>
                <w:rFonts w:eastAsia="Calibri"/>
                <w:noProof/>
                <w:szCs w:val="20"/>
                <w:lang w:val="en-US" w:eastAsia="en-GB"/>
              </w:rPr>
            </w:pPr>
          </w:p>
        </w:tc>
      </w:tr>
      <w:tr w:rsidR="004F32B2"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rsidR="004F32B2" w:rsidRDefault="004F32B2" w:rsidP="004F32B2">
            <w:pPr>
              <w:spacing w:after="60"/>
              <w:rPr>
                <w:rFonts w:eastAsia="Calibri"/>
                <w:noProof/>
                <w:szCs w:val="20"/>
                <w:lang w:val="en-US" w:eastAsia="en-GB"/>
              </w:rPr>
            </w:pPr>
            <w:r>
              <w:rPr>
                <w:rFonts w:eastAsia="Calibri"/>
                <w:noProof/>
                <w:szCs w:val="20"/>
                <w:lang w:val="en-US" w:eastAsia="en-GB"/>
              </w:rPr>
              <w:t>1.10a Use of grants in the form of financing not linked to costs</w:t>
            </w:r>
          </w:p>
        </w:tc>
        <w:tc>
          <w:tcPr>
            <w:tcW w:w="4851" w:type="dxa"/>
            <w:gridSpan w:val="3"/>
            <w:tcBorders>
              <w:top w:val="single" w:sz="4" w:space="0" w:color="auto"/>
              <w:left w:val="single" w:sz="4" w:space="0" w:color="auto"/>
              <w:bottom w:val="single" w:sz="4" w:space="0" w:color="auto"/>
              <w:right w:val="single" w:sz="4" w:space="0" w:color="auto"/>
            </w:tcBorders>
            <w:vAlign w:val="center"/>
          </w:tcPr>
          <w:p w:rsidR="004F32B2" w:rsidRDefault="004F32B2" w:rsidP="004F32B2">
            <w:pPr>
              <w:spacing w:after="60"/>
              <w:jc w:val="center"/>
              <w:rPr>
                <w:rFonts w:eastAsia="Calibri"/>
                <w:b/>
                <w:noProof/>
                <w:szCs w:val="20"/>
                <w:u w:val="single"/>
                <w:lang w:val="en-US" w:eastAsia="en-GB"/>
              </w:rPr>
            </w:pPr>
          </w:p>
        </w:tc>
      </w:tr>
      <w:tr w:rsidR="004F32B2"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rsidR="004F32B2" w:rsidRDefault="004F32B2" w:rsidP="004F32B2">
            <w:pPr>
              <w:spacing w:after="60"/>
              <w:rPr>
                <w:rFonts w:eastAsia="Calibri"/>
                <w:noProof/>
                <w:szCs w:val="20"/>
                <w:lang w:val="en-US" w:eastAsia="fr-LU"/>
              </w:rPr>
            </w:pPr>
            <w:r>
              <w:rPr>
                <w:rFonts w:eastAsia="Calibri"/>
                <w:noProof/>
                <w:szCs w:val="20"/>
                <w:lang w:val="en-US" w:eastAsia="en-GB"/>
              </w:rPr>
              <w:t xml:space="preserve">1.11 </w:t>
            </w:r>
            <w:r>
              <w:rPr>
                <w:rFonts w:eastAsia="Calibri"/>
                <w:noProof/>
                <w:szCs w:val="20"/>
                <w:lang w:val="en-US" w:eastAsia="fr-LU"/>
              </w:rPr>
              <w:t xml:space="preserve">Arrangements to ensure the audit trail </w:t>
            </w:r>
          </w:p>
          <w:p w:rsidR="004F32B2" w:rsidRDefault="004F32B2" w:rsidP="004F32B2">
            <w:pPr>
              <w:spacing w:after="60"/>
              <w:rPr>
                <w:rFonts w:eastAsia="Calibri"/>
                <w:bCs/>
                <w:noProof/>
                <w:szCs w:val="20"/>
                <w:lang w:val="en-US" w:eastAsia="en-GB"/>
              </w:rPr>
            </w:pPr>
            <w:r>
              <w:rPr>
                <w:rFonts w:eastAsia="Calibri"/>
                <w:noProof/>
                <w:szCs w:val="20"/>
                <w:lang w:val="en-US" w:eastAsia="fr-LU"/>
              </w:rPr>
              <w:t>Please list the body(ies) responsible for these arrangements.</w:t>
            </w:r>
          </w:p>
        </w:tc>
        <w:tc>
          <w:tcPr>
            <w:tcW w:w="4851" w:type="dxa"/>
            <w:gridSpan w:val="3"/>
            <w:tcBorders>
              <w:top w:val="single" w:sz="4" w:space="0" w:color="auto"/>
              <w:left w:val="single" w:sz="4" w:space="0" w:color="auto"/>
              <w:bottom w:val="single" w:sz="4" w:space="0" w:color="auto"/>
              <w:right w:val="single" w:sz="4" w:space="0" w:color="auto"/>
            </w:tcBorders>
            <w:vAlign w:val="center"/>
          </w:tcPr>
          <w:p w:rsidR="004F32B2" w:rsidRDefault="004F32B2" w:rsidP="004F32B2">
            <w:pPr>
              <w:spacing w:after="60"/>
              <w:jc w:val="center"/>
              <w:rPr>
                <w:rFonts w:eastAsia="Calibri"/>
                <w:noProof/>
                <w:szCs w:val="20"/>
                <w:lang w:val="en-US" w:eastAsia="en-GB"/>
              </w:rPr>
            </w:pPr>
          </w:p>
        </w:tc>
      </w:tr>
    </w:tbl>
    <w:p w:rsidR="004F32B2" w:rsidRDefault="004F32B2" w:rsidP="004F32B2">
      <w:pPr>
        <w:spacing w:after="0"/>
        <w:rPr>
          <w:noProof/>
        </w:rPr>
        <w:sectPr w:rsidR="004F32B2" w:rsidSect="004F32B2">
          <w:pgSz w:w="11906" w:h="16838"/>
          <w:pgMar w:top="1134" w:right="1134" w:bottom="1134" w:left="1134" w:header="567" w:footer="567" w:gutter="0"/>
          <w:cols w:space="720"/>
          <w:docGrid w:linePitch="326"/>
        </w:sectPr>
      </w:pPr>
    </w:p>
    <w:p w:rsidR="004F32B2" w:rsidRDefault="004F32B2" w:rsidP="004F32B2">
      <w:pPr>
        <w:rPr>
          <w:rFonts w:eastAsia="Times New Roman"/>
          <w:b/>
          <w:i/>
          <w:noProof/>
          <w:szCs w:val="24"/>
        </w:rPr>
      </w:pPr>
      <w:r>
        <w:rPr>
          <w:rFonts w:eastAsia="Times New Roman"/>
          <w:b/>
          <w:i/>
          <w:noProof/>
          <w:szCs w:val="24"/>
        </w:rPr>
        <w:lastRenderedPageBreak/>
        <w:t xml:space="preserve">Appendix 2a: </w:t>
      </w:r>
      <w:r>
        <w:rPr>
          <w:rFonts w:eastAsia="Times New Roman"/>
          <w:b/>
          <w:i/>
          <w:noProof/>
          <w:szCs w:val="24"/>
        </w:rPr>
        <w:tab/>
        <w:t>List of planned operations of strategic importance- Article 17(3)</w:t>
      </w:r>
    </w:p>
    <w:p w:rsidR="004F32B2" w:rsidRDefault="004F32B2" w:rsidP="004F32B2">
      <w:pPr>
        <w:rPr>
          <w:b/>
          <w:strike/>
          <w:noProof/>
          <w:szCs w:val="24"/>
        </w:rPr>
      </w:pPr>
    </w:p>
    <w:p w:rsidR="004F32B2" w:rsidRDefault="004F32B2" w:rsidP="004F32B2">
      <w:pPr>
        <w:pBdr>
          <w:top w:val="single" w:sz="4" w:space="1" w:color="auto"/>
          <w:left w:val="single" w:sz="4" w:space="4" w:color="auto"/>
          <w:bottom w:val="single" w:sz="4" w:space="1" w:color="auto"/>
          <w:right w:val="single" w:sz="4" w:space="4" w:color="auto"/>
        </w:pBdr>
        <w:rPr>
          <w:rFonts w:eastAsia="Times New Roman"/>
          <w:i/>
          <w:noProof/>
        </w:rPr>
      </w:pPr>
      <w:r>
        <w:rPr>
          <w:rFonts w:eastAsia="Times New Roman"/>
          <w:i/>
          <w:iCs/>
          <w:noProof/>
          <w:szCs w:val="24"/>
        </w:rPr>
        <w:t>Text field [2 000]</w:t>
      </w:r>
    </w:p>
    <w:p w:rsidR="004F32B2" w:rsidRDefault="004F32B2" w:rsidP="004F32B2"/>
    <w:p w:rsidR="004F32B2" w:rsidRDefault="004F32B2" w:rsidP="004F32B2">
      <w:pPr>
        <w:rPr>
          <w:b/>
          <w:noProof/>
          <w:szCs w:val="24"/>
          <w:u w:val="single"/>
        </w:rPr>
      </w:pPr>
    </w:p>
    <w:p w:rsidR="004F32B2" w:rsidRDefault="004F32B2" w:rsidP="004F32B2">
      <w:pPr>
        <w:rPr>
          <w:strike/>
        </w:rPr>
      </w:pPr>
    </w:p>
    <w:p w:rsidR="004F32B2" w:rsidRDefault="004F32B2" w:rsidP="004F32B2">
      <w:pPr>
        <w:rPr>
          <w:b/>
          <w:noProof/>
          <w:szCs w:val="24"/>
        </w:rPr>
      </w:pPr>
      <w:r>
        <w:rPr>
          <w:rFonts w:eastAsia="Times New Roman"/>
          <w:b/>
          <w:i/>
          <w:strike/>
          <w:noProof/>
          <w:szCs w:val="24"/>
        </w:rPr>
        <w:br w:type="page"/>
      </w:r>
      <w:r>
        <w:rPr>
          <w:rFonts w:eastAsia="Times New Roman"/>
          <w:b/>
          <w:i/>
          <w:noProof/>
          <w:szCs w:val="24"/>
        </w:rPr>
        <w:lastRenderedPageBreak/>
        <w:t xml:space="preserve">Appendix 4: </w:t>
      </w:r>
      <w:r>
        <w:rPr>
          <w:rFonts w:eastAsia="Times New Roman"/>
          <w:b/>
          <w:i/>
          <w:noProof/>
          <w:szCs w:val="24"/>
        </w:rPr>
        <w:tab/>
      </w:r>
      <w:r>
        <w:rPr>
          <w:b/>
          <w:noProof/>
          <w:szCs w:val="24"/>
        </w:rPr>
        <w:t>EMFF action plan for each outermost region</w:t>
      </w:r>
    </w:p>
    <w:p w:rsidR="004F32B2" w:rsidRDefault="004F32B2" w:rsidP="004F32B2">
      <w:pPr>
        <w:jc w:val="center"/>
        <w:rPr>
          <w:b/>
          <w:noProof/>
          <w:szCs w:val="24"/>
        </w:rPr>
      </w:pPr>
    </w:p>
    <w:p w:rsidR="004F32B2" w:rsidRDefault="004F32B2" w:rsidP="004F32B2">
      <w:pPr>
        <w:jc w:val="center"/>
        <w:rPr>
          <w:b/>
          <w:noProof/>
          <w:szCs w:val="24"/>
          <w:u w:val="single"/>
        </w:rPr>
      </w:pPr>
      <w:r>
        <w:rPr>
          <w:b/>
          <w:noProof/>
          <w:szCs w:val="24"/>
          <w:u w:val="single"/>
        </w:rPr>
        <w:t>Template for submitting data for the consideration of the Commission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4F32B2" w:rsidTr="004F32B2">
        <w:tc>
          <w:tcPr>
            <w:tcW w:w="4644" w:type="dxa"/>
            <w:tcBorders>
              <w:top w:val="single" w:sz="4" w:space="0" w:color="auto"/>
              <w:left w:val="single" w:sz="4" w:space="0" w:color="auto"/>
              <w:bottom w:val="single" w:sz="4" w:space="0" w:color="auto"/>
              <w:right w:val="single" w:sz="4" w:space="0" w:color="auto"/>
            </w:tcBorders>
            <w:hideMark/>
          </w:tcPr>
          <w:p w:rsidR="004F32B2" w:rsidRDefault="004F32B2" w:rsidP="004F32B2">
            <w:pPr>
              <w:rPr>
                <w:noProof/>
                <w:szCs w:val="24"/>
                <w:lang w:val="en-US"/>
              </w:rPr>
            </w:pPr>
            <w:r>
              <w:rPr>
                <w:noProof/>
                <w:szCs w:val="24"/>
                <w:lang w:val="en-US"/>
              </w:rPr>
              <w:t>Date of submitting the proposal</w:t>
            </w:r>
          </w:p>
        </w:tc>
        <w:tc>
          <w:tcPr>
            <w:tcW w:w="4644" w:type="dxa"/>
            <w:tcBorders>
              <w:top w:val="single" w:sz="4" w:space="0" w:color="auto"/>
              <w:left w:val="single" w:sz="4" w:space="0" w:color="auto"/>
              <w:bottom w:val="single" w:sz="4" w:space="0" w:color="auto"/>
              <w:right w:val="single" w:sz="4" w:space="0" w:color="auto"/>
            </w:tcBorders>
          </w:tcPr>
          <w:p w:rsidR="004F32B2" w:rsidRDefault="004F32B2" w:rsidP="004F32B2">
            <w:pPr>
              <w:rPr>
                <w:noProof/>
                <w:szCs w:val="24"/>
                <w:lang w:val="en-US"/>
              </w:rPr>
            </w:pPr>
          </w:p>
        </w:tc>
      </w:tr>
      <w:tr w:rsidR="004F32B2" w:rsidTr="004F32B2">
        <w:tc>
          <w:tcPr>
            <w:tcW w:w="4644" w:type="dxa"/>
            <w:tcBorders>
              <w:top w:val="single" w:sz="4" w:space="0" w:color="auto"/>
              <w:left w:val="single" w:sz="4" w:space="0" w:color="auto"/>
              <w:bottom w:val="single" w:sz="4" w:space="0" w:color="auto"/>
              <w:right w:val="single" w:sz="4" w:space="0" w:color="auto"/>
            </w:tcBorders>
            <w:hideMark/>
          </w:tcPr>
          <w:p w:rsidR="004F32B2" w:rsidRDefault="004F32B2" w:rsidP="004F32B2">
            <w:pPr>
              <w:rPr>
                <w:noProof/>
                <w:szCs w:val="24"/>
                <w:lang w:val="en-US"/>
              </w:rPr>
            </w:pPr>
            <w:r>
              <w:rPr>
                <w:noProof/>
                <w:szCs w:val="24"/>
                <w:lang w:val="en-US"/>
              </w:rPr>
              <w:t xml:space="preserve">Current version </w:t>
            </w:r>
          </w:p>
        </w:tc>
        <w:tc>
          <w:tcPr>
            <w:tcW w:w="4644" w:type="dxa"/>
            <w:tcBorders>
              <w:top w:val="single" w:sz="4" w:space="0" w:color="auto"/>
              <w:left w:val="single" w:sz="4" w:space="0" w:color="auto"/>
              <w:bottom w:val="single" w:sz="4" w:space="0" w:color="auto"/>
              <w:right w:val="single" w:sz="4" w:space="0" w:color="auto"/>
            </w:tcBorders>
          </w:tcPr>
          <w:p w:rsidR="004F32B2" w:rsidRDefault="004F32B2" w:rsidP="004F32B2">
            <w:pPr>
              <w:rPr>
                <w:noProof/>
                <w:szCs w:val="24"/>
                <w:lang w:val="en-US"/>
              </w:rPr>
            </w:pPr>
          </w:p>
        </w:tc>
      </w:tr>
    </w:tbl>
    <w:p w:rsidR="004F32B2" w:rsidRDefault="004F32B2" w:rsidP="004F32B2">
      <w:pPr>
        <w:jc w:val="center"/>
        <w:rPr>
          <w:b/>
          <w:noProof/>
          <w:szCs w:val="24"/>
        </w:rPr>
      </w:pPr>
    </w:p>
    <w:p w:rsidR="004F32B2" w:rsidRDefault="004F32B2" w:rsidP="004F32B2">
      <w:pPr>
        <w:rPr>
          <w:rFonts w:eastAsia="Times New Roman"/>
          <w:b/>
          <w:iCs/>
          <w:noProof/>
          <w:szCs w:val="24"/>
        </w:rPr>
      </w:pPr>
      <w:r>
        <w:rPr>
          <w:rFonts w:eastAsia="Times New Roman"/>
          <w:b/>
          <w:noProof/>
          <w:color w:val="000000"/>
          <w:szCs w:val="24"/>
        </w:rPr>
        <w:t>1. Description of the strategy for the sustainable exploitation of fisheries and the development of the sustainable blue economy</w:t>
      </w:r>
    </w:p>
    <w:p w:rsidR="004F32B2" w:rsidRDefault="004F32B2" w:rsidP="004F32B2">
      <w:pPr>
        <w:rPr>
          <w:rFonts w:eastAsia="Times New Roman"/>
          <w:b/>
          <w:iCs/>
          <w:noProof/>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4F32B2" w:rsidTr="004F32B2">
        <w:tc>
          <w:tcPr>
            <w:tcW w:w="9288" w:type="dxa"/>
            <w:tcBorders>
              <w:top w:val="single" w:sz="4" w:space="0" w:color="auto"/>
              <w:left w:val="single" w:sz="4" w:space="0" w:color="auto"/>
              <w:bottom w:val="single" w:sz="4" w:space="0" w:color="auto"/>
              <w:right w:val="single" w:sz="4" w:space="0" w:color="auto"/>
            </w:tcBorders>
            <w:hideMark/>
          </w:tcPr>
          <w:p w:rsidR="004F32B2" w:rsidRDefault="004F32B2" w:rsidP="004F32B2">
            <w:pPr>
              <w:rPr>
                <w:rFonts w:eastAsia="Times New Roman"/>
                <w:i/>
                <w:noProof/>
                <w:color w:val="000000"/>
                <w:lang w:val="en-US"/>
              </w:rPr>
            </w:pPr>
            <w:r>
              <w:rPr>
                <w:rFonts w:eastAsia="Times New Roman"/>
                <w:i/>
                <w:iCs/>
                <w:noProof/>
                <w:lang w:val="en-US"/>
              </w:rPr>
              <w:t>Text field [30 000]</w:t>
            </w:r>
          </w:p>
        </w:tc>
      </w:tr>
    </w:tbl>
    <w:p w:rsidR="004F32B2" w:rsidRDefault="004F32B2" w:rsidP="004F32B2">
      <w:pPr>
        <w:jc w:val="center"/>
        <w:rPr>
          <w:rFonts w:eastAsia="Times New Roman"/>
          <w:b/>
          <w:noProof/>
          <w:color w:val="000000"/>
          <w:szCs w:val="24"/>
        </w:rPr>
      </w:pPr>
    </w:p>
    <w:p w:rsidR="004F32B2" w:rsidRDefault="004F32B2" w:rsidP="004F32B2">
      <w:pPr>
        <w:rPr>
          <w:rFonts w:eastAsia="Times New Roman"/>
          <w:b/>
          <w:noProof/>
          <w:color w:val="000000"/>
          <w:szCs w:val="24"/>
        </w:rPr>
      </w:pPr>
      <w:r>
        <w:rPr>
          <w:rFonts w:eastAsia="Times New Roman"/>
          <w:b/>
          <w:noProof/>
          <w:color w:val="000000"/>
          <w:szCs w:val="24"/>
        </w:rPr>
        <w:t>2. Description of the main actions envisaged and the corresponding financial means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7"/>
        <w:gridCol w:w="2801"/>
      </w:tblGrid>
      <w:tr w:rsidR="004F32B2" w:rsidTr="004F32B2">
        <w:tc>
          <w:tcPr>
            <w:tcW w:w="6487" w:type="dxa"/>
            <w:tcBorders>
              <w:top w:val="single" w:sz="4" w:space="0" w:color="auto"/>
              <w:left w:val="single" w:sz="4" w:space="0" w:color="auto"/>
              <w:bottom w:val="single" w:sz="4" w:space="0" w:color="auto"/>
              <w:right w:val="single" w:sz="4" w:space="0" w:color="auto"/>
            </w:tcBorders>
            <w:hideMark/>
          </w:tcPr>
          <w:p w:rsidR="004F32B2" w:rsidRDefault="004F32B2" w:rsidP="004F32B2">
            <w:pPr>
              <w:spacing w:before="240" w:after="240"/>
              <w:rPr>
                <w:rFonts w:eastAsia="Times New Roman"/>
                <w:b/>
                <w:noProof/>
                <w:color w:val="000000"/>
                <w:szCs w:val="24"/>
                <w:lang w:val="en-US"/>
              </w:rPr>
            </w:pPr>
            <w:r>
              <w:rPr>
                <w:rFonts w:eastAsia="Times New Roman"/>
                <w:b/>
                <w:noProof/>
                <w:color w:val="000000"/>
                <w:szCs w:val="24"/>
                <w:lang w:val="en-US"/>
              </w:rPr>
              <w:t>Description of the main actions</w:t>
            </w:r>
          </w:p>
        </w:tc>
        <w:tc>
          <w:tcPr>
            <w:tcW w:w="2801" w:type="dxa"/>
            <w:tcBorders>
              <w:top w:val="single" w:sz="4" w:space="0" w:color="auto"/>
              <w:left w:val="single" w:sz="4" w:space="0" w:color="auto"/>
              <w:bottom w:val="single" w:sz="4" w:space="0" w:color="auto"/>
              <w:right w:val="single" w:sz="4" w:space="0" w:color="auto"/>
            </w:tcBorders>
            <w:hideMark/>
          </w:tcPr>
          <w:p w:rsidR="004F32B2" w:rsidRDefault="004F32B2" w:rsidP="004F32B2">
            <w:pPr>
              <w:spacing w:before="240" w:after="240"/>
              <w:rPr>
                <w:rFonts w:eastAsia="Times New Roman"/>
                <w:b/>
                <w:noProof/>
                <w:color w:val="000000"/>
                <w:szCs w:val="24"/>
                <w:lang w:val="en-US"/>
              </w:rPr>
            </w:pPr>
            <w:r>
              <w:rPr>
                <w:rFonts w:eastAsia="Times New Roman"/>
                <w:b/>
                <w:noProof/>
                <w:color w:val="000000"/>
                <w:szCs w:val="24"/>
                <w:lang w:val="en-US"/>
              </w:rPr>
              <w:t xml:space="preserve">EMFF amount allocated (EUR) </w:t>
            </w:r>
          </w:p>
        </w:tc>
      </w:tr>
      <w:tr w:rsidR="004F32B2" w:rsidTr="004F32B2">
        <w:tc>
          <w:tcPr>
            <w:tcW w:w="6487" w:type="dxa"/>
            <w:tcBorders>
              <w:top w:val="single" w:sz="4" w:space="0" w:color="auto"/>
              <w:left w:val="single" w:sz="4" w:space="0" w:color="auto"/>
              <w:bottom w:val="single" w:sz="4" w:space="0" w:color="auto"/>
              <w:right w:val="single" w:sz="4" w:space="0" w:color="auto"/>
            </w:tcBorders>
            <w:hideMark/>
          </w:tcPr>
          <w:p w:rsidR="004F32B2" w:rsidRDefault="004F32B2" w:rsidP="004F32B2">
            <w:pPr>
              <w:spacing w:before="240" w:after="240"/>
              <w:rPr>
                <w:rFonts w:eastAsia="Times New Roman"/>
                <w:noProof/>
                <w:color w:val="000000"/>
                <w:szCs w:val="24"/>
                <w:lang w:val="en-US"/>
              </w:rPr>
            </w:pPr>
            <w:r>
              <w:rPr>
                <w:rFonts w:eastAsia="Times New Roman"/>
                <w:noProof/>
                <w:color w:val="000000"/>
                <w:szCs w:val="24"/>
                <w:lang w:val="en-US"/>
              </w:rPr>
              <w:t xml:space="preserve">Structural support to the fishery and aquaculture sector under the EMFF </w:t>
            </w:r>
          </w:p>
          <w:p w:rsidR="004F32B2" w:rsidRDefault="004F32B2" w:rsidP="004F32B2">
            <w:pPr>
              <w:spacing w:before="240" w:after="240"/>
              <w:rPr>
                <w:rFonts w:eastAsia="Times New Roman"/>
                <w:noProof/>
                <w:color w:val="000000"/>
                <w:szCs w:val="24"/>
                <w:lang w:val="en-US"/>
              </w:rPr>
            </w:pPr>
            <w:r>
              <w:rPr>
                <w:rFonts w:eastAsia="Times New Roman"/>
                <w:i/>
                <w:iCs/>
                <w:noProof/>
                <w:lang w:val="en-US"/>
              </w:rPr>
              <w:t>Text field [10 000]</w:t>
            </w:r>
          </w:p>
        </w:tc>
        <w:tc>
          <w:tcPr>
            <w:tcW w:w="2801" w:type="dxa"/>
            <w:tcBorders>
              <w:top w:val="single" w:sz="4" w:space="0" w:color="auto"/>
              <w:left w:val="single" w:sz="4" w:space="0" w:color="auto"/>
              <w:bottom w:val="single" w:sz="4" w:space="0" w:color="auto"/>
              <w:right w:val="single" w:sz="4" w:space="0" w:color="auto"/>
            </w:tcBorders>
          </w:tcPr>
          <w:p w:rsidR="004F32B2" w:rsidRDefault="004F32B2" w:rsidP="004F32B2">
            <w:pPr>
              <w:spacing w:before="240" w:after="240"/>
              <w:rPr>
                <w:rFonts w:eastAsia="Times New Roman"/>
                <w:noProof/>
                <w:color w:val="000000"/>
                <w:szCs w:val="24"/>
                <w:lang w:val="en-US"/>
              </w:rPr>
            </w:pPr>
          </w:p>
        </w:tc>
      </w:tr>
      <w:tr w:rsidR="004F32B2" w:rsidTr="004F32B2">
        <w:tc>
          <w:tcPr>
            <w:tcW w:w="6487" w:type="dxa"/>
            <w:tcBorders>
              <w:top w:val="single" w:sz="4" w:space="0" w:color="auto"/>
              <w:left w:val="single" w:sz="4" w:space="0" w:color="auto"/>
              <w:bottom w:val="single" w:sz="4" w:space="0" w:color="auto"/>
              <w:right w:val="single" w:sz="4" w:space="0" w:color="auto"/>
            </w:tcBorders>
            <w:hideMark/>
          </w:tcPr>
          <w:p w:rsidR="004F32B2" w:rsidRDefault="004F32B2" w:rsidP="004F32B2">
            <w:pPr>
              <w:spacing w:before="240" w:after="240"/>
              <w:rPr>
                <w:rFonts w:eastAsia="Times New Roman"/>
                <w:i/>
                <w:iCs/>
                <w:noProof/>
                <w:lang w:val="en-US"/>
              </w:rPr>
            </w:pPr>
            <w:r>
              <w:rPr>
                <w:rFonts w:eastAsia="Times New Roman"/>
                <w:noProof/>
                <w:color w:val="000000"/>
                <w:szCs w:val="24"/>
                <w:lang w:val="en-US"/>
              </w:rPr>
              <w:t>Compensation for the additional costs under Article 21 of the EMFF</w:t>
            </w:r>
            <w:r>
              <w:rPr>
                <w:rFonts w:eastAsia="Times New Roman"/>
                <w:i/>
                <w:iCs/>
                <w:noProof/>
                <w:lang w:val="en-US"/>
              </w:rPr>
              <w:t xml:space="preserve"> </w:t>
            </w:r>
          </w:p>
          <w:p w:rsidR="004F32B2" w:rsidRDefault="004F32B2" w:rsidP="004F32B2">
            <w:pPr>
              <w:spacing w:before="240" w:after="240"/>
              <w:rPr>
                <w:rFonts w:eastAsia="Times New Roman"/>
                <w:noProof/>
                <w:color w:val="000000"/>
                <w:szCs w:val="24"/>
                <w:lang w:val="en-US"/>
              </w:rPr>
            </w:pPr>
            <w:r>
              <w:rPr>
                <w:rFonts w:eastAsia="Times New Roman"/>
                <w:i/>
                <w:iCs/>
                <w:noProof/>
                <w:lang w:val="en-US"/>
              </w:rPr>
              <w:t>Text field [10 000]</w:t>
            </w:r>
          </w:p>
        </w:tc>
        <w:tc>
          <w:tcPr>
            <w:tcW w:w="2801" w:type="dxa"/>
            <w:tcBorders>
              <w:top w:val="single" w:sz="4" w:space="0" w:color="auto"/>
              <w:left w:val="single" w:sz="4" w:space="0" w:color="auto"/>
              <w:bottom w:val="single" w:sz="4" w:space="0" w:color="auto"/>
              <w:right w:val="single" w:sz="4" w:space="0" w:color="auto"/>
            </w:tcBorders>
          </w:tcPr>
          <w:p w:rsidR="004F32B2" w:rsidRDefault="004F32B2" w:rsidP="004F32B2">
            <w:pPr>
              <w:spacing w:before="240" w:after="240"/>
              <w:rPr>
                <w:rFonts w:eastAsia="Times New Roman"/>
                <w:noProof/>
                <w:color w:val="000000"/>
                <w:szCs w:val="24"/>
                <w:lang w:val="en-US"/>
              </w:rPr>
            </w:pPr>
          </w:p>
        </w:tc>
      </w:tr>
      <w:tr w:rsidR="004F32B2" w:rsidTr="004F32B2">
        <w:tc>
          <w:tcPr>
            <w:tcW w:w="6487" w:type="dxa"/>
            <w:tcBorders>
              <w:top w:val="single" w:sz="4" w:space="0" w:color="auto"/>
              <w:left w:val="single" w:sz="4" w:space="0" w:color="auto"/>
              <w:bottom w:val="single" w:sz="4" w:space="0" w:color="auto"/>
              <w:right w:val="single" w:sz="4" w:space="0" w:color="auto"/>
            </w:tcBorders>
            <w:hideMark/>
          </w:tcPr>
          <w:p w:rsidR="004F32B2" w:rsidRDefault="004F32B2" w:rsidP="004F32B2">
            <w:pPr>
              <w:spacing w:before="240" w:after="240"/>
              <w:rPr>
                <w:rFonts w:eastAsia="Times New Roman"/>
                <w:i/>
                <w:iCs/>
                <w:noProof/>
                <w:lang w:val="en-US"/>
              </w:rPr>
            </w:pPr>
            <w:r>
              <w:rPr>
                <w:rFonts w:eastAsia="Times New Roman"/>
                <w:noProof/>
                <w:color w:val="000000"/>
                <w:szCs w:val="24"/>
                <w:lang w:val="en-US"/>
              </w:rPr>
              <w:t>Other investments in the sustainable blue economy necessary to achieve a sustainable coastal development</w:t>
            </w:r>
            <w:r>
              <w:rPr>
                <w:rFonts w:eastAsia="Times New Roman"/>
                <w:i/>
                <w:iCs/>
                <w:noProof/>
                <w:lang w:val="en-US"/>
              </w:rPr>
              <w:t xml:space="preserve"> </w:t>
            </w:r>
          </w:p>
          <w:p w:rsidR="004F32B2" w:rsidRDefault="004F32B2" w:rsidP="004F32B2">
            <w:pPr>
              <w:spacing w:before="240" w:after="240"/>
              <w:rPr>
                <w:rFonts w:eastAsia="Times New Roman"/>
                <w:noProof/>
                <w:color w:val="000000"/>
                <w:szCs w:val="24"/>
                <w:lang w:val="en-US"/>
              </w:rPr>
            </w:pPr>
            <w:r>
              <w:rPr>
                <w:rFonts w:eastAsia="Times New Roman"/>
                <w:i/>
                <w:iCs/>
                <w:noProof/>
                <w:lang w:val="en-US"/>
              </w:rPr>
              <w:t>Text field [10 000]</w:t>
            </w:r>
          </w:p>
        </w:tc>
        <w:tc>
          <w:tcPr>
            <w:tcW w:w="2801" w:type="dxa"/>
            <w:tcBorders>
              <w:top w:val="single" w:sz="4" w:space="0" w:color="auto"/>
              <w:left w:val="single" w:sz="4" w:space="0" w:color="auto"/>
              <w:bottom w:val="single" w:sz="4" w:space="0" w:color="auto"/>
              <w:right w:val="single" w:sz="4" w:space="0" w:color="auto"/>
            </w:tcBorders>
          </w:tcPr>
          <w:p w:rsidR="004F32B2" w:rsidRDefault="004F32B2" w:rsidP="004F32B2">
            <w:pPr>
              <w:spacing w:before="240" w:after="240"/>
              <w:rPr>
                <w:rFonts w:eastAsia="Times New Roman"/>
                <w:noProof/>
                <w:color w:val="000000"/>
                <w:szCs w:val="24"/>
                <w:lang w:val="en-US"/>
              </w:rPr>
            </w:pPr>
          </w:p>
        </w:tc>
      </w:tr>
    </w:tbl>
    <w:p w:rsidR="004F32B2" w:rsidRDefault="004F32B2" w:rsidP="004F32B2"/>
    <w:p w:rsidR="004F32B2" w:rsidRDefault="004F32B2" w:rsidP="004F32B2">
      <w:pPr>
        <w:rPr>
          <w:rFonts w:eastAsia="Times New Roman"/>
          <w:b/>
          <w:noProof/>
          <w:color w:val="000000"/>
          <w:szCs w:val="24"/>
        </w:rPr>
      </w:pPr>
      <w:r>
        <w:rPr>
          <w:rFonts w:eastAsia="Times New Roman"/>
          <w:b/>
          <w:noProof/>
          <w:color w:val="000000"/>
          <w:szCs w:val="24"/>
        </w:rPr>
        <w:t>3. Description of the synergies with other sources of Union funding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4F32B2" w:rsidTr="004F32B2">
        <w:tc>
          <w:tcPr>
            <w:tcW w:w="9288" w:type="dxa"/>
            <w:tcBorders>
              <w:top w:val="single" w:sz="4" w:space="0" w:color="auto"/>
              <w:left w:val="single" w:sz="4" w:space="0" w:color="auto"/>
              <w:bottom w:val="single" w:sz="4" w:space="0" w:color="auto"/>
              <w:right w:val="single" w:sz="4" w:space="0" w:color="auto"/>
            </w:tcBorders>
            <w:hideMark/>
          </w:tcPr>
          <w:p w:rsidR="004F32B2" w:rsidRDefault="004F32B2" w:rsidP="004F32B2">
            <w:pPr>
              <w:rPr>
                <w:rFonts w:eastAsia="Times New Roman"/>
                <w:i/>
                <w:noProof/>
                <w:color w:val="000000"/>
                <w:lang w:val="en-US"/>
              </w:rPr>
            </w:pPr>
            <w:r>
              <w:rPr>
                <w:rFonts w:eastAsia="Times New Roman"/>
                <w:i/>
                <w:iCs/>
                <w:noProof/>
                <w:lang w:val="en-US"/>
              </w:rPr>
              <w:t>Text field [10 000]</w:t>
            </w:r>
          </w:p>
        </w:tc>
      </w:tr>
    </w:tbl>
    <w:p w:rsidR="004F32B2" w:rsidRDefault="004F32B2" w:rsidP="004F32B2">
      <w:pPr>
        <w:spacing w:after="0"/>
        <w:rPr>
          <w:strike/>
          <w:noProof/>
        </w:rPr>
        <w:sectPr w:rsidR="004F32B2" w:rsidSect="004F32B2">
          <w:pgSz w:w="11906" w:h="16838"/>
          <w:pgMar w:top="1134" w:right="1134" w:bottom="1134" w:left="1134" w:header="567" w:footer="567" w:gutter="0"/>
          <w:cols w:space="720"/>
          <w:docGrid w:linePitch="326"/>
        </w:sectPr>
      </w:pPr>
    </w:p>
    <w:p w:rsidR="00F000AD" w:rsidRDefault="00F000AD" w:rsidP="00871DAF">
      <w:pPr>
        <w:spacing w:after="160" w:line="256" w:lineRule="auto"/>
        <w:jc w:val="center"/>
      </w:pPr>
    </w:p>
    <w:sectPr w:rsidR="00F000AD" w:rsidSect="00871DAF">
      <w:headerReference w:type="default" r:id="rId35"/>
      <w:footerReference w:type="default" r:id="rId36"/>
      <w:pgSz w:w="16838" w:h="11906" w:orient="landscape"/>
      <w:pgMar w:top="1134" w:right="1134" w:bottom="1134" w:left="1134"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0134" w:rsidRDefault="009A0134" w:rsidP="00F000AD">
      <w:pPr>
        <w:spacing w:after="0" w:line="240" w:lineRule="auto"/>
      </w:pPr>
      <w:r>
        <w:separator/>
      </w:r>
    </w:p>
  </w:endnote>
  <w:endnote w:type="continuationSeparator" w:id="0">
    <w:p w:rsidR="009A0134" w:rsidRDefault="009A0134" w:rsidP="00F000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Helvetica Neue">
    <w:altName w:val="Times New Roman"/>
    <w:charset w:val="00"/>
    <w:family w:val="roman"/>
    <w:pitch w:val="default"/>
  </w:font>
  <w:font w:name="AngsanaUPC">
    <w:charset w:val="00"/>
    <w:family w:val="roman"/>
    <w:pitch w:val="variable"/>
    <w:sig w:usb0="81000003" w:usb1="00000000" w:usb2="00000000" w:usb3="00000000" w:csb0="00010001" w:csb1="00000000"/>
  </w:font>
  <w:font w:name="TimesNewRomanPSM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0576751"/>
      <w:docPartObj>
        <w:docPartGallery w:val="Page Numbers (Bottom of Page)"/>
        <w:docPartUnique/>
      </w:docPartObj>
    </w:sdtPr>
    <w:sdtContent>
      <w:p w:rsidR="00F273D0" w:rsidRDefault="00F273D0">
        <w:pPr>
          <w:pStyle w:val="Subsol"/>
          <w:jc w:val="center"/>
        </w:pPr>
        <w:r>
          <w:fldChar w:fldCharType="begin"/>
        </w:r>
        <w:r>
          <w:instrText>PAGE   \* MERGEFORMAT</w:instrText>
        </w:r>
        <w:r>
          <w:fldChar w:fldCharType="separate"/>
        </w:r>
        <w:r w:rsidR="008F12C8" w:rsidRPr="008F12C8">
          <w:rPr>
            <w:noProof/>
            <w:lang w:val="ro-RO"/>
          </w:rPr>
          <w:t>18</w:t>
        </w:r>
        <w:r>
          <w:fldChar w:fldCharType="end"/>
        </w:r>
      </w:p>
    </w:sdtContent>
  </w:sdt>
  <w:p w:rsidR="00F273D0" w:rsidRDefault="00F273D0">
    <w:pPr>
      <w:pStyle w:val="Subsol"/>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3D0" w:rsidRDefault="00F273D0">
    <w:pPr>
      <w:pStyle w:val="Subsol"/>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5170"/>
      <w:gridCol w:w="2116"/>
      <w:gridCol w:w="1821"/>
      <w:gridCol w:w="303"/>
      <w:gridCol w:w="2162"/>
      <w:gridCol w:w="1282"/>
      <w:gridCol w:w="1716"/>
    </w:tblGrid>
    <w:tr w:rsidR="00F273D0" w:rsidRPr="00D94637" w:rsidTr="004F32B2">
      <w:trPr>
        <w:jc w:val="center"/>
      </w:trPr>
      <w:tc>
        <w:tcPr>
          <w:tcW w:w="5000" w:type="pct"/>
          <w:gridSpan w:val="7"/>
          <w:shd w:val="clear" w:color="auto" w:fill="auto"/>
          <w:tcMar>
            <w:top w:w="57" w:type="dxa"/>
          </w:tcMar>
        </w:tcPr>
        <w:p w:rsidR="00F273D0" w:rsidRPr="00D94637" w:rsidRDefault="00F273D0" w:rsidP="004F32B2">
          <w:pPr>
            <w:pStyle w:val="FooterText"/>
            <w:pBdr>
              <w:top w:val="single" w:sz="4" w:space="1" w:color="auto"/>
            </w:pBdr>
            <w:spacing w:before="200"/>
            <w:rPr>
              <w:sz w:val="2"/>
              <w:szCs w:val="2"/>
            </w:rPr>
          </w:pPr>
        </w:p>
      </w:tc>
    </w:tr>
    <w:tr w:rsidR="00F273D0" w:rsidRPr="00B310DC" w:rsidTr="004F32B2">
      <w:trPr>
        <w:jc w:val="center"/>
      </w:trPr>
      <w:tc>
        <w:tcPr>
          <w:tcW w:w="2500" w:type="pct"/>
          <w:gridSpan w:val="2"/>
          <w:shd w:val="clear" w:color="auto" w:fill="auto"/>
          <w:tcMar>
            <w:top w:w="0" w:type="dxa"/>
          </w:tcMar>
        </w:tcPr>
        <w:p w:rsidR="00F273D0" w:rsidRPr="00AD7BF2" w:rsidRDefault="00F273D0" w:rsidP="004F32B2">
          <w:pPr>
            <w:pStyle w:val="FooterText"/>
          </w:pPr>
          <w:r>
            <w:t>10291/19</w:t>
          </w:r>
          <w:r w:rsidRPr="002511D8">
            <w:t xml:space="preserve"> </w:t>
          </w:r>
        </w:p>
      </w:tc>
      <w:tc>
        <w:tcPr>
          <w:tcW w:w="625" w:type="pct"/>
          <w:shd w:val="clear" w:color="auto" w:fill="auto"/>
          <w:tcMar>
            <w:top w:w="0" w:type="dxa"/>
          </w:tcMar>
        </w:tcPr>
        <w:p w:rsidR="00F273D0" w:rsidRPr="00AD7BF2" w:rsidRDefault="00F273D0" w:rsidP="004F32B2">
          <w:pPr>
            <w:pStyle w:val="FooterText"/>
            <w:jc w:val="center"/>
          </w:pPr>
        </w:p>
      </w:tc>
      <w:tc>
        <w:tcPr>
          <w:tcW w:w="1286" w:type="pct"/>
          <w:gridSpan w:val="3"/>
          <w:shd w:val="clear" w:color="auto" w:fill="auto"/>
          <w:tcMar>
            <w:top w:w="0" w:type="dxa"/>
          </w:tcMar>
        </w:tcPr>
        <w:p w:rsidR="00F273D0" w:rsidRPr="002511D8" w:rsidRDefault="00F273D0" w:rsidP="004F32B2">
          <w:pPr>
            <w:pStyle w:val="FooterText"/>
            <w:jc w:val="center"/>
          </w:pPr>
          <w:r>
            <w:t>NTC/AFG/cs</w:t>
          </w:r>
        </w:p>
      </w:tc>
      <w:tc>
        <w:tcPr>
          <w:tcW w:w="589" w:type="pct"/>
          <w:shd w:val="clear" w:color="auto" w:fill="auto"/>
          <w:tcMar>
            <w:top w:w="0" w:type="dxa"/>
          </w:tcMar>
        </w:tcPr>
        <w:p w:rsidR="00F273D0" w:rsidRPr="00B310DC" w:rsidRDefault="00F273D0" w:rsidP="004F32B2">
          <w:pPr>
            <w:pStyle w:val="FooterText"/>
            <w:jc w:val="right"/>
          </w:pPr>
          <w:r>
            <w:fldChar w:fldCharType="begin"/>
          </w:r>
          <w:r>
            <w:instrText xml:space="preserve"> PAGE  \* MERGEFORMAT </w:instrText>
          </w:r>
          <w:r>
            <w:fldChar w:fldCharType="separate"/>
          </w:r>
          <w:r w:rsidR="006D5EF2">
            <w:rPr>
              <w:noProof/>
            </w:rPr>
            <w:t>97</w:t>
          </w:r>
          <w:r>
            <w:fldChar w:fldCharType="end"/>
          </w:r>
        </w:p>
      </w:tc>
    </w:tr>
    <w:tr w:rsidR="00F273D0" w:rsidRPr="00D94637" w:rsidTr="004F32B2">
      <w:trPr>
        <w:jc w:val="center"/>
      </w:trPr>
      <w:tc>
        <w:tcPr>
          <w:tcW w:w="1774" w:type="pct"/>
          <w:shd w:val="clear" w:color="auto" w:fill="auto"/>
        </w:tcPr>
        <w:p w:rsidR="00F273D0" w:rsidRPr="00AD7BF2" w:rsidRDefault="00F273D0" w:rsidP="004F32B2">
          <w:pPr>
            <w:pStyle w:val="FooterText"/>
            <w:spacing w:before="40"/>
          </w:pPr>
          <w:r>
            <w:t>ANNEX</w:t>
          </w:r>
        </w:p>
      </w:tc>
      <w:tc>
        <w:tcPr>
          <w:tcW w:w="1455" w:type="pct"/>
          <w:gridSpan w:val="3"/>
          <w:shd w:val="clear" w:color="auto" w:fill="auto"/>
        </w:tcPr>
        <w:p w:rsidR="00F273D0" w:rsidRPr="00AD7BF2" w:rsidRDefault="00F273D0" w:rsidP="004F32B2">
          <w:pPr>
            <w:pStyle w:val="FooterText"/>
            <w:spacing w:before="40"/>
            <w:jc w:val="center"/>
          </w:pPr>
          <w:r>
            <w:t>ECOMP.2.B</w:t>
          </w:r>
        </w:p>
      </w:tc>
      <w:tc>
        <w:tcPr>
          <w:tcW w:w="742" w:type="pct"/>
          <w:shd w:val="clear" w:color="auto" w:fill="auto"/>
        </w:tcPr>
        <w:p w:rsidR="00F273D0" w:rsidRPr="00D94637" w:rsidRDefault="00F273D0" w:rsidP="004F32B2">
          <w:pPr>
            <w:pStyle w:val="FooterText"/>
            <w:jc w:val="center"/>
            <w:rPr>
              <w:b/>
              <w:position w:val="-4"/>
              <w:sz w:val="36"/>
            </w:rPr>
          </w:pPr>
        </w:p>
      </w:tc>
      <w:tc>
        <w:tcPr>
          <w:tcW w:w="1029" w:type="pct"/>
          <w:gridSpan w:val="2"/>
          <w:shd w:val="clear" w:color="auto" w:fill="auto"/>
        </w:tcPr>
        <w:p w:rsidR="00F273D0" w:rsidRPr="000310C2" w:rsidRDefault="00F273D0" w:rsidP="004F32B2">
          <w:pPr>
            <w:pStyle w:val="FooterText"/>
            <w:jc w:val="right"/>
            <w:rPr>
              <w:spacing w:val="-20"/>
              <w:sz w:val="16"/>
            </w:rPr>
          </w:pPr>
          <w:r>
            <w:rPr>
              <w:b/>
              <w:spacing w:val="-20"/>
              <w:position w:val="-4"/>
              <w:sz w:val="36"/>
            </w:rPr>
            <w:t>EN</w:t>
          </w:r>
        </w:p>
      </w:tc>
    </w:tr>
  </w:tbl>
  <w:p w:rsidR="00F273D0" w:rsidRPr="00674D71" w:rsidRDefault="00F273D0" w:rsidP="004F32B2">
    <w:pPr>
      <w:pStyle w:val="FooterCouncil"/>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3421"/>
      <w:gridCol w:w="1399"/>
      <w:gridCol w:w="1205"/>
      <w:gridCol w:w="200"/>
      <w:gridCol w:w="1430"/>
      <w:gridCol w:w="848"/>
      <w:gridCol w:w="1135"/>
    </w:tblGrid>
    <w:tr w:rsidR="00F273D0" w:rsidRPr="00D94637" w:rsidTr="004F32B2">
      <w:trPr>
        <w:jc w:val="center"/>
      </w:trPr>
      <w:tc>
        <w:tcPr>
          <w:tcW w:w="5000" w:type="pct"/>
          <w:gridSpan w:val="7"/>
          <w:shd w:val="clear" w:color="auto" w:fill="auto"/>
          <w:tcMar>
            <w:top w:w="57" w:type="dxa"/>
          </w:tcMar>
        </w:tcPr>
        <w:p w:rsidR="00F273D0" w:rsidRPr="00D94637" w:rsidRDefault="00F273D0" w:rsidP="004F32B2">
          <w:pPr>
            <w:pStyle w:val="FooterText"/>
            <w:pBdr>
              <w:top w:val="single" w:sz="4" w:space="1" w:color="auto"/>
            </w:pBdr>
            <w:spacing w:before="200"/>
            <w:rPr>
              <w:sz w:val="2"/>
              <w:szCs w:val="2"/>
            </w:rPr>
          </w:pPr>
        </w:p>
      </w:tc>
    </w:tr>
    <w:tr w:rsidR="00F273D0" w:rsidRPr="00B310DC" w:rsidTr="004F32B2">
      <w:trPr>
        <w:jc w:val="center"/>
      </w:trPr>
      <w:tc>
        <w:tcPr>
          <w:tcW w:w="2500" w:type="pct"/>
          <w:gridSpan w:val="2"/>
          <w:shd w:val="clear" w:color="auto" w:fill="auto"/>
          <w:tcMar>
            <w:top w:w="0" w:type="dxa"/>
          </w:tcMar>
        </w:tcPr>
        <w:p w:rsidR="00F273D0" w:rsidRPr="00AD7BF2" w:rsidRDefault="00F273D0" w:rsidP="004F32B2">
          <w:pPr>
            <w:pStyle w:val="FooterText"/>
          </w:pPr>
          <w:r>
            <w:t>10291/19</w:t>
          </w:r>
          <w:r w:rsidRPr="002511D8">
            <w:t xml:space="preserve"> </w:t>
          </w:r>
        </w:p>
      </w:tc>
      <w:tc>
        <w:tcPr>
          <w:tcW w:w="625" w:type="pct"/>
          <w:shd w:val="clear" w:color="auto" w:fill="auto"/>
          <w:tcMar>
            <w:top w:w="0" w:type="dxa"/>
          </w:tcMar>
        </w:tcPr>
        <w:p w:rsidR="00F273D0" w:rsidRPr="00AD7BF2" w:rsidRDefault="00F273D0" w:rsidP="004F32B2">
          <w:pPr>
            <w:pStyle w:val="FooterText"/>
            <w:jc w:val="center"/>
          </w:pPr>
        </w:p>
      </w:tc>
      <w:tc>
        <w:tcPr>
          <w:tcW w:w="1286" w:type="pct"/>
          <w:gridSpan w:val="3"/>
          <w:shd w:val="clear" w:color="auto" w:fill="auto"/>
          <w:tcMar>
            <w:top w:w="0" w:type="dxa"/>
          </w:tcMar>
        </w:tcPr>
        <w:p w:rsidR="00F273D0" w:rsidRPr="002511D8" w:rsidRDefault="00F273D0" w:rsidP="004F32B2">
          <w:pPr>
            <w:pStyle w:val="FooterText"/>
            <w:jc w:val="center"/>
          </w:pPr>
          <w:r>
            <w:t>NTC/AFG/cs</w:t>
          </w:r>
        </w:p>
      </w:tc>
      <w:tc>
        <w:tcPr>
          <w:tcW w:w="589" w:type="pct"/>
          <w:shd w:val="clear" w:color="auto" w:fill="auto"/>
          <w:tcMar>
            <w:top w:w="0" w:type="dxa"/>
          </w:tcMar>
        </w:tcPr>
        <w:p w:rsidR="00F273D0" w:rsidRPr="00B310DC" w:rsidRDefault="00F273D0" w:rsidP="004F32B2">
          <w:pPr>
            <w:pStyle w:val="FooterText"/>
            <w:jc w:val="right"/>
          </w:pPr>
          <w:r>
            <w:fldChar w:fldCharType="begin"/>
          </w:r>
          <w:r>
            <w:instrText xml:space="preserve"> PAGE  \* MERGEFORMAT </w:instrText>
          </w:r>
          <w:r>
            <w:fldChar w:fldCharType="separate"/>
          </w:r>
          <w:r w:rsidR="006D5EF2">
            <w:rPr>
              <w:noProof/>
            </w:rPr>
            <w:t>105</w:t>
          </w:r>
          <w:r>
            <w:fldChar w:fldCharType="end"/>
          </w:r>
        </w:p>
      </w:tc>
    </w:tr>
    <w:tr w:rsidR="00F273D0" w:rsidRPr="00D94637" w:rsidTr="004F32B2">
      <w:trPr>
        <w:jc w:val="center"/>
      </w:trPr>
      <w:tc>
        <w:tcPr>
          <w:tcW w:w="1774" w:type="pct"/>
          <w:shd w:val="clear" w:color="auto" w:fill="auto"/>
        </w:tcPr>
        <w:p w:rsidR="00F273D0" w:rsidRPr="00AD7BF2" w:rsidRDefault="00F273D0" w:rsidP="004F32B2">
          <w:pPr>
            <w:pStyle w:val="FooterText"/>
            <w:spacing w:before="40"/>
          </w:pPr>
          <w:r>
            <w:t>ANNEX</w:t>
          </w:r>
        </w:p>
      </w:tc>
      <w:tc>
        <w:tcPr>
          <w:tcW w:w="1455" w:type="pct"/>
          <w:gridSpan w:val="3"/>
          <w:shd w:val="clear" w:color="auto" w:fill="auto"/>
        </w:tcPr>
        <w:p w:rsidR="00F273D0" w:rsidRPr="00AD7BF2" w:rsidRDefault="00F273D0" w:rsidP="004F32B2">
          <w:pPr>
            <w:pStyle w:val="FooterText"/>
            <w:spacing w:before="40"/>
            <w:jc w:val="center"/>
          </w:pPr>
          <w:r>
            <w:t>ECOMP.2.B</w:t>
          </w:r>
        </w:p>
      </w:tc>
      <w:tc>
        <w:tcPr>
          <w:tcW w:w="742" w:type="pct"/>
          <w:shd w:val="clear" w:color="auto" w:fill="auto"/>
        </w:tcPr>
        <w:p w:rsidR="00F273D0" w:rsidRPr="00D94637" w:rsidRDefault="00F273D0" w:rsidP="004F32B2">
          <w:pPr>
            <w:pStyle w:val="FooterText"/>
            <w:jc w:val="center"/>
            <w:rPr>
              <w:b/>
              <w:position w:val="-4"/>
              <w:sz w:val="36"/>
            </w:rPr>
          </w:pPr>
        </w:p>
      </w:tc>
      <w:tc>
        <w:tcPr>
          <w:tcW w:w="1029" w:type="pct"/>
          <w:gridSpan w:val="2"/>
          <w:shd w:val="clear" w:color="auto" w:fill="auto"/>
        </w:tcPr>
        <w:p w:rsidR="00F273D0" w:rsidRPr="000310C2" w:rsidRDefault="00F273D0" w:rsidP="004F32B2">
          <w:pPr>
            <w:pStyle w:val="FooterText"/>
            <w:jc w:val="right"/>
            <w:rPr>
              <w:spacing w:val="-20"/>
              <w:sz w:val="16"/>
            </w:rPr>
          </w:pPr>
          <w:r>
            <w:rPr>
              <w:b/>
              <w:spacing w:val="-20"/>
              <w:position w:val="-4"/>
              <w:sz w:val="36"/>
            </w:rPr>
            <w:t>EN</w:t>
          </w:r>
        </w:p>
      </w:tc>
    </w:tr>
  </w:tbl>
  <w:p w:rsidR="00F273D0" w:rsidRPr="00674D71" w:rsidRDefault="00F273D0" w:rsidP="004F32B2">
    <w:pPr>
      <w:pStyle w:val="FooterCouncil"/>
    </w:pP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5170"/>
      <w:gridCol w:w="2116"/>
      <w:gridCol w:w="1821"/>
      <w:gridCol w:w="303"/>
      <w:gridCol w:w="2162"/>
      <w:gridCol w:w="1282"/>
      <w:gridCol w:w="1716"/>
    </w:tblGrid>
    <w:tr w:rsidR="00F273D0" w:rsidRPr="00D94637" w:rsidTr="00174F85">
      <w:trPr>
        <w:jc w:val="center"/>
      </w:trPr>
      <w:tc>
        <w:tcPr>
          <w:tcW w:w="5000" w:type="pct"/>
          <w:gridSpan w:val="7"/>
          <w:shd w:val="clear" w:color="auto" w:fill="auto"/>
          <w:tcMar>
            <w:top w:w="57" w:type="dxa"/>
          </w:tcMar>
        </w:tcPr>
        <w:p w:rsidR="00F273D0" w:rsidRPr="00D94637" w:rsidRDefault="00F273D0" w:rsidP="00174F85">
          <w:pPr>
            <w:pStyle w:val="FooterText"/>
            <w:pBdr>
              <w:top w:val="single" w:sz="4" w:space="1" w:color="auto"/>
            </w:pBdr>
            <w:spacing w:before="200"/>
            <w:rPr>
              <w:sz w:val="2"/>
              <w:szCs w:val="2"/>
            </w:rPr>
          </w:pPr>
        </w:p>
      </w:tc>
    </w:tr>
    <w:tr w:rsidR="00F273D0" w:rsidRPr="00B310DC" w:rsidTr="00174F85">
      <w:trPr>
        <w:jc w:val="center"/>
      </w:trPr>
      <w:tc>
        <w:tcPr>
          <w:tcW w:w="2500" w:type="pct"/>
          <w:gridSpan w:val="2"/>
          <w:shd w:val="clear" w:color="auto" w:fill="auto"/>
          <w:tcMar>
            <w:top w:w="0" w:type="dxa"/>
          </w:tcMar>
        </w:tcPr>
        <w:p w:rsidR="00F273D0" w:rsidRPr="00AD7BF2" w:rsidRDefault="00F273D0" w:rsidP="00174F85">
          <w:pPr>
            <w:pStyle w:val="FooterText"/>
          </w:pPr>
          <w:r>
            <w:t>10291/19</w:t>
          </w:r>
          <w:r w:rsidRPr="002511D8">
            <w:t xml:space="preserve"> </w:t>
          </w:r>
        </w:p>
      </w:tc>
      <w:tc>
        <w:tcPr>
          <w:tcW w:w="625" w:type="pct"/>
          <w:shd w:val="clear" w:color="auto" w:fill="auto"/>
          <w:tcMar>
            <w:top w:w="0" w:type="dxa"/>
          </w:tcMar>
        </w:tcPr>
        <w:p w:rsidR="00F273D0" w:rsidRPr="00AD7BF2" w:rsidRDefault="00F273D0" w:rsidP="00174F85">
          <w:pPr>
            <w:pStyle w:val="FooterText"/>
            <w:jc w:val="center"/>
          </w:pPr>
        </w:p>
      </w:tc>
      <w:tc>
        <w:tcPr>
          <w:tcW w:w="1286" w:type="pct"/>
          <w:gridSpan w:val="3"/>
          <w:shd w:val="clear" w:color="auto" w:fill="auto"/>
          <w:tcMar>
            <w:top w:w="0" w:type="dxa"/>
          </w:tcMar>
        </w:tcPr>
        <w:p w:rsidR="00F273D0" w:rsidRPr="002511D8" w:rsidRDefault="00F273D0" w:rsidP="00174F85">
          <w:pPr>
            <w:pStyle w:val="FooterText"/>
            <w:jc w:val="center"/>
          </w:pPr>
          <w:r>
            <w:t>NTC/AFG/cs</w:t>
          </w:r>
        </w:p>
      </w:tc>
      <w:tc>
        <w:tcPr>
          <w:tcW w:w="589" w:type="pct"/>
          <w:shd w:val="clear" w:color="auto" w:fill="auto"/>
          <w:tcMar>
            <w:top w:w="0" w:type="dxa"/>
          </w:tcMar>
        </w:tcPr>
        <w:p w:rsidR="00F273D0" w:rsidRPr="00B310DC" w:rsidRDefault="00F273D0" w:rsidP="00174F85">
          <w:pPr>
            <w:pStyle w:val="FooterText"/>
            <w:jc w:val="right"/>
          </w:pPr>
          <w:r>
            <w:fldChar w:fldCharType="begin"/>
          </w:r>
          <w:r>
            <w:instrText xml:space="preserve"> PAGE  \* MERGEFORMAT </w:instrText>
          </w:r>
          <w:r>
            <w:fldChar w:fldCharType="separate"/>
          </w:r>
          <w:r w:rsidR="006D5EF2">
            <w:rPr>
              <w:noProof/>
            </w:rPr>
            <w:t>106</w:t>
          </w:r>
          <w:r>
            <w:fldChar w:fldCharType="end"/>
          </w:r>
        </w:p>
      </w:tc>
    </w:tr>
    <w:tr w:rsidR="00F273D0" w:rsidRPr="00D94637" w:rsidTr="00174F85">
      <w:trPr>
        <w:jc w:val="center"/>
      </w:trPr>
      <w:tc>
        <w:tcPr>
          <w:tcW w:w="1774" w:type="pct"/>
          <w:shd w:val="clear" w:color="auto" w:fill="auto"/>
        </w:tcPr>
        <w:p w:rsidR="00F273D0" w:rsidRPr="00AD7BF2" w:rsidRDefault="00F273D0" w:rsidP="00174F85">
          <w:pPr>
            <w:pStyle w:val="FooterText"/>
            <w:spacing w:before="40"/>
          </w:pPr>
          <w:r>
            <w:t>ANNEX</w:t>
          </w:r>
        </w:p>
      </w:tc>
      <w:tc>
        <w:tcPr>
          <w:tcW w:w="1455" w:type="pct"/>
          <w:gridSpan w:val="3"/>
          <w:shd w:val="clear" w:color="auto" w:fill="auto"/>
        </w:tcPr>
        <w:p w:rsidR="00F273D0" w:rsidRPr="00AD7BF2" w:rsidRDefault="00F273D0" w:rsidP="00174F85">
          <w:pPr>
            <w:pStyle w:val="FooterText"/>
            <w:spacing w:before="40"/>
            <w:jc w:val="center"/>
          </w:pPr>
          <w:r>
            <w:t>ECOMP.2.B</w:t>
          </w:r>
        </w:p>
      </w:tc>
      <w:tc>
        <w:tcPr>
          <w:tcW w:w="742" w:type="pct"/>
          <w:shd w:val="clear" w:color="auto" w:fill="auto"/>
        </w:tcPr>
        <w:p w:rsidR="00F273D0" w:rsidRPr="00D94637" w:rsidRDefault="00F273D0" w:rsidP="00174F85">
          <w:pPr>
            <w:pStyle w:val="FooterText"/>
            <w:jc w:val="center"/>
            <w:rPr>
              <w:b/>
              <w:position w:val="-4"/>
              <w:sz w:val="36"/>
            </w:rPr>
          </w:pPr>
        </w:p>
      </w:tc>
      <w:tc>
        <w:tcPr>
          <w:tcW w:w="1029" w:type="pct"/>
          <w:gridSpan w:val="2"/>
          <w:shd w:val="clear" w:color="auto" w:fill="auto"/>
        </w:tcPr>
        <w:p w:rsidR="00F273D0" w:rsidRPr="000310C2" w:rsidRDefault="00F273D0" w:rsidP="00174F85">
          <w:pPr>
            <w:pStyle w:val="FooterText"/>
            <w:jc w:val="right"/>
            <w:rPr>
              <w:spacing w:val="-20"/>
              <w:sz w:val="16"/>
            </w:rPr>
          </w:pPr>
          <w:r>
            <w:rPr>
              <w:b/>
              <w:spacing w:val="-20"/>
              <w:position w:val="-4"/>
              <w:sz w:val="36"/>
            </w:rPr>
            <w:t>EN</w:t>
          </w:r>
        </w:p>
      </w:tc>
    </w:tr>
  </w:tbl>
  <w:p w:rsidR="00F273D0" w:rsidRPr="00674D71" w:rsidRDefault="00F273D0" w:rsidP="00174F85">
    <w:pPr>
      <w:pStyle w:val="FooterCouncil"/>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7421906"/>
      <w:docPartObj>
        <w:docPartGallery w:val="Page Numbers (Bottom of Page)"/>
        <w:docPartUnique/>
      </w:docPartObj>
    </w:sdtPr>
    <w:sdtContent>
      <w:p w:rsidR="00F273D0" w:rsidRDefault="00F273D0">
        <w:pPr>
          <w:pStyle w:val="Subsol"/>
          <w:jc w:val="center"/>
        </w:pPr>
        <w:r>
          <w:fldChar w:fldCharType="begin"/>
        </w:r>
        <w:r>
          <w:instrText>PAGE   \* MERGEFORMAT</w:instrText>
        </w:r>
        <w:r>
          <w:fldChar w:fldCharType="separate"/>
        </w:r>
        <w:r w:rsidR="008F12C8" w:rsidRPr="008F12C8">
          <w:rPr>
            <w:noProof/>
            <w:lang w:val="ro-RO"/>
          </w:rPr>
          <w:t>42</w:t>
        </w:r>
        <w:r>
          <w:fldChar w:fldCharType="end"/>
        </w:r>
      </w:p>
    </w:sdtContent>
  </w:sdt>
  <w:p w:rsidR="00F273D0" w:rsidRDefault="00F273D0">
    <w:pPr>
      <w:pStyle w:val="Subsol"/>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5170"/>
      <w:gridCol w:w="2116"/>
      <w:gridCol w:w="1821"/>
      <w:gridCol w:w="303"/>
      <w:gridCol w:w="2162"/>
      <w:gridCol w:w="1282"/>
      <w:gridCol w:w="1716"/>
    </w:tblGrid>
    <w:tr w:rsidR="00F273D0" w:rsidRPr="00D94637" w:rsidTr="00F000AD">
      <w:trPr>
        <w:jc w:val="center"/>
      </w:trPr>
      <w:tc>
        <w:tcPr>
          <w:tcW w:w="5000" w:type="pct"/>
          <w:gridSpan w:val="7"/>
          <w:shd w:val="clear" w:color="auto" w:fill="auto"/>
          <w:tcMar>
            <w:top w:w="57" w:type="dxa"/>
          </w:tcMar>
        </w:tcPr>
        <w:p w:rsidR="00F273D0" w:rsidRPr="00D94637" w:rsidRDefault="00F273D0" w:rsidP="00F000AD">
          <w:pPr>
            <w:pStyle w:val="FooterText"/>
            <w:pBdr>
              <w:top w:val="single" w:sz="4" w:space="1" w:color="auto"/>
            </w:pBdr>
            <w:spacing w:before="200"/>
            <w:rPr>
              <w:sz w:val="2"/>
              <w:szCs w:val="2"/>
            </w:rPr>
          </w:pPr>
        </w:p>
      </w:tc>
    </w:tr>
    <w:tr w:rsidR="00F273D0" w:rsidRPr="00B310DC" w:rsidTr="00F000AD">
      <w:trPr>
        <w:jc w:val="center"/>
      </w:trPr>
      <w:tc>
        <w:tcPr>
          <w:tcW w:w="2500" w:type="pct"/>
          <w:gridSpan w:val="2"/>
          <w:shd w:val="clear" w:color="auto" w:fill="auto"/>
          <w:tcMar>
            <w:top w:w="0" w:type="dxa"/>
          </w:tcMar>
        </w:tcPr>
        <w:p w:rsidR="00F273D0" w:rsidRPr="00AD7BF2" w:rsidRDefault="00F273D0" w:rsidP="00F000AD">
          <w:pPr>
            <w:pStyle w:val="FooterText"/>
          </w:pPr>
          <w:r>
            <w:t>10291/19</w:t>
          </w:r>
          <w:r w:rsidRPr="002511D8">
            <w:t xml:space="preserve"> </w:t>
          </w:r>
        </w:p>
      </w:tc>
      <w:tc>
        <w:tcPr>
          <w:tcW w:w="625" w:type="pct"/>
          <w:shd w:val="clear" w:color="auto" w:fill="auto"/>
          <w:tcMar>
            <w:top w:w="0" w:type="dxa"/>
          </w:tcMar>
        </w:tcPr>
        <w:p w:rsidR="00F273D0" w:rsidRPr="00AD7BF2" w:rsidRDefault="00F273D0" w:rsidP="00F000AD">
          <w:pPr>
            <w:pStyle w:val="FooterText"/>
            <w:jc w:val="center"/>
          </w:pPr>
        </w:p>
      </w:tc>
      <w:tc>
        <w:tcPr>
          <w:tcW w:w="1286" w:type="pct"/>
          <w:gridSpan w:val="3"/>
          <w:shd w:val="clear" w:color="auto" w:fill="auto"/>
          <w:tcMar>
            <w:top w:w="0" w:type="dxa"/>
          </w:tcMar>
        </w:tcPr>
        <w:p w:rsidR="00F273D0" w:rsidRPr="002511D8" w:rsidRDefault="00F273D0" w:rsidP="00F000AD">
          <w:pPr>
            <w:pStyle w:val="FooterText"/>
            <w:jc w:val="center"/>
          </w:pPr>
          <w:r>
            <w:t>NTC/AFG/cs</w:t>
          </w:r>
        </w:p>
      </w:tc>
      <w:tc>
        <w:tcPr>
          <w:tcW w:w="589" w:type="pct"/>
          <w:shd w:val="clear" w:color="auto" w:fill="auto"/>
          <w:tcMar>
            <w:top w:w="0" w:type="dxa"/>
          </w:tcMar>
        </w:tcPr>
        <w:p w:rsidR="00F273D0" w:rsidRPr="00B310DC" w:rsidRDefault="00F273D0" w:rsidP="00F000AD">
          <w:pPr>
            <w:pStyle w:val="FooterText"/>
            <w:jc w:val="right"/>
          </w:pPr>
          <w:r>
            <w:fldChar w:fldCharType="begin"/>
          </w:r>
          <w:r>
            <w:instrText xml:space="preserve"> PAGE  \* MERGEFORMAT </w:instrText>
          </w:r>
          <w:r>
            <w:fldChar w:fldCharType="separate"/>
          </w:r>
          <w:r w:rsidR="008F12C8">
            <w:rPr>
              <w:noProof/>
            </w:rPr>
            <w:t>45</w:t>
          </w:r>
          <w:r>
            <w:fldChar w:fldCharType="end"/>
          </w:r>
        </w:p>
      </w:tc>
    </w:tr>
    <w:tr w:rsidR="00F273D0" w:rsidRPr="00D94637" w:rsidTr="00F000AD">
      <w:trPr>
        <w:jc w:val="center"/>
      </w:trPr>
      <w:tc>
        <w:tcPr>
          <w:tcW w:w="1774" w:type="pct"/>
          <w:shd w:val="clear" w:color="auto" w:fill="auto"/>
        </w:tcPr>
        <w:p w:rsidR="00F273D0" w:rsidRPr="00AD7BF2" w:rsidRDefault="00F273D0" w:rsidP="00F000AD">
          <w:pPr>
            <w:pStyle w:val="FooterText"/>
            <w:spacing w:before="40"/>
          </w:pPr>
          <w:r>
            <w:t>ANNEX</w:t>
          </w:r>
        </w:p>
      </w:tc>
      <w:tc>
        <w:tcPr>
          <w:tcW w:w="1455" w:type="pct"/>
          <w:gridSpan w:val="3"/>
          <w:shd w:val="clear" w:color="auto" w:fill="auto"/>
        </w:tcPr>
        <w:p w:rsidR="00F273D0" w:rsidRPr="00AD7BF2" w:rsidRDefault="00F273D0" w:rsidP="00F000AD">
          <w:pPr>
            <w:pStyle w:val="FooterText"/>
            <w:spacing w:before="40"/>
            <w:jc w:val="center"/>
          </w:pPr>
          <w:r>
            <w:t>ECOMP.2.B</w:t>
          </w:r>
        </w:p>
      </w:tc>
      <w:tc>
        <w:tcPr>
          <w:tcW w:w="742" w:type="pct"/>
          <w:shd w:val="clear" w:color="auto" w:fill="auto"/>
        </w:tcPr>
        <w:p w:rsidR="00F273D0" w:rsidRPr="00D94637" w:rsidRDefault="00F273D0" w:rsidP="00F000AD">
          <w:pPr>
            <w:pStyle w:val="FooterText"/>
            <w:jc w:val="center"/>
            <w:rPr>
              <w:b/>
              <w:position w:val="-4"/>
              <w:sz w:val="36"/>
            </w:rPr>
          </w:pPr>
        </w:p>
      </w:tc>
      <w:tc>
        <w:tcPr>
          <w:tcW w:w="1029" w:type="pct"/>
          <w:gridSpan w:val="2"/>
          <w:shd w:val="clear" w:color="auto" w:fill="auto"/>
        </w:tcPr>
        <w:p w:rsidR="00F273D0" w:rsidRPr="000310C2" w:rsidRDefault="00F273D0" w:rsidP="00F000AD">
          <w:pPr>
            <w:pStyle w:val="FooterText"/>
            <w:jc w:val="right"/>
            <w:rPr>
              <w:spacing w:val="-20"/>
              <w:sz w:val="16"/>
            </w:rPr>
          </w:pPr>
          <w:r>
            <w:rPr>
              <w:b/>
              <w:spacing w:val="-20"/>
              <w:position w:val="-4"/>
              <w:sz w:val="36"/>
            </w:rPr>
            <w:t>EN</w:t>
          </w:r>
        </w:p>
      </w:tc>
    </w:tr>
  </w:tbl>
  <w:p w:rsidR="00F273D0" w:rsidRPr="00674D71" w:rsidRDefault="00F273D0" w:rsidP="00F000AD">
    <w:pPr>
      <w:pStyle w:val="FooterCouncil"/>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5170"/>
      <w:gridCol w:w="2116"/>
      <w:gridCol w:w="1821"/>
      <w:gridCol w:w="303"/>
      <w:gridCol w:w="2162"/>
      <w:gridCol w:w="1282"/>
      <w:gridCol w:w="1716"/>
    </w:tblGrid>
    <w:tr w:rsidR="00F273D0" w:rsidRPr="00D94637" w:rsidTr="00F000AD">
      <w:trPr>
        <w:jc w:val="center"/>
      </w:trPr>
      <w:tc>
        <w:tcPr>
          <w:tcW w:w="5000" w:type="pct"/>
          <w:gridSpan w:val="7"/>
          <w:shd w:val="clear" w:color="auto" w:fill="auto"/>
          <w:tcMar>
            <w:top w:w="57" w:type="dxa"/>
          </w:tcMar>
        </w:tcPr>
        <w:p w:rsidR="00F273D0" w:rsidRPr="00D94637" w:rsidRDefault="00F273D0" w:rsidP="00F000AD">
          <w:pPr>
            <w:pStyle w:val="FooterText"/>
            <w:pBdr>
              <w:top w:val="single" w:sz="4" w:space="1" w:color="auto"/>
            </w:pBdr>
            <w:spacing w:before="200"/>
            <w:rPr>
              <w:sz w:val="2"/>
              <w:szCs w:val="2"/>
            </w:rPr>
          </w:pPr>
        </w:p>
      </w:tc>
    </w:tr>
    <w:tr w:rsidR="00F273D0" w:rsidRPr="00B310DC" w:rsidTr="00F000AD">
      <w:trPr>
        <w:jc w:val="center"/>
      </w:trPr>
      <w:tc>
        <w:tcPr>
          <w:tcW w:w="2500" w:type="pct"/>
          <w:gridSpan w:val="2"/>
          <w:shd w:val="clear" w:color="auto" w:fill="auto"/>
          <w:tcMar>
            <w:top w:w="0" w:type="dxa"/>
          </w:tcMar>
        </w:tcPr>
        <w:p w:rsidR="00F273D0" w:rsidRPr="00AD7BF2" w:rsidRDefault="00F273D0" w:rsidP="00F000AD">
          <w:pPr>
            <w:pStyle w:val="FooterText"/>
          </w:pPr>
          <w:r>
            <w:t>10291/19</w:t>
          </w:r>
          <w:r w:rsidRPr="002511D8">
            <w:t xml:space="preserve"> </w:t>
          </w:r>
        </w:p>
      </w:tc>
      <w:tc>
        <w:tcPr>
          <w:tcW w:w="625" w:type="pct"/>
          <w:shd w:val="clear" w:color="auto" w:fill="auto"/>
          <w:tcMar>
            <w:top w:w="0" w:type="dxa"/>
          </w:tcMar>
        </w:tcPr>
        <w:p w:rsidR="00F273D0" w:rsidRPr="00AD7BF2" w:rsidRDefault="00F273D0" w:rsidP="00F000AD">
          <w:pPr>
            <w:pStyle w:val="FooterText"/>
            <w:jc w:val="center"/>
          </w:pPr>
        </w:p>
      </w:tc>
      <w:tc>
        <w:tcPr>
          <w:tcW w:w="1286" w:type="pct"/>
          <w:gridSpan w:val="3"/>
          <w:shd w:val="clear" w:color="auto" w:fill="auto"/>
          <w:tcMar>
            <w:top w:w="0" w:type="dxa"/>
          </w:tcMar>
        </w:tcPr>
        <w:p w:rsidR="00F273D0" w:rsidRPr="002511D8" w:rsidRDefault="00F273D0" w:rsidP="00F000AD">
          <w:pPr>
            <w:pStyle w:val="FooterText"/>
            <w:jc w:val="center"/>
          </w:pPr>
          <w:r>
            <w:t>NTC/AFG/cs</w:t>
          </w:r>
        </w:p>
      </w:tc>
      <w:tc>
        <w:tcPr>
          <w:tcW w:w="589" w:type="pct"/>
          <w:shd w:val="clear" w:color="auto" w:fill="auto"/>
          <w:tcMar>
            <w:top w:w="0" w:type="dxa"/>
          </w:tcMar>
        </w:tcPr>
        <w:p w:rsidR="00F273D0" w:rsidRPr="00B310DC" w:rsidRDefault="00F273D0" w:rsidP="00F000AD">
          <w:pPr>
            <w:pStyle w:val="FooterText"/>
            <w:jc w:val="right"/>
          </w:pPr>
          <w:r>
            <w:fldChar w:fldCharType="begin"/>
          </w:r>
          <w:r>
            <w:instrText xml:space="preserve"> PAGE  \* MERGEFORMAT </w:instrText>
          </w:r>
          <w:r>
            <w:fldChar w:fldCharType="separate"/>
          </w:r>
          <w:r w:rsidR="008F12C8">
            <w:rPr>
              <w:noProof/>
            </w:rPr>
            <w:t>46</w:t>
          </w:r>
          <w:r>
            <w:fldChar w:fldCharType="end"/>
          </w:r>
        </w:p>
      </w:tc>
    </w:tr>
    <w:tr w:rsidR="00F273D0" w:rsidRPr="00D94637" w:rsidTr="00F000AD">
      <w:trPr>
        <w:jc w:val="center"/>
      </w:trPr>
      <w:tc>
        <w:tcPr>
          <w:tcW w:w="1774" w:type="pct"/>
          <w:shd w:val="clear" w:color="auto" w:fill="auto"/>
        </w:tcPr>
        <w:p w:rsidR="00F273D0" w:rsidRPr="00AD7BF2" w:rsidRDefault="00F273D0" w:rsidP="00F000AD">
          <w:pPr>
            <w:pStyle w:val="FooterText"/>
            <w:spacing w:before="40"/>
          </w:pPr>
          <w:r>
            <w:t>ANNEX</w:t>
          </w:r>
        </w:p>
      </w:tc>
      <w:tc>
        <w:tcPr>
          <w:tcW w:w="1455" w:type="pct"/>
          <w:gridSpan w:val="3"/>
          <w:shd w:val="clear" w:color="auto" w:fill="auto"/>
        </w:tcPr>
        <w:p w:rsidR="00F273D0" w:rsidRPr="00AD7BF2" w:rsidRDefault="00F273D0" w:rsidP="00F000AD">
          <w:pPr>
            <w:pStyle w:val="FooterText"/>
            <w:spacing w:before="40"/>
            <w:jc w:val="center"/>
          </w:pPr>
          <w:r>
            <w:t>ECOMP.2.B</w:t>
          </w:r>
        </w:p>
      </w:tc>
      <w:tc>
        <w:tcPr>
          <w:tcW w:w="742" w:type="pct"/>
          <w:shd w:val="clear" w:color="auto" w:fill="auto"/>
        </w:tcPr>
        <w:p w:rsidR="00F273D0" w:rsidRPr="00D94637" w:rsidRDefault="00F273D0" w:rsidP="00F000AD">
          <w:pPr>
            <w:pStyle w:val="FooterText"/>
            <w:jc w:val="center"/>
            <w:rPr>
              <w:b/>
              <w:position w:val="-4"/>
              <w:sz w:val="36"/>
            </w:rPr>
          </w:pPr>
        </w:p>
      </w:tc>
      <w:tc>
        <w:tcPr>
          <w:tcW w:w="1029" w:type="pct"/>
          <w:gridSpan w:val="2"/>
          <w:shd w:val="clear" w:color="auto" w:fill="auto"/>
        </w:tcPr>
        <w:p w:rsidR="00F273D0" w:rsidRPr="000310C2" w:rsidRDefault="00F273D0" w:rsidP="00F000AD">
          <w:pPr>
            <w:pStyle w:val="FooterText"/>
            <w:jc w:val="right"/>
            <w:rPr>
              <w:spacing w:val="-20"/>
              <w:sz w:val="16"/>
            </w:rPr>
          </w:pPr>
          <w:r>
            <w:rPr>
              <w:b/>
              <w:spacing w:val="-20"/>
              <w:position w:val="-4"/>
              <w:sz w:val="36"/>
            </w:rPr>
            <w:t>EN</w:t>
          </w:r>
        </w:p>
      </w:tc>
    </w:tr>
  </w:tbl>
  <w:p w:rsidR="00F273D0" w:rsidRPr="00674D71" w:rsidRDefault="00F273D0" w:rsidP="00F000AD">
    <w:pPr>
      <w:pStyle w:val="FooterCouncil"/>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3421"/>
      <w:gridCol w:w="1399"/>
      <w:gridCol w:w="1205"/>
      <w:gridCol w:w="200"/>
      <w:gridCol w:w="1430"/>
      <w:gridCol w:w="848"/>
      <w:gridCol w:w="1135"/>
    </w:tblGrid>
    <w:tr w:rsidR="00F273D0" w:rsidRPr="00D94637" w:rsidTr="00F000AD">
      <w:trPr>
        <w:jc w:val="center"/>
      </w:trPr>
      <w:tc>
        <w:tcPr>
          <w:tcW w:w="5000" w:type="pct"/>
          <w:gridSpan w:val="7"/>
          <w:shd w:val="clear" w:color="auto" w:fill="auto"/>
          <w:tcMar>
            <w:top w:w="57" w:type="dxa"/>
          </w:tcMar>
        </w:tcPr>
        <w:p w:rsidR="00F273D0" w:rsidRPr="00D94637" w:rsidRDefault="00F273D0" w:rsidP="00F000AD">
          <w:pPr>
            <w:pStyle w:val="FooterText"/>
            <w:pBdr>
              <w:top w:val="single" w:sz="4" w:space="1" w:color="auto"/>
            </w:pBdr>
            <w:spacing w:before="200"/>
            <w:rPr>
              <w:sz w:val="2"/>
              <w:szCs w:val="2"/>
            </w:rPr>
          </w:pPr>
        </w:p>
      </w:tc>
    </w:tr>
    <w:tr w:rsidR="00F273D0" w:rsidRPr="00B310DC" w:rsidTr="00F000AD">
      <w:trPr>
        <w:jc w:val="center"/>
      </w:trPr>
      <w:tc>
        <w:tcPr>
          <w:tcW w:w="2500" w:type="pct"/>
          <w:gridSpan w:val="2"/>
          <w:shd w:val="clear" w:color="auto" w:fill="auto"/>
          <w:tcMar>
            <w:top w:w="0" w:type="dxa"/>
          </w:tcMar>
        </w:tcPr>
        <w:p w:rsidR="00F273D0" w:rsidRPr="00AD7BF2" w:rsidRDefault="00F273D0" w:rsidP="00F000AD">
          <w:pPr>
            <w:pStyle w:val="FooterText"/>
          </w:pPr>
          <w:r>
            <w:t>10291/19</w:t>
          </w:r>
          <w:r w:rsidRPr="002511D8">
            <w:t xml:space="preserve"> </w:t>
          </w:r>
        </w:p>
      </w:tc>
      <w:tc>
        <w:tcPr>
          <w:tcW w:w="625" w:type="pct"/>
          <w:shd w:val="clear" w:color="auto" w:fill="auto"/>
          <w:tcMar>
            <w:top w:w="0" w:type="dxa"/>
          </w:tcMar>
        </w:tcPr>
        <w:p w:rsidR="00F273D0" w:rsidRPr="00AD7BF2" w:rsidRDefault="00F273D0" w:rsidP="00F000AD">
          <w:pPr>
            <w:pStyle w:val="FooterText"/>
            <w:jc w:val="center"/>
          </w:pPr>
        </w:p>
      </w:tc>
      <w:tc>
        <w:tcPr>
          <w:tcW w:w="1286" w:type="pct"/>
          <w:gridSpan w:val="3"/>
          <w:shd w:val="clear" w:color="auto" w:fill="auto"/>
          <w:tcMar>
            <w:top w:w="0" w:type="dxa"/>
          </w:tcMar>
        </w:tcPr>
        <w:p w:rsidR="00F273D0" w:rsidRPr="002511D8" w:rsidRDefault="00F273D0" w:rsidP="00F000AD">
          <w:pPr>
            <w:pStyle w:val="FooterText"/>
            <w:jc w:val="center"/>
          </w:pPr>
          <w:r>
            <w:t>NTC/AFG/cs</w:t>
          </w:r>
        </w:p>
      </w:tc>
      <w:tc>
        <w:tcPr>
          <w:tcW w:w="589" w:type="pct"/>
          <w:shd w:val="clear" w:color="auto" w:fill="auto"/>
          <w:tcMar>
            <w:top w:w="0" w:type="dxa"/>
          </w:tcMar>
        </w:tcPr>
        <w:p w:rsidR="00F273D0" w:rsidRPr="00B310DC" w:rsidRDefault="00F273D0" w:rsidP="00F000AD">
          <w:pPr>
            <w:pStyle w:val="FooterText"/>
            <w:jc w:val="right"/>
          </w:pPr>
          <w:r>
            <w:fldChar w:fldCharType="begin"/>
          </w:r>
          <w:r>
            <w:instrText xml:space="preserve"> PAGE  \* MERGEFORMAT </w:instrText>
          </w:r>
          <w:r>
            <w:fldChar w:fldCharType="separate"/>
          </w:r>
          <w:r w:rsidR="008F12C8">
            <w:rPr>
              <w:noProof/>
            </w:rPr>
            <w:t>47</w:t>
          </w:r>
          <w:r>
            <w:fldChar w:fldCharType="end"/>
          </w:r>
        </w:p>
      </w:tc>
    </w:tr>
    <w:tr w:rsidR="00F273D0" w:rsidRPr="00D94637" w:rsidTr="00F000AD">
      <w:trPr>
        <w:jc w:val="center"/>
      </w:trPr>
      <w:tc>
        <w:tcPr>
          <w:tcW w:w="1774" w:type="pct"/>
          <w:shd w:val="clear" w:color="auto" w:fill="auto"/>
        </w:tcPr>
        <w:p w:rsidR="00F273D0" w:rsidRPr="00AD7BF2" w:rsidRDefault="00F273D0" w:rsidP="00F000AD">
          <w:pPr>
            <w:pStyle w:val="FooterText"/>
            <w:spacing w:before="40"/>
          </w:pPr>
          <w:r>
            <w:t>ANNEX</w:t>
          </w:r>
        </w:p>
      </w:tc>
      <w:tc>
        <w:tcPr>
          <w:tcW w:w="1455" w:type="pct"/>
          <w:gridSpan w:val="3"/>
          <w:shd w:val="clear" w:color="auto" w:fill="auto"/>
        </w:tcPr>
        <w:p w:rsidR="00F273D0" w:rsidRPr="00AD7BF2" w:rsidRDefault="00F273D0" w:rsidP="00F000AD">
          <w:pPr>
            <w:pStyle w:val="FooterText"/>
            <w:spacing w:before="40"/>
            <w:jc w:val="center"/>
          </w:pPr>
          <w:r>
            <w:t>ECOMP.2.B</w:t>
          </w:r>
        </w:p>
      </w:tc>
      <w:tc>
        <w:tcPr>
          <w:tcW w:w="742" w:type="pct"/>
          <w:shd w:val="clear" w:color="auto" w:fill="auto"/>
        </w:tcPr>
        <w:p w:rsidR="00F273D0" w:rsidRPr="00D94637" w:rsidRDefault="00F273D0" w:rsidP="00F000AD">
          <w:pPr>
            <w:pStyle w:val="FooterText"/>
            <w:jc w:val="center"/>
            <w:rPr>
              <w:b/>
              <w:position w:val="-4"/>
              <w:sz w:val="36"/>
            </w:rPr>
          </w:pPr>
        </w:p>
      </w:tc>
      <w:tc>
        <w:tcPr>
          <w:tcW w:w="1029" w:type="pct"/>
          <w:gridSpan w:val="2"/>
          <w:shd w:val="clear" w:color="auto" w:fill="auto"/>
        </w:tcPr>
        <w:p w:rsidR="00F273D0" w:rsidRPr="000310C2" w:rsidRDefault="00F273D0" w:rsidP="00F000AD">
          <w:pPr>
            <w:pStyle w:val="FooterText"/>
            <w:jc w:val="right"/>
            <w:rPr>
              <w:spacing w:val="-20"/>
              <w:sz w:val="16"/>
            </w:rPr>
          </w:pPr>
          <w:r>
            <w:rPr>
              <w:b/>
              <w:spacing w:val="-20"/>
              <w:position w:val="-4"/>
              <w:sz w:val="36"/>
            </w:rPr>
            <w:t>EN</w:t>
          </w:r>
        </w:p>
      </w:tc>
    </w:tr>
  </w:tbl>
  <w:p w:rsidR="00F273D0" w:rsidRPr="00674D71" w:rsidRDefault="00F273D0" w:rsidP="00F000AD">
    <w:pPr>
      <w:pStyle w:val="FooterCouncil"/>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3421"/>
      <w:gridCol w:w="1399"/>
      <w:gridCol w:w="1205"/>
      <w:gridCol w:w="200"/>
      <w:gridCol w:w="1430"/>
      <w:gridCol w:w="848"/>
      <w:gridCol w:w="1135"/>
    </w:tblGrid>
    <w:tr w:rsidR="00F273D0" w:rsidRPr="00D94637" w:rsidTr="00F000AD">
      <w:trPr>
        <w:jc w:val="center"/>
      </w:trPr>
      <w:tc>
        <w:tcPr>
          <w:tcW w:w="5000" w:type="pct"/>
          <w:gridSpan w:val="7"/>
          <w:shd w:val="clear" w:color="auto" w:fill="auto"/>
          <w:tcMar>
            <w:top w:w="57" w:type="dxa"/>
          </w:tcMar>
        </w:tcPr>
        <w:p w:rsidR="00F273D0" w:rsidRPr="00D94637" w:rsidRDefault="00F273D0" w:rsidP="00F000AD">
          <w:pPr>
            <w:pStyle w:val="FooterText"/>
            <w:pBdr>
              <w:top w:val="single" w:sz="4" w:space="1" w:color="auto"/>
            </w:pBdr>
            <w:spacing w:before="200"/>
            <w:rPr>
              <w:sz w:val="2"/>
              <w:szCs w:val="2"/>
            </w:rPr>
          </w:pPr>
        </w:p>
      </w:tc>
    </w:tr>
    <w:tr w:rsidR="00F273D0" w:rsidRPr="00B310DC" w:rsidTr="00F000AD">
      <w:trPr>
        <w:jc w:val="center"/>
      </w:trPr>
      <w:tc>
        <w:tcPr>
          <w:tcW w:w="2500" w:type="pct"/>
          <w:gridSpan w:val="2"/>
          <w:shd w:val="clear" w:color="auto" w:fill="auto"/>
          <w:tcMar>
            <w:top w:w="0" w:type="dxa"/>
          </w:tcMar>
        </w:tcPr>
        <w:p w:rsidR="00F273D0" w:rsidRPr="00AD7BF2" w:rsidRDefault="00F273D0" w:rsidP="00F000AD">
          <w:pPr>
            <w:pStyle w:val="FooterText"/>
          </w:pPr>
          <w:r>
            <w:t>10291/19</w:t>
          </w:r>
          <w:r w:rsidRPr="002511D8">
            <w:t xml:space="preserve"> </w:t>
          </w:r>
        </w:p>
      </w:tc>
      <w:tc>
        <w:tcPr>
          <w:tcW w:w="625" w:type="pct"/>
          <w:shd w:val="clear" w:color="auto" w:fill="auto"/>
          <w:tcMar>
            <w:top w:w="0" w:type="dxa"/>
          </w:tcMar>
        </w:tcPr>
        <w:p w:rsidR="00F273D0" w:rsidRPr="00AD7BF2" w:rsidRDefault="00F273D0" w:rsidP="00F000AD">
          <w:pPr>
            <w:pStyle w:val="FooterText"/>
            <w:jc w:val="center"/>
          </w:pPr>
        </w:p>
      </w:tc>
      <w:tc>
        <w:tcPr>
          <w:tcW w:w="1286" w:type="pct"/>
          <w:gridSpan w:val="3"/>
          <w:shd w:val="clear" w:color="auto" w:fill="auto"/>
          <w:tcMar>
            <w:top w:w="0" w:type="dxa"/>
          </w:tcMar>
        </w:tcPr>
        <w:p w:rsidR="00F273D0" w:rsidRPr="002511D8" w:rsidRDefault="00F273D0" w:rsidP="00F000AD">
          <w:pPr>
            <w:pStyle w:val="FooterText"/>
            <w:jc w:val="center"/>
          </w:pPr>
          <w:r>
            <w:t>NTC/AFG/cs</w:t>
          </w:r>
        </w:p>
      </w:tc>
      <w:tc>
        <w:tcPr>
          <w:tcW w:w="589" w:type="pct"/>
          <w:shd w:val="clear" w:color="auto" w:fill="auto"/>
          <w:tcMar>
            <w:top w:w="0" w:type="dxa"/>
          </w:tcMar>
        </w:tcPr>
        <w:p w:rsidR="00F273D0" w:rsidRPr="00B310DC" w:rsidRDefault="00F273D0" w:rsidP="00F000AD">
          <w:pPr>
            <w:pStyle w:val="FooterText"/>
            <w:jc w:val="right"/>
          </w:pPr>
          <w:r>
            <w:fldChar w:fldCharType="begin"/>
          </w:r>
          <w:r>
            <w:instrText xml:space="preserve"> PAGE  \* MERGEFORMAT </w:instrText>
          </w:r>
          <w:r>
            <w:fldChar w:fldCharType="separate"/>
          </w:r>
          <w:r w:rsidR="006D5EF2">
            <w:rPr>
              <w:noProof/>
            </w:rPr>
            <w:t>64</w:t>
          </w:r>
          <w:r>
            <w:fldChar w:fldCharType="end"/>
          </w:r>
        </w:p>
      </w:tc>
    </w:tr>
    <w:tr w:rsidR="00F273D0" w:rsidRPr="00D94637" w:rsidTr="00F000AD">
      <w:trPr>
        <w:jc w:val="center"/>
      </w:trPr>
      <w:tc>
        <w:tcPr>
          <w:tcW w:w="1774" w:type="pct"/>
          <w:shd w:val="clear" w:color="auto" w:fill="auto"/>
        </w:tcPr>
        <w:p w:rsidR="00F273D0" w:rsidRPr="00AD7BF2" w:rsidRDefault="00F273D0" w:rsidP="00F000AD">
          <w:pPr>
            <w:pStyle w:val="FooterText"/>
            <w:spacing w:before="40"/>
          </w:pPr>
          <w:r>
            <w:t>ANNEX</w:t>
          </w:r>
        </w:p>
      </w:tc>
      <w:tc>
        <w:tcPr>
          <w:tcW w:w="1455" w:type="pct"/>
          <w:gridSpan w:val="3"/>
          <w:shd w:val="clear" w:color="auto" w:fill="auto"/>
        </w:tcPr>
        <w:p w:rsidR="00F273D0" w:rsidRPr="00AD7BF2" w:rsidRDefault="00F273D0" w:rsidP="00F000AD">
          <w:pPr>
            <w:pStyle w:val="FooterText"/>
            <w:spacing w:before="40"/>
            <w:jc w:val="center"/>
          </w:pPr>
          <w:r>
            <w:t>ECOMP.2.B</w:t>
          </w:r>
        </w:p>
      </w:tc>
      <w:tc>
        <w:tcPr>
          <w:tcW w:w="742" w:type="pct"/>
          <w:shd w:val="clear" w:color="auto" w:fill="auto"/>
        </w:tcPr>
        <w:p w:rsidR="00F273D0" w:rsidRPr="00D94637" w:rsidRDefault="00F273D0" w:rsidP="00F000AD">
          <w:pPr>
            <w:pStyle w:val="FooterText"/>
            <w:jc w:val="center"/>
            <w:rPr>
              <w:b/>
              <w:position w:val="-4"/>
              <w:sz w:val="36"/>
            </w:rPr>
          </w:pPr>
        </w:p>
      </w:tc>
      <w:tc>
        <w:tcPr>
          <w:tcW w:w="1029" w:type="pct"/>
          <w:gridSpan w:val="2"/>
          <w:shd w:val="clear" w:color="auto" w:fill="auto"/>
        </w:tcPr>
        <w:p w:rsidR="00F273D0" w:rsidRPr="000310C2" w:rsidRDefault="00F273D0" w:rsidP="00F000AD">
          <w:pPr>
            <w:pStyle w:val="FooterText"/>
            <w:jc w:val="right"/>
            <w:rPr>
              <w:spacing w:val="-20"/>
              <w:sz w:val="16"/>
            </w:rPr>
          </w:pPr>
          <w:r>
            <w:rPr>
              <w:b/>
              <w:spacing w:val="-20"/>
              <w:position w:val="-4"/>
              <w:sz w:val="36"/>
            </w:rPr>
            <w:t>EN</w:t>
          </w:r>
        </w:p>
      </w:tc>
    </w:tr>
  </w:tbl>
  <w:p w:rsidR="00F273D0" w:rsidRPr="00674D71" w:rsidRDefault="00F273D0" w:rsidP="00F000AD">
    <w:pPr>
      <w:pStyle w:val="FooterCouncil"/>
    </w:pPr>
  </w:p>
  <w:p w:rsidR="00F273D0" w:rsidRDefault="00F273D0"/>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3421"/>
      <w:gridCol w:w="1399"/>
      <w:gridCol w:w="1205"/>
      <w:gridCol w:w="200"/>
      <w:gridCol w:w="1430"/>
      <w:gridCol w:w="848"/>
      <w:gridCol w:w="1135"/>
    </w:tblGrid>
    <w:tr w:rsidR="00F273D0" w:rsidRPr="00D94637" w:rsidTr="00F000AD">
      <w:trPr>
        <w:jc w:val="center"/>
      </w:trPr>
      <w:tc>
        <w:tcPr>
          <w:tcW w:w="5000" w:type="pct"/>
          <w:gridSpan w:val="7"/>
          <w:shd w:val="clear" w:color="auto" w:fill="auto"/>
          <w:tcMar>
            <w:top w:w="57" w:type="dxa"/>
          </w:tcMar>
        </w:tcPr>
        <w:p w:rsidR="00F273D0" w:rsidRPr="00D94637" w:rsidRDefault="00F273D0" w:rsidP="00F000AD">
          <w:pPr>
            <w:pStyle w:val="FooterText"/>
            <w:pBdr>
              <w:top w:val="single" w:sz="4" w:space="1" w:color="auto"/>
            </w:pBdr>
            <w:spacing w:before="200"/>
            <w:rPr>
              <w:sz w:val="2"/>
              <w:szCs w:val="2"/>
            </w:rPr>
          </w:pPr>
        </w:p>
      </w:tc>
    </w:tr>
    <w:tr w:rsidR="00F273D0" w:rsidRPr="00B310DC" w:rsidTr="00F000AD">
      <w:trPr>
        <w:jc w:val="center"/>
      </w:trPr>
      <w:tc>
        <w:tcPr>
          <w:tcW w:w="2500" w:type="pct"/>
          <w:gridSpan w:val="2"/>
          <w:shd w:val="clear" w:color="auto" w:fill="auto"/>
          <w:tcMar>
            <w:top w:w="0" w:type="dxa"/>
          </w:tcMar>
        </w:tcPr>
        <w:p w:rsidR="00F273D0" w:rsidRPr="00AD7BF2" w:rsidRDefault="00F273D0" w:rsidP="00F000AD">
          <w:pPr>
            <w:pStyle w:val="FooterText"/>
          </w:pPr>
          <w:r>
            <w:t>10291/19</w:t>
          </w:r>
          <w:r w:rsidRPr="002511D8">
            <w:t xml:space="preserve"> </w:t>
          </w:r>
        </w:p>
      </w:tc>
      <w:tc>
        <w:tcPr>
          <w:tcW w:w="625" w:type="pct"/>
          <w:shd w:val="clear" w:color="auto" w:fill="auto"/>
          <w:tcMar>
            <w:top w:w="0" w:type="dxa"/>
          </w:tcMar>
        </w:tcPr>
        <w:p w:rsidR="00F273D0" w:rsidRPr="00AD7BF2" w:rsidRDefault="00F273D0" w:rsidP="00F000AD">
          <w:pPr>
            <w:pStyle w:val="FooterText"/>
            <w:jc w:val="center"/>
          </w:pPr>
        </w:p>
      </w:tc>
      <w:tc>
        <w:tcPr>
          <w:tcW w:w="1286" w:type="pct"/>
          <w:gridSpan w:val="3"/>
          <w:shd w:val="clear" w:color="auto" w:fill="auto"/>
          <w:tcMar>
            <w:top w:w="0" w:type="dxa"/>
          </w:tcMar>
        </w:tcPr>
        <w:p w:rsidR="00F273D0" w:rsidRPr="002511D8" w:rsidRDefault="00F273D0" w:rsidP="00F000AD">
          <w:pPr>
            <w:pStyle w:val="FooterText"/>
            <w:jc w:val="center"/>
          </w:pPr>
          <w:r>
            <w:t>NTC/AFG/cs</w:t>
          </w:r>
        </w:p>
      </w:tc>
      <w:tc>
        <w:tcPr>
          <w:tcW w:w="589" w:type="pct"/>
          <w:shd w:val="clear" w:color="auto" w:fill="auto"/>
          <w:tcMar>
            <w:top w:w="0" w:type="dxa"/>
          </w:tcMar>
        </w:tcPr>
        <w:p w:rsidR="00F273D0" w:rsidRPr="00B310DC" w:rsidRDefault="00F273D0" w:rsidP="00F000AD">
          <w:pPr>
            <w:pStyle w:val="FooterText"/>
            <w:jc w:val="right"/>
          </w:pPr>
          <w:r>
            <w:fldChar w:fldCharType="begin"/>
          </w:r>
          <w:r>
            <w:instrText xml:space="preserve"> PAGE  \* MERGEFORMAT </w:instrText>
          </w:r>
          <w:r>
            <w:fldChar w:fldCharType="separate"/>
          </w:r>
          <w:r w:rsidR="006D5EF2">
            <w:rPr>
              <w:noProof/>
            </w:rPr>
            <w:t>76</w:t>
          </w:r>
          <w:r>
            <w:fldChar w:fldCharType="end"/>
          </w:r>
        </w:p>
      </w:tc>
    </w:tr>
    <w:tr w:rsidR="00F273D0" w:rsidRPr="00D94637" w:rsidTr="00F000AD">
      <w:trPr>
        <w:jc w:val="center"/>
      </w:trPr>
      <w:tc>
        <w:tcPr>
          <w:tcW w:w="1774" w:type="pct"/>
          <w:shd w:val="clear" w:color="auto" w:fill="auto"/>
        </w:tcPr>
        <w:p w:rsidR="00F273D0" w:rsidRPr="00AD7BF2" w:rsidRDefault="00F273D0" w:rsidP="00F000AD">
          <w:pPr>
            <w:pStyle w:val="FooterText"/>
            <w:spacing w:before="40"/>
          </w:pPr>
          <w:r>
            <w:t>ANNEX</w:t>
          </w:r>
        </w:p>
      </w:tc>
      <w:tc>
        <w:tcPr>
          <w:tcW w:w="1455" w:type="pct"/>
          <w:gridSpan w:val="3"/>
          <w:shd w:val="clear" w:color="auto" w:fill="auto"/>
        </w:tcPr>
        <w:p w:rsidR="00F273D0" w:rsidRPr="00AD7BF2" w:rsidRDefault="00F273D0" w:rsidP="00F000AD">
          <w:pPr>
            <w:pStyle w:val="FooterText"/>
            <w:spacing w:before="40"/>
            <w:jc w:val="center"/>
          </w:pPr>
          <w:r>
            <w:t>ECOMP.2.B</w:t>
          </w:r>
        </w:p>
      </w:tc>
      <w:tc>
        <w:tcPr>
          <w:tcW w:w="742" w:type="pct"/>
          <w:shd w:val="clear" w:color="auto" w:fill="auto"/>
        </w:tcPr>
        <w:p w:rsidR="00F273D0" w:rsidRPr="00D94637" w:rsidRDefault="00F273D0" w:rsidP="00F000AD">
          <w:pPr>
            <w:pStyle w:val="FooterText"/>
            <w:jc w:val="center"/>
            <w:rPr>
              <w:b/>
              <w:position w:val="-4"/>
              <w:sz w:val="36"/>
            </w:rPr>
          </w:pPr>
        </w:p>
      </w:tc>
      <w:tc>
        <w:tcPr>
          <w:tcW w:w="1029" w:type="pct"/>
          <w:gridSpan w:val="2"/>
          <w:shd w:val="clear" w:color="auto" w:fill="auto"/>
        </w:tcPr>
        <w:p w:rsidR="00F273D0" w:rsidRPr="000310C2" w:rsidRDefault="00F273D0" w:rsidP="00F000AD">
          <w:pPr>
            <w:pStyle w:val="FooterText"/>
            <w:jc w:val="right"/>
            <w:rPr>
              <w:spacing w:val="-20"/>
              <w:sz w:val="16"/>
            </w:rPr>
          </w:pPr>
          <w:r>
            <w:rPr>
              <w:b/>
              <w:spacing w:val="-20"/>
              <w:position w:val="-4"/>
              <w:sz w:val="36"/>
            </w:rPr>
            <w:t>EN</w:t>
          </w:r>
        </w:p>
      </w:tc>
    </w:tr>
  </w:tbl>
  <w:p w:rsidR="00F273D0" w:rsidRPr="00674D71" w:rsidRDefault="00F273D0" w:rsidP="00F000AD">
    <w:pPr>
      <w:pStyle w:val="FooterCouncil"/>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3D0" w:rsidRDefault="00F273D0">
    <w:pPr>
      <w:pStyle w:val="Subsol"/>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4161811"/>
      <w:docPartObj>
        <w:docPartGallery w:val="Page Numbers (Bottom of Page)"/>
        <w:docPartUnique/>
      </w:docPartObj>
    </w:sdtPr>
    <w:sdtEndPr>
      <w:rPr>
        <w:noProof/>
      </w:rPr>
    </w:sdtEndPr>
    <w:sdtContent>
      <w:p w:rsidR="00F273D0" w:rsidRDefault="00F273D0">
        <w:pPr>
          <w:pStyle w:val="Subsol"/>
          <w:jc w:val="center"/>
        </w:pPr>
        <w:r>
          <w:fldChar w:fldCharType="begin"/>
        </w:r>
        <w:r>
          <w:instrText xml:space="preserve"> PAGE   \* MERGEFORMAT </w:instrText>
        </w:r>
        <w:r>
          <w:fldChar w:fldCharType="separate"/>
        </w:r>
        <w:r w:rsidR="006D5EF2">
          <w:rPr>
            <w:noProof/>
          </w:rPr>
          <w:t>96</w:t>
        </w:r>
        <w:r>
          <w:rPr>
            <w:noProof/>
          </w:rPr>
          <w:fldChar w:fldCharType="end"/>
        </w:r>
      </w:p>
    </w:sdtContent>
  </w:sdt>
  <w:p w:rsidR="00F273D0" w:rsidRDefault="00F273D0">
    <w:pPr>
      <w:pStyle w:val="Subsol"/>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0134" w:rsidRDefault="009A0134" w:rsidP="00F000AD">
      <w:pPr>
        <w:spacing w:after="0" w:line="240" w:lineRule="auto"/>
      </w:pPr>
      <w:r>
        <w:separator/>
      </w:r>
    </w:p>
  </w:footnote>
  <w:footnote w:type="continuationSeparator" w:id="0">
    <w:p w:rsidR="009A0134" w:rsidRDefault="009A0134" w:rsidP="00F000AD">
      <w:pPr>
        <w:spacing w:after="0" w:line="240" w:lineRule="auto"/>
      </w:pPr>
      <w:r>
        <w:continuationSeparator/>
      </w:r>
    </w:p>
  </w:footnote>
  <w:footnote w:id="1">
    <w:p w:rsidR="00F273D0" w:rsidRPr="005C75DF" w:rsidRDefault="00F273D0">
      <w:pPr>
        <w:pStyle w:val="Textnotdesubsol"/>
        <w:rPr>
          <w:rFonts w:ascii="Times New Roman" w:hAnsi="Times New Roman" w:cs="Times New Roman"/>
          <w:sz w:val="14"/>
          <w:szCs w:val="14"/>
          <w:lang w:val="en-US"/>
        </w:rPr>
      </w:pPr>
      <w:r w:rsidRPr="005C75DF">
        <w:rPr>
          <w:rStyle w:val="Referinnotdesubsol"/>
          <w:rFonts w:ascii="Times New Roman" w:hAnsi="Times New Roman" w:cs="Times New Roman"/>
          <w:sz w:val="14"/>
          <w:szCs w:val="14"/>
        </w:rPr>
        <w:footnoteRef/>
      </w:r>
      <w:r w:rsidRPr="005C75DF">
        <w:rPr>
          <w:rFonts w:ascii="Times New Roman" w:hAnsi="Times New Roman" w:cs="Times New Roman"/>
          <w:sz w:val="14"/>
          <w:szCs w:val="14"/>
        </w:rPr>
        <w:t xml:space="preserve"> </w:t>
      </w:r>
      <w:r w:rsidRPr="005C75DF">
        <w:rPr>
          <w:rFonts w:ascii="Times New Roman" w:hAnsi="Times New Roman" w:cs="Times New Roman"/>
          <w:sz w:val="14"/>
          <w:szCs w:val="14"/>
          <w:lang w:val="en-US"/>
        </w:rPr>
        <w:t>http://www.adrcentru.ro/dez-reg/consultarea-structurilor-parteneriale-de-planificare-cu-privire-la-versiunea-de-lucru-a-pdr-centru-2021-2027/</w:t>
      </w:r>
    </w:p>
  </w:footnote>
  <w:footnote w:id="2">
    <w:p w:rsidR="00F273D0" w:rsidRPr="005C75DF" w:rsidRDefault="00F273D0">
      <w:pPr>
        <w:pStyle w:val="Textnotdesubsol"/>
        <w:rPr>
          <w:rFonts w:ascii="Times New Roman" w:hAnsi="Times New Roman" w:cs="Times New Roman"/>
          <w:sz w:val="14"/>
          <w:szCs w:val="14"/>
          <w:lang w:val="en-US"/>
        </w:rPr>
      </w:pPr>
      <w:r w:rsidRPr="005C75DF">
        <w:rPr>
          <w:rStyle w:val="Referinnotdesubsol"/>
          <w:rFonts w:ascii="Times New Roman" w:hAnsi="Times New Roman" w:cs="Times New Roman"/>
          <w:sz w:val="14"/>
          <w:szCs w:val="14"/>
        </w:rPr>
        <w:footnoteRef/>
      </w:r>
      <w:r w:rsidRPr="005C75DF">
        <w:rPr>
          <w:rFonts w:ascii="Times New Roman" w:hAnsi="Times New Roman" w:cs="Times New Roman"/>
          <w:sz w:val="14"/>
          <w:szCs w:val="14"/>
        </w:rPr>
        <w:t xml:space="preserve"> </w:t>
      </w:r>
      <w:r w:rsidRPr="005C75DF">
        <w:rPr>
          <w:rFonts w:ascii="Times New Roman" w:hAnsi="Times New Roman" w:cs="Times New Roman"/>
          <w:sz w:val="14"/>
          <w:szCs w:val="14"/>
          <w:lang w:val="en-US"/>
        </w:rPr>
        <w:t>http://www.adrcentru.ro/dez-reg/strategia-de-specializare-inteligenta-a-regiunii-centru-versiunea-septembrie-2017/</w:t>
      </w:r>
    </w:p>
  </w:footnote>
  <w:footnote w:id="3">
    <w:p w:rsidR="00F273D0" w:rsidRPr="005C75DF" w:rsidRDefault="00F273D0" w:rsidP="002C59D6">
      <w:pPr>
        <w:pStyle w:val="Textnotdesubsol"/>
        <w:rPr>
          <w:rFonts w:ascii="Times New Roman" w:hAnsi="Times New Roman" w:cs="Times New Roman"/>
          <w:sz w:val="14"/>
          <w:szCs w:val="14"/>
        </w:rPr>
      </w:pPr>
      <w:r w:rsidRPr="005C75DF">
        <w:rPr>
          <w:rStyle w:val="Referinnotdesubsol"/>
          <w:rFonts w:ascii="Times New Roman" w:hAnsi="Times New Roman" w:cs="Times New Roman"/>
          <w:sz w:val="14"/>
          <w:szCs w:val="14"/>
        </w:rPr>
        <w:footnoteRef/>
      </w:r>
      <w:r w:rsidRPr="005C75DF">
        <w:rPr>
          <w:rFonts w:ascii="Times New Roman" w:hAnsi="Times New Roman" w:cs="Times New Roman"/>
          <w:sz w:val="14"/>
          <w:szCs w:val="14"/>
        </w:rPr>
        <w:t xml:space="preserve"> </w:t>
      </w:r>
      <w:hyperlink r:id="rId1" w:history="1">
        <w:r w:rsidRPr="005C75DF">
          <w:rPr>
            <w:rStyle w:val="Hyperlink"/>
            <w:rFonts w:ascii="Times New Roman" w:hAnsi="Times New Roman" w:cs="Times New Roman"/>
            <w:sz w:val="14"/>
            <w:szCs w:val="14"/>
          </w:rPr>
          <w:t>European Innovation Scoreboard</w:t>
        </w:r>
      </w:hyperlink>
    </w:p>
  </w:footnote>
  <w:footnote w:id="4">
    <w:p w:rsidR="00F273D0" w:rsidRPr="005C75DF" w:rsidRDefault="00F273D0" w:rsidP="00CF7C9B">
      <w:pPr>
        <w:pStyle w:val="Textnotdesubsol"/>
        <w:rPr>
          <w:rFonts w:ascii="Times New Roman" w:hAnsi="Times New Roman" w:cs="Times New Roman"/>
          <w:sz w:val="14"/>
          <w:szCs w:val="14"/>
          <w:lang w:val="en-GB"/>
        </w:rPr>
      </w:pPr>
      <w:r w:rsidRPr="005C75DF">
        <w:rPr>
          <w:rStyle w:val="Referinnotdesubsol"/>
          <w:rFonts w:ascii="Times New Roman" w:hAnsi="Times New Roman" w:cs="Times New Roman"/>
          <w:sz w:val="14"/>
          <w:szCs w:val="14"/>
        </w:rPr>
        <w:footnoteRef/>
      </w:r>
      <w:r w:rsidRPr="005C75DF">
        <w:rPr>
          <w:rFonts w:ascii="Times New Roman" w:hAnsi="Times New Roman" w:cs="Times New Roman"/>
          <w:sz w:val="14"/>
          <w:szCs w:val="14"/>
        </w:rPr>
        <w:t xml:space="preserve"> </w:t>
      </w:r>
      <w:hyperlink r:id="rId2" w:history="1">
        <w:r w:rsidRPr="005C75DF">
          <w:rPr>
            <w:rStyle w:val="Hyperlink"/>
            <w:rFonts w:ascii="Times New Roman" w:hAnsi="Times New Roman" w:cs="Times New Roman"/>
            <w:sz w:val="14"/>
            <w:szCs w:val="14"/>
          </w:rPr>
          <w:t>http://documents.worldbank.org/curated/en/448771499322731333/pdf/116400-ROMANIAN-REVISED-PUBLIC-Magnet-Cities-Migration-and-Commuting-in-Romania-RO.pdf</w:t>
        </w:r>
      </w:hyperlink>
    </w:p>
  </w:footnote>
  <w:footnote w:id="5">
    <w:p w:rsidR="00F273D0" w:rsidRPr="005C75DF" w:rsidRDefault="00F273D0" w:rsidP="00D011ED">
      <w:pPr>
        <w:pStyle w:val="Textnotdesubsol"/>
        <w:rPr>
          <w:rFonts w:ascii="Times New Roman" w:hAnsi="Times New Roman" w:cs="Times New Roman"/>
          <w:sz w:val="14"/>
          <w:szCs w:val="14"/>
          <w:lang w:val="en-GB"/>
        </w:rPr>
      </w:pPr>
      <w:r w:rsidRPr="005C75DF">
        <w:rPr>
          <w:rStyle w:val="Referinnotdesubsol"/>
          <w:rFonts w:ascii="Times New Roman" w:hAnsi="Times New Roman" w:cs="Times New Roman"/>
          <w:sz w:val="14"/>
          <w:szCs w:val="14"/>
        </w:rPr>
        <w:footnoteRef/>
      </w:r>
      <w:r w:rsidRPr="005C75DF">
        <w:rPr>
          <w:rFonts w:ascii="Times New Roman" w:hAnsi="Times New Roman" w:cs="Times New Roman"/>
          <w:sz w:val="14"/>
          <w:szCs w:val="14"/>
        </w:rPr>
        <w:t xml:space="preserve"> </w:t>
      </w:r>
      <w:hyperlink r:id="rId3" w:history="1">
        <w:r w:rsidRPr="005C75DF">
          <w:rPr>
            <w:rStyle w:val="Hyperlink"/>
            <w:rFonts w:ascii="Times New Roman" w:hAnsi="Times New Roman" w:cs="Times New Roman"/>
            <w:sz w:val="14"/>
            <w:szCs w:val="14"/>
          </w:rPr>
          <w:t>https://ec.europa.eu/info/sites/info/files/2019-european-semester-country-specific-recommendation-commission-recommendation-romania_ro.pdf</w:t>
        </w:r>
      </w:hyperlink>
    </w:p>
  </w:footnote>
  <w:footnote w:id="6">
    <w:p w:rsidR="00F273D0" w:rsidRPr="005C75DF" w:rsidRDefault="00F273D0" w:rsidP="00D011ED">
      <w:pPr>
        <w:pStyle w:val="Textnotdesubsol"/>
        <w:rPr>
          <w:rFonts w:ascii="Times New Roman" w:hAnsi="Times New Roman" w:cs="Times New Roman"/>
          <w:sz w:val="14"/>
          <w:szCs w:val="14"/>
          <w:lang w:val="en-GB"/>
        </w:rPr>
      </w:pPr>
      <w:r w:rsidRPr="005C75DF">
        <w:rPr>
          <w:rStyle w:val="Referinnotdesubsol"/>
          <w:rFonts w:ascii="Times New Roman" w:hAnsi="Times New Roman" w:cs="Times New Roman"/>
          <w:sz w:val="14"/>
          <w:szCs w:val="14"/>
        </w:rPr>
        <w:footnoteRef/>
      </w:r>
      <w:r w:rsidRPr="005C75DF">
        <w:rPr>
          <w:rFonts w:ascii="Times New Roman" w:hAnsi="Times New Roman" w:cs="Times New Roman"/>
          <w:sz w:val="14"/>
          <w:szCs w:val="14"/>
        </w:rPr>
        <w:t xml:space="preserve"> </w:t>
      </w:r>
      <w:hyperlink r:id="rId4" w:history="1">
        <w:r w:rsidRPr="005C75DF">
          <w:rPr>
            <w:rStyle w:val="Hyperlink"/>
            <w:rFonts w:ascii="Times New Roman" w:hAnsi="Times New Roman" w:cs="Times New Roman"/>
            <w:sz w:val="14"/>
            <w:szCs w:val="14"/>
          </w:rPr>
          <w:t>https://ec.europa.eu/info/sites/info/files/2020-european_semester_country-report-romania_en.pdf</w:t>
        </w:r>
      </w:hyperlink>
      <w:r w:rsidRPr="005C75DF">
        <w:rPr>
          <w:rFonts w:ascii="Times New Roman" w:hAnsi="Times New Roman" w:cs="Times New Roman"/>
          <w:sz w:val="14"/>
          <w:szCs w:val="14"/>
        </w:rPr>
        <w:t xml:space="preserve"> </w:t>
      </w:r>
    </w:p>
  </w:footnote>
  <w:footnote w:id="7">
    <w:p w:rsidR="00F273D0" w:rsidRPr="005C75DF" w:rsidRDefault="00F273D0" w:rsidP="00E93617">
      <w:pPr>
        <w:pStyle w:val="Textnotdesubsol"/>
        <w:rPr>
          <w:rFonts w:ascii="Times New Roman" w:hAnsi="Times New Roman" w:cs="Times New Roman"/>
          <w:sz w:val="14"/>
          <w:szCs w:val="14"/>
          <w:lang w:val="en-US"/>
        </w:rPr>
      </w:pPr>
      <w:r w:rsidRPr="005C75DF">
        <w:rPr>
          <w:rStyle w:val="Referinnotdesubsol"/>
          <w:rFonts w:ascii="Times New Roman" w:hAnsi="Times New Roman" w:cs="Times New Roman"/>
          <w:sz w:val="14"/>
          <w:szCs w:val="14"/>
        </w:rPr>
        <w:footnoteRef/>
      </w:r>
      <w:r w:rsidRPr="005C75DF">
        <w:rPr>
          <w:rFonts w:ascii="Times New Roman" w:hAnsi="Times New Roman" w:cs="Times New Roman"/>
          <w:sz w:val="14"/>
          <w:szCs w:val="14"/>
        </w:rPr>
        <w:t xml:space="preserve"> http://www.research.gov.ro/uploads/sistemul-de-cercetare/infrastructuri-de-cercetare/infrastructura-de-inovare-sitransfer-tehnologic/2020/registru-entitati-itt-mai-2020.pdf 10291/19 NTC/AFG/cs 6 ANNEX ECOMP.2.B EN </w:t>
      </w:r>
    </w:p>
  </w:footnote>
  <w:footnote w:id="8">
    <w:p w:rsidR="00F273D0" w:rsidRPr="00E521D7" w:rsidRDefault="00F273D0" w:rsidP="00512B78">
      <w:pPr>
        <w:pStyle w:val="Textnotdesubsol"/>
        <w:tabs>
          <w:tab w:val="left" w:pos="8931"/>
        </w:tabs>
        <w:jc w:val="both"/>
        <w:rPr>
          <w:rFonts w:ascii="Times New Roman" w:hAnsi="Times New Roman" w:cs="Times New Roman"/>
          <w:sz w:val="14"/>
          <w:szCs w:val="14"/>
        </w:rPr>
      </w:pPr>
      <w:r w:rsidRPr="005C75DF">
        <w:rPr>
          <w:rStyle w:val="Referinnotdesubsol"/>
          <w:rFonts w:ascii="Times New Roman" w:hAnsi="Times New Roman" w:cs="Times New Roman"/>
          <w:sz w:val="14"/>
          <w:szCs w:val="14"/>
        </w:rPr>
        <w:footnoteRef/>
      </w:r>
      <w:r w:rsidRPr="00E521D7">
        <w:rPr>
          <w:rFonts w:ascii="Times New Roman" w:hAnsi="Times New Roman" w:cs="Times New Roman"/>
          <w:sz w:val="14"/>
          <w:szCs w:val="14"/>
        </w:rPr>
        <w:t xml:space="preserve"> Raportul de țară din 2019 privind România, SWD (2019) 1022 final, se poate consulta la adresa: </w:t>
      </w:r>
      <w:hyperlink r:id="rId5" w:history="1">
        <w:r w:rsidRPr="00E521D7">
          <w:rPr>
            <w:rStyle w:val="Hyperlink"/>
            <w:rFonts w:ascii="Times New Roman" w:hAnsi="Times New Roman" w:cs="Times New Roman"/>
            <w:sz w:val="14"/>
            <w:szCs w:val="14"/>
          </w:rPr>
          <w:t>https://ec.europa.eu/info/sites/info/files/file_import/2019-european-semester-country-report-romania_ro.pdf</w:t>
        </w:r>
      </w:hyperlink>
    </w:p>
  </w:footnote>
  <w:footnote w:id="9">
    <w:p w:rsidR="00F273D0" w:rsidRPr="00E521D7" w:rsidRDefault="00F273D0" w:rsidP="002525BB">
      <w:pPr>
        <w:pStyle w:val="Textnotdesubsol"/>
        <w:ind w:right="50"/>
        <w:jc w:val="both"/>
        <w:rPr>
          <w:rFonts w:ascii="Times New Roman" w:eastAsia="Times New Roman" w:hAnsi="Times New Roman" w:cs="Times New Roman"/>
          <w:sz w:val="14"/>
          <w:szCs w:val="14"/>
        </w:rPr>
      </w:pPr>
      <w:r w:rsidRPr="005C75DF">
        <w:rPr>
          <w:rStyle w:val="Referinnotdesubsol"/>
          <w:rFonts w:ascii="Times New Roman" w:hAnsi="Times New Roman" w:cs="Times New Roman"/>
          <w:sz w:val="14"/>
          <w:szCs w:val="14"/>
        </w:rPr>
        <w:t>[2]</w:t>
      </w:r>
      <w:r w:rsidRPr="005C75DF">
        <w:rPr>
          <w:rFonts w:ascii="Times New Roman" w:hAnsi="Times New Roman" w:cs="Times New Roman"/>
          <w:sz w:val="14"/>
          <w:szCs w:val="14"/>
        </w:rPr>
        <w:t xml:space="preserve">Raportul de țară din 2020 privind România, SWD(2020) 522 final, se poate consulta aici </w:t>
      </w:r>
      <w:hyperlink r:id="rId6" w:history="1">
        <w:r w:rsidRPr="005C75DF">
          <w:rPr>
            <w:rStyle w:val="Hyperlink"/>
            <w:rFonts w:ascii="Times New Roman" w:hAnsi="Times New Roman" w:cs="Times New Roman"/>
            <w:sz w:val="14"/>
            <w:szCs w:val="14"/>
          </w:rPr>
          <w:t>https://eur-lex.europa.eu/legal-content/RO/TXT/PDF/?uri=CELEX:52020SC0522&amp;from=EN</w:t>
        </w:r>
      </w:hyperlink>
    </w:p>
  </w:footnote>
  <w:footnote w:id="10">
    <w:p w:rsidR="00F273D0" w:rsidRDefault="00F273D0" w:rsidP="002B7E8C">
      <w:pPr>
        <w:pStyle w:val="Textnotdesubsol"/>
        <w:rPr>
          <w:rFonts w:ascii="Times New Roman" w:hAnsi="Times New Roman"/>
          <w:sz w:val="14"/>
          <w:szCs w:val="14"/>
          <w:lang w:val="en-GB"/>
        </w:rPr>
      </w:pPr>
      <w:r>
        <w:rPr>
          <w:rStyle w:val="Referinnotdesubsol"/>
          <w:sz w:val="14"/>
          <w:szCs w:val="14"/>
        </w:rPr>
        <w:t>[1]</w:t>
      </w:r>
      <w:r>
        <w:rPr>
          <w:sz w:val="14"/>
          <w:szCs w:val="14"/>
        </w:rPr>
        <w:t xml:space="preserve"> Ținta națională stabilită prin </w:t>
      </w:r>
      <w:r>
        <w:rPr>
          <w:b/>
          <w:bCs/>
          <w:sz w:val="14"/>
          <w:szCs w:val="14"/>
        </w:rPr>
        <w:t xml:space="preserve">Strategia Educației și Formării Profesionale în România 2016-2020 este de 95% </w:t>
      </w:r>
      <w:r>
        <w:rPr>
          <w:b/>
          <w:bCs/>
          <w:sz w:val="14"/>
          <w:szCs w:val="14"/>
          <w:lang w:val="en-GB"/>
        </w:rPr>
        <w:t>în 2020</w:t>
      </w:r>
    </w:p>
  </w:footnote>
  <w:footnote w:id="11">
    <w:p w:rsidR="00F273D0" w:rsidRDefault="00F273D0" w:rsidP="002B7E8C">
      <w:pPr>
        <w:pStyle w:val="Textnotdesubsol"/>
        <w:rPr>
          <w:rFonts w:eastAsia="Times New Roman"/>
          <w:sz w:val="14"/>
          <w:szCs w:val="14"/>
          <w:lang w:val="en-US"/>
        </w:rPr>
      </w:pPr>
      <w:r>
        <w:rPr>
          <w:rStyle w:val="Referinnotdesubsol"/>
          <w:sz w:val="14"/>
          <w:szCs w:val="14"/>
        </w:rPr>
        <w:t>[3]</w:t>
      </w:r>
      <w:r>
        <w:rPr>
          <w:sz w:val="14"/>
          <w:szCs w:val="14"/>
        </w:rPr>
        <w:t xml:space="preserve"> EUROSTAT </w:t>
      </w:r>
      <w:hyperlink r:id="rId7" w:history="1">
        <w:r>
          <w:rPr>
            <w:rStyle w:val="Hyperlink"/>
            <w:sz w:val="14"/>
            <w:szCs w:val="14"/>
          </w:rPr>
          <w:t>data source</w:t>
        </w:r>
      </w:hyperlink>
    </w:p>
  </w:footnote>
  <w:footnote w:id="12">
    <w:p w:rsidR="00F273D0" w:rsidRPr="00E521D7" w:rsidRDefault="00F273D0" w:rsidP="002C59D6">
      <w:pPr>
        <w:ind w:right="-17"/>
        <w:jc w:val="both"/>
        <w:rPr>
          <w:rFonts w:ascii="Times New Roman" w:eastAsia="Calibri" w:hAnsi="Times New Roman" w:cs="Times New Roman"/>
          <w:bCs/>
          <w:sz w:val="14"/>
          <w:szCs w:val="14"/>
          <w:lang w:eastAsia="ro-RO"/>
        </w:rPr>
      </w:pPr>
      <w:r w:rsidRPr="00E521D7">
        <w:rPr>
          <w:rStyle w:val="Referinnotdesubsol"/>
          <w:rFonts w:ascii="Times New Roman" w:hAnsi="Times New Roman" w:cs="Times New Roman"/>
          <w:sz w:val="14"/>
          <w:szCs w:val="14"/>
        </w:rPr>
        <w:footnoteRef/>
      </w:r>
      <w:r w:rsidRPr="00E521D7">
        <w:rPr>
          <w:rFonts w:ascii="Times New Roman" w:hAnsi="Times New Roman" w:cs="Times New Roman"/>
          <w:sz w:val="14"/>
          <w:szCs w:val="14"/>
        </w:rPr>
        <w:t xml:space="preserve"> </w:t>
      </w:r>
      <w:r w:rsidRPr="00E521D7">
        <w:rPr>
          <w:rFonts w:ascii="Times New Roman" w:eastAsia="Calibri" w:hAnsi="Times New Roman" w:cs="Times New Roman"/>
          <w:bCs/>
          <w:sz w:val="14"/>
          <w:szCs w:val="14"/>
          <w:lang w:eastAsia="ro-RO"/>
        </w:rPr>
        <w:t xml:space="preserve">În vederea îmbunătățirii POR 2014-2020, Axa 3 – Sprijinirea tranziției către o economie cu emisii scăzute de carbon, ADR Centru a implementat proiectul BIO4ECO, în cadrul căruia a fost elaborat un </w:t>
      </w:r>
      <w:hyperlink r:id="rId8" w:history="1">
        <w:r w:rsidRPr="00E521D7">
          <w:rPr>
            <w:rStyle w:val="Hyperlink"/>
            <w:rFonts w:ascii="Times New Roman" w:hAnsi="Times New Roman" w:cs="Times New Roman"/>
            <w:sz w:val="14"/>
            <w:szCs w:val="14"/>
            <w:lang w:eastAsia="ro-RO"/>
          </w:rPr>
          <w:t>plan de acțiune</w:t>
        </w:r>
      </w:hyperlink>
      <w:r w:rsidRPr="00E521D7">
        <w:rPr>
          <w:rFonts w:ascii="Times New Roman" w:eastAsia="Calibri" w:hAnsi="Times New Roman" w:cs="Times New Roman"/>
          <w:bCs/>
          <w:sz w:val="14"/>
          <w:szCs w:val="14"/>
          <w:lang w:eastAsia="ro-RO"/>
        </w:rPr>
        <w:t xml:space="preserve"> ce oferă detalii despre modul de implementare a lecțiilor învățate din cooperarea internațională și felul în care acestea contribuie la îmbunătățirea instrumentului de politică abordat la nivel regional. </w:t>
      </w:r>
    </w:p>
    <w:p w:rsidR="00F273D0" w:rsidRPr="005C75DF" w:rsidRDefault="00F273D0" w:rsidP="002C59D6">
      <w:pPr>
        <w:pStyle w:val="Textnotdesubsol"/>
        <w:rPr>
          <w:rFonts w:ascii="Times New Roman" w:hAnsi="Times New Roman" w:cs="Times New Roman"/>
          <w:sz w:val="14"/>
          <w:szCs w:val="14"/>
        </w:rPr>
      </w:pPr>
    </w:p>
  </w:footnote>
  <w:footnote w:id="13">
    <w:p w:rsidR="00F273D0" w:rsidRPr="00E521D7" w:rsidRDefault="00F273D0" w:rsidP="009A6765">
      <w:pPr>
        <w:pStyle w:val="Textnotdesubsol"/>
        <w:jc w:val="both"/>
        <w:rPr>
          <w:rFonts w:ascii="Times New Roman" w:hAnsi="Times New Roman" w:cs="Times New Roman"/>
          <w:sz w:val="14"/>
          <w:szCs w:val="14"/>
        </w:rPr>
      </w:pPr>
      <w:r w:rsidRPr="00E521D7">
        <w:rPr>
          <w:rFonts w:ascii="Times New Roman" w:hAnsi="Times New Roman" w:cs="Times New Roman"/>
          <w:b/>
          <w:sz w:val="14"/>
          <w:szCs w:val="14"/>
        </w:rPr>
        <w:footnoteRef/>
      </w:r>
      <w:r w:rsidRPr="00E521D7">
        <w:rPr>
          <w:rFonts w:ascii="Times New Roman" w:hAnsi="Times New Roman" w:cs="Times New Roman"/>
          <w:sz w:val="14"/>
          <w:szCs w:val="14"/>
        </w:rPr>
        <w:t xml:space="preserve"> Statisticile și analizele regionale arată că din totalul locuințelor existente la nivel regional, 89,3% fuseseră construite înainte de anul 2000 și aproximativ 53% din acestea au fost construite înainte de 1970 și peste 90% înainte de 1989, toate având o performanță energetică slabă. În ceea ce privește clădirile publice, administrate de autoritățile locale, analiza regională relevă faptul că peste 60% din acestea sunt construite înainte de anul 1990, având un grad scăzut de măsuri privind EE (fără izolare termică sau cu izolare termică minimă, ferestre duble cu standarde reduse), au deficiențe structurale și puține (sau deloc) lucrări de întreținere după zeci de ani de utilizare.  Sursa: Institutul Național de Statistică, 2018 și prelucrări de date regionale.</w:t>
      </w:r>
    </w:p>
  </w:footnote>
  <w:footnote w:id="14">
    <w:p w:rsidR="00F273D0" w:rsidRPr="00E521D7" w:rsidRDefault="00F273D0" w:rsidP="00574E86">
      <w:pPr>
        <w:pStyle w:val="Textnotdesubsol"/>
        <w:jc w:val="both"/>
        <w:rPr>
          <w:rFonts w:ascii="Times New Roman" w:hAnsi="Times New Roman" w:cs="Times New Roman"/>
          <w:sz w:val="14"/>
          <w:szCs w:val="14"/>
        </w:rPr>
      </w:pPr>
      <w:r w:rsidRPr="00E521D7">
        <w:rPr>
          <w:rStyle w:val="Referinnotdesubsol"/>
          <w:rFonts w:ascii="Times New Roman" w:hAnsi="Times New Roman" w:cs="Times New Roman"/>
          <w:b w:val="0"/>
          <w:sz w:val="14"/>
          <w:szCs w:val="14"/>
        </w:rPr>
        <w:footnoteRef/>
      </w:r>
      <w:r w:rsidRPr="00E521D7">
        <w:rPr>
          <w:rFonts w:ascii="Times New Roman" w:hAnsi="Times New Roman" w:cs="Times New Roman"/>
          <w:sz w:val="14"/>
          <w:szCs w:val="14"/>
        </w:rPr>
        <w:t xml:space="preserve"> Planul de Dezvoltare al Regiunii Centru 2021-2027, versiune în lucru disponibil aici</w:t>
      </w:r>
      <w:r w:rsidRPr="00E521D7">
        <w:rPr>
          <w:rStyle w:val="Hyperlink"/>
          <w:rFonts w:ascii="Times New Roman" w:hAnsi="Times New Roman" w:cs="Times New Roman"/>
          <w:sz w:val="14"/>
          <w:szCs w:val="14"/>
        </w:rPr>
        <w:t xml:space="preserve">: </w:t>
      </w:r>
      <w:hyperlink r:id="rId9" w:history="1">
        <w:r w:rsidRPr="00E521D7">
          <w:rPr>
            <w:rStyle w:val="Hyperlink"/>
            <w:rFonts w:ascii="Times New Roman" w:hAnsi="Times New Roman" w:cs="Times New Roman"/>
            <w:sz w:val="14"/>
            <w:szCs w:val="14"/>
          </w:rPr>
          <w:t>http://www.adrcentru.ro/dezvoltare-regionala-cat/pdr-centru-2021-2027/</w:t>
        </w:r>
      </w:hyperlink>
    </w:p>
  </w:footnote>
  <w:footnote w:id="15">
    <w:p w:rsidR="00F273D0" w:rsidRPr="00E521D7" w:rsidRDefault="00F273D0" w:rsidP="00574E86">
      <w:pPr>
        <w:pStyle w:val="Textnotdesubsol"/>
        <w:jc w:val="both"/>
        <w:rPr>
          <w:rFonts w:ascii="Times New Roman" w:hAnsi="Times New Roman" w:cs="Times New Roman"/>
          <w:sz w:val="14"/>
          <w:szCs w:val="14"/>
        </w:rPr>
      </w:pPr>
      <w:r w:rsidRPr="00E521D7">
        <w:rPr>
          <w:rStyle w:val="Referinnotdesubsol"/>
          <w:rFonts w:ascii="Times New Roman" w:hAnsi="Times New Roman" w:cs="Times New Roman"/>
          <w:sz w:val="14"/>
          <w:szCs w:val="14"/>
        </w:rPr>
        <w:footnoteRef/>
      </w:r>
      <w:r w:rsidRPr="00E521D7">
        <w:rPr>
          <w:rFonts w:ascii="Times New Roman" w:hAnsi="Times New Roman" w:cs="Times New Roman"/>
          <w:sz w:val="14"/>
          <w:szCs w:val="14"/>
        </w:rPr>
        <w:t xml:space="preserve"> Pactul Ecologic European disponibil aici </w:t>
      </w:r>
      <w:hyperlink r:id="rId10" w:history="1">
        <w:r w:rsidRPr="00E521D7">
          <w:rPr>
            <w:rStyle w:val="Hyperlink"/>
            <w:rFonts w:ascii="Times New Roman" w:hAnsi="Times New Roman" w:cs="Times New Roman"/>
            <w:sz w:val="14"/>
            <w:szCs w:val="14"/>
          </w:rPr>
          <w:t>https://eur-lex.europa.eu/legal-content/EN/TXT/?qid=1588580774040&amp;uri=CELEX:52019DC0640</w:t>
        </w:r>
      </w:hyperlink>
    </w:p>
  </w:footnote>
  <w:footnote w:id="16">
    <w:p w:rsidR="00F273D0" w:rsidRPr="00E521D7" w:rsidRDefault="00F273D0" w:rsidP="00574E86">
      <w:pPr>
        <w:pStyle w:val="Textnotdesubsol"/>
        <w:jc w:val="both"/>
        <w:rPr>
          <w:rStyle w:val="Hyperlink"/>
          <w:rFonts w:ascii="Times New Roman" w:hAnsi="Times New Roman" w:cs="Times New Roman"/>
          <w:sz w:val="14"/>
          <w:szCs w:val="14"/>
        </w:rPr>
      </w:pPr>
      <w:r w:rsidRPr="00E521D7">
        <w:rPr>
          <w:rStyle w:val="Hyperlink"/>
          <w:rFonts w:ascii="Times New Roman" w:hAnsi="Times New Roman" w:cs="Times New Roman"/>
          <w:color w:val="auto"/>
          <w:sz w:val="14"/>
          <w:szCs w:val="14"/>
          <w:u w:val="none"/>
          <w:vertAlign w:val="superscript"/>
        </w:rPr>
        <w:footnoteRef/>
      </w:r>
      <w:r w:rsidRPr="00E521D7">
        <w:rPr>
          <w:rStyle w:val="Hyperlink"/>
          <w:rFonts w:ascii="Times New Roman" w:hAnsi="Times New Roman" w:cs="Times New Roman"/>
          <w:color w:val="auto"/>
          <w:sz w:val="14"/>
          <w:szCs w:val="14"/>
          <w:u w:val="none"/>
        </w:rPr>
        <w:t xml:space="preserve">Planul Național Integrat de Energie și Schimbări Climatice, </w:t>
      </w:r>
      <w:r w:rsidRPr="00E521D7">
        <w:rPr>
          <w:rFonts w:ascii="Times New Roman" w:hAnsi="Times New Roman" w:cs="Times New Roman"/>
          <w:sz w:val="14"/>
          <w:szCs w:val="14"/>
        </w:rPr>
        <w:t>versiune în lucru disponibil aici</w:t>
      </w:r>
      <w:r w:rsidRPr="00E521D7">
        <w:rPr>
          <w:rStyle w:val="Hyperlink"/>
          <w:rFonts w:ascii="Times New Roman" w:hAnsi="Times New Roman" w:cs="Times New Roman"/>
          <w:color w:val="auto"/>
          <w:sz w:val="14"/>
          <w:szCs w:val="14"/>
          <w:u w:val="none"/>
        </w:rPr>
        <w:t xml:space="preserve"> </w:t>
      </w:r>
      <w:hyperlink r:id="rId11" w:history="1">
        <w:r w:rsidRPr="00E521D7">
          <w:rPr>
            <w:rStyle w:val="Hyperlink"/>
            <w:rFonts w:ascii="Times New Roman" w:hAnsi="Times New Roman" w:cs="Times New Roman"/>
            <w:sz w:val="14"/>
            <w:szCs w:val="14"/>
          </w:rPr>
          <w:t>http://energie.gov.ro/wp-content/uploads/2020/01/Anunt-consultare-publica-proiect-PNIESC-revizuit.pdf</w:t>
        </w:r>
      </w:hyperlink>
      <w:r w:rsidRPr="00E521D7">
        <w:rPr>
          <w:rStyle w:val="Hyperlink"/>
          <w:rFonts w:ascii="Times New Roman" w:hAnsi="Times New Roman" w:cs="Times New Roman"/>
          <w:sz w:val="14"/>
          <w:szCs w:val="14"/>
        </w:rPr>
        <w:t xml:space="preserve"> </w:t>
      </w:r>
    </w:p>
  </w:footnote>
  <w:footnote w:id="17">
    <w:p w:rsidR="00F273D0" w:rsidRPr="00E521D7" w:rsidRDefault="00F273D0" w:rsidP="00574E86">
      <w:pPr>
        <w:pStyle w:val="Textnotdesubsol"/>
        <w:jc w:val="both"/>
        <w:rPr>
          <w:rFonts w:ascii="Times New Roman" w:hAnsi="Times New Roman" w:cs="Times New Roman"/>
          <w:sz w:val="14"/>
          <w:szCs w:val="14"/>
        </w:rPr>
      </w:pPr>
      <w:r w:rsidRPr="00E521D7">
        <w:rPr>
          <w:rStyle w:val="Referinnotdesubsol"/>
          <w:rFonts w:ascii="Times New Roman" w:hAnsi="Times New Roman" w:cs="Times New Roman"/>
          <w:sz w:val="14"/>
          <w:szCs w:val="14"/>
        </w:rPr>
        <w:footnoteRef/>
      </w:r>
      <w:r w:rsidRPr="00E521D7">
        <w:rPr>
          <w:rFonts w:ascii="Times New Roman" w:hAnsi="Times New Roman" w:cs="Times New Roman"/>
          <w:sz w:val="14"/>
          <w:szCs w:val="14"/>
        </w:rPr>
        <w:t xml:space="preserve"> Proiectul strategiei poate fi accesat pe site-ul web </w:t>
      </w:r>
      <w:hyperlink r:id="rId12" w:history="1">
        <w:r w:rsidRPr="00E521D7">
          <w:rPr>
            <w:rStyle w:val="Hyperlink"/>
            <w:rFonts w:ascii="Times New Roman" w:hAnsi="Times New Roman" w:cs="Times New Roman"/>
            <w:sz w:val="14"/>
            <w:szCs w:val="14"/>
          </w:rPr>
          <w:t>sdtr.mdrap.ro</w:t>
        </w:r>
      </w:hyperlink>
      <w:r w:rsidRPr="00E521D7">
        <w:rPr>
          <w:rFonts w:ascii="Times New Roman" w:hAnsi="Times New Roman" w:cs="Times New Roman"/>
          <w:sz w:val="14"/>
          <w:szCs w:val="14"/>
        </w:rPr>
        <w:t xml:space="preserve"> la secțiunea consultare publică</w:t>
      </w:r>
    </w:p>
  </w:footnote>
  <w:footnote w:id="18">
    <w:p w:rsidR="00F273D0" w:rsidRPr="005C75DF" w:rsidRDefault="00F273D0">
      <w:pPr>
        <w:pStyle w:val="Textnotdesubsol"/>
        <w:rPr>
          <w:rFonts w:ascii="Times New Roman" w:hAnsi="Times New Roman" w:cs="Times New Roman"/>
          <w:sz w:val="14"/>
          <w:szCs w:val="14"/>
        </w:rPr>
      </w:pPr>
      <w:r w:rsidRPr="00E521D7">
        <w:rPr>
          <w:rStyle w:val="Referinnotdesubsol"/>
          <w:rFonts w:ascii="Times New Roman" w:hAnsi="Times New Roman" w:cs="Times New Roman"/>
          <w:sz w:val="14"/>
          <w:szCs w:val="14"/>
        </w:rPr>
        <w:footnoteRef/>
      </w:r>
      <w:r w:rsidRPr="00E521D7">
        <w:rPr>
          <w:rFonts w:ascii="Times New Roman" w:hAnsi="Times New Roman" w:cs="Times New Roman"/>
          <w:sz w:val="14"/>
          <w:szCs w:val="14"/>
        </w:rPr>
        <w:t xml:space="preserve"> Statisticile demonstrează (</w:t>
      </w:r>
      <w:hyperlink r:id="rId13" w:history="1">
        <w:r w:rsidRPr="00E521D7">
          <w:rPr>
            <w:rStyle w:val="Hyperlink"/>
            <w:rFonts w:ascii="Times New Roman" w:hAnsi="Times New Roman" w:cs="Times New Roman"/>
            <w:sz w:val="14"/>
            <w:szCs w:val="14"/>
          </w:rPr>
          <w:t>www.insse.ro</w:t>
        </w:r>
      </w:hyperlink>
      <w:r w:rsidRPr="00E521D7">
        <w:rPr>
          <w:rFonts w:ascii="Times New Roman" w:hAnsi="Times New Roman" w:cs="Times New Roman"/>
          <w:sz w:val="14"/>
          <w:szCs w:val="14"/>
        </w:rPr>
        <w:t>), că suprafața spațiilor verzi în municipii și orașe a scăzut la nivelul regiunii cu 2,1% în 2018 comparativ cu 2014, ajungând la un total de 2560 hectare. Indicatorul suprafața spațiilor verzi/locuitor în municipii și orașe s-a menținut la 19,2 m2, sensibil mai mică față de standardul minim la nivelul Uniunii Europene de 26 m2/locu-itor sau față de cei 50 m2/locuitor recomandați de Organizația Mondială a Sănătății.</w:t>
      </w:r>
    </w:p>
  </w:footnote>
  <w:footnote w:id="19">
    <w:p w:rsidR="00F273D0" w:rsidRPr="005C75DF" w:rsidRDefault="00F273D0">
      <w:pPr>
        <w:pStyle w:val="Textnotdesubsol"/>
        <w:rPr>
          <w:rFonts w:ascii="Times New Roman" w:hAnsi="Times New Roman" w:cs="Times New Roman"/>
          <w:sz w:val="14"/>
          <w:szCs w:val="14"/>
        </w:rPr>
      </w:pPr>
      <w:r w:rsidRPr="00175451">
        <w:rPr>
          <w:rStyle w:val="Referinnotdesubsol"/>
          <w:rFonts w:ascii="Times New Roman" w:hAnsi="Times New Roman" w:cs="Times New Roman"/>
          <w:sz w:val="14"/>
          <w:szCs w:val="14"/>
        </w:rPr>
        <w:footnoteRef/>
      </w:r>
      <w:r w:rsidRPr="00175451">
        <w:rPr>
          <w:rFonts w:ascii="Times New Roman" w:hAnsi="Times New Roman" w:cs="Times New Roman"/>
          <w:sz w:val="14"/>
          <w:szCs w:val="14"/>
        </w:rPr>
        <w:t xml:space="preserve"> Conform declaratiei MTS</w:t>
      </w:r>
    </w:p>
  </w:footnote>
  <w:footnote w:id="20">
    <w:p w:rsidR="00F273D0" w:rsidRPr="005C75DF" w:rsidRDefault="00F273D0" w:rsidP="00BC7338">
      <w:pPr>
        <w:pStyle w:val="Textnotdesubsol"/>
        <w:rPr>
          <w:rFonts w:ascii="Times New Roman" w:hAnsi="Times New Roman" w:cs="Times New Roman"/>
          <w:bCs/>
          <w:sz w:val="14"/>
          <w:szCs w:val="14"/>
        </w:rPr>
      </w:pPr>
      <w:r w:rsidRPr="005C75DF">
        <w:rPr>
          <w:rStyle w:val="Referinnotdesubsol"/>
          <w:rFonts w:ascii="Times New Roman" w:hAnsi="Times New Roman" w:cs="Times New Roman"/>
          <w:bCs/>
          <w:sz w:val="14"/>
          <w:szCs w:val="14"/>
        </w:rPr>
        <w:footnoteRef/>
      </w:r>
      <w:r w:rsidRPr="005C75DF">
        <w:rPr>
          <w:rFonts w:ascii="Times New Roman" w:hAnsi="Times New Roman" w:cs="Times New Roman"/>
          <w:bCs/>
          <w:sz w:val="14"/>
          <w:szCs w:val="14"/>
        </w:rPr>
        <w:t xml:space="preserve"> </w:t>
      </w:r>
      <w:r w:rsidRPr="005C75DF">
        <w:rPr>
          <w:rFonts w:ascii="Times New Roman" w:hAnsi="Times New Roman" w:cs="Times New Roman"/>
          <w:bCs/>
          <w:sz w:val="14"/>
          <w:szCs w:val="14"/>
        </w:rPr>
        <w:tab/>
        <w:t>Not relevant for CF</w:t>
      </w:r>
    </w:p>
  </w:footnote>
  <w:footnote w:id="21">
    <w:p w:rsidR="00F273D0" w:rsidRPr="005C75DF" w:rsidRDefault="00F273D0" w:rsidP="00F8597A">
      <w:pPr>
        <w:pStyle w:val="Textnotdesubsol"/>
        <w:rPr>
          <w:rFonts w:ascii="Times New Roman" w:hAnsi="Times New Roman" w:cs="Times New Roman"/>
          <w:sz w:val="14"/>
          <w:szCs w:val="14"/>
        </w:rPr>
      </w:pPr>
      <w:r w:rsidRPr="005C75DF">
        <w:rPr>
          <w:rStyle w:val="Referinnotdesubsol"/>
          <w:rFonts w:ascii="Times New Roman" w:hAnsi="Times New Roman" w:cs="Times New Roman"/>
          <w:bCs/>
          <w:sz w:val="14"/>
          <w:szCs w:val="14"/>
        </w:rPr>
        <w:footnoteRef/>
      </w:r>
      <w:r w:rsidRPr="005C75DF">
        <w:rPr>
          <w:rFonts w:ascii="Times New Roman" w:hAnsi="Times New Roman" w:cs="Times New Roman"/>
          <w:bCs/>
          <w:sz w:val="14"/>
          <w:szCs w:val="14"/>
        </w:rPr>
        <w:t xml:space="preserve"> </w:t>
      </w:r>
      <w:r w:rsidRPr="005C75DF">
        <w:rPr>
          <w:rFonts w:ascii="Times New Roman" w:hAnsi="Times New Roman" w:cs="Times New Roman"/>
          <w:bCs/>
          <w:sz w:val="14"/>
          <w:szCs w:val="14"/>
        </w:rPr>
        <w:tab/>
        <w:t>Not relevant for CF</w:t>
      </w:r>
    </w:p>
  </w:footnote>
  <w:footnote w:id="22">
    <w:p w:rsidR="00F273D0" w:rsidRPr="005C75DF" w:rsidRDefault="00F273D0" w:rsidP="00F8597A">
      <w:pPr>
        <w:pStyle w:val="Textnotdesubsol"/>
        <w:rPr>
          <w:rFonts w:ascii="Times New Roman" w:hAnsi="Times New Roman" w:cs="Times New Roman"/>
          <w:sz w:val="14"/>
          <w:szCs w:val="14"/>
        </w:rPr>
      </w:pPr>
      <w:r w:rsidRPr="005C75DF">
        <w:rPr>
          <w:rStyle w:val="Referinnotdesubsol"/>
          <w:rFonts w:ascii="Times New Roman" w:hAnsi="Times New Roman" w:cs="Times New Roman"/>
          <w:sz w:val="14"/>
          <w:szCs w:val="14"/>
        </w:rPr>
        <w:footnoteRef/>
      </w:r>
      <w:r w:rsidRPr="005C75DF">
        <w:rPr>
          <w:rFonts w:ascii="Times New Roman" w:hAnsi="Times New Roman" w:cs="Times New Roman"/>
          <w:sz w:val="14"/>
          <w:szCs w:val="14"/>
        </w:rPr>
        <w:t xml:space="preserve"> </w:t>
      </w:r>
      <w:r w:rsidRPr="005C75DF">
        <w:rPr>
          <w:rFonts w:ascii="Times New Roman" w:hAnsi="Times New Roman" w:cs="Times New Roman"/>
          <w:sz w:val="14"/>
          <w:szCs w:val="14"/>
        </w:rPr>
        <w:tab/>
        <w:t>Not relevant for CF</w:t>
      </w:r>
    </w:p>
  </w:footnote>
  <w:footnote w:id="23">
    <w:p w:rsidR="00F273D0" w:rsidRPr="005C75DF" w:rsidRDefault="00F273D0" w:rsidP="00F8597A">
      <w:pPr>
        <w:pStyle w:val="Textnotdesubsol"/>
        <w:rPr>
          <w:rFonts w:ascii="Times New Roman" w:hAnsi="Times New Roman" w:cs="Times New Roman"/>
          <w:sz w:val="14"/>
          <w:szCs w:val="14"/>
        </w:rPr>
      </w:pPr>
      <w:r w:rsidRPr="005C75DF">
        <w:rPr>
          <w:rStyle w:val="Referinnotdesubsol"/>
          <w:rFonts w:ascii="Times New Roman" w:hAnsi="Times New Roman" w:cs="Times New Roman"/>
          <w:sz w:val="14"/>
          <w:szCs w:val="14"/>
        </w:rPr>
        <w:footnoteRef/>
      </w:r>
      <w:r w:rsidRPr="005C75DF">
        <w:rPr>
          <w:rFonts w:ascii="Times New Roman" w:hAnsi="Times New Roman" w:cs="Times New Roman"/>
          <w:sz w:val="14"/>
          <w:szCs w:val="14"/>
        </w:rPr>
        <w:t xml:space="preserve"> </w:t>
      </w:r>
      <w:r w:rsidRPr="005C75DF">
        <w:rPr>
          <w:rFonts w:ascii="Times New Roman" w:hAnsi="Times New Roman" w:cs="Times New Roman"/>
          <w:sz w:val="14"/>
          <w:szCs w:val="14"/>
        </w:rPr>
        <w:tab/>
        <w:t>Except for a specific objective set out in Article 4(1)(c)(</w:t>
      </w:r>
      <w:r w:rsidRPr="005C75DF">
        <w:rPr>
          <w:rFonts w:ascii="Times New Roman" w:hAnsi="Times New Roman" w:cs="Times New Roman"/>
          <w:bCs/>
          <w:sz w:val="14"/>
          <w:szCs w:val="14"/>
        </w:rPr>
        <w:t>xi)</w:t>
      </w:r>
      <w:r w:rsidRPr="005C75DF">
        <w:rPr>
          <w:rFonts w:ascii="Times New Roman" w:hAnsi="Times New Roman" w:cs="Times New Roman"/>
          <w:sz w:val="14"/>
          <w:szCs w:val="14"/>
        </w:rPr>
        <w:t xml:space="preserve"> of the ESF+ Regulation.</w:t>
      </w:r>
    </w:p>
  </w:footnote>
  <w:footnote w:id="24">
    <w:p w:rsidR="00F273D0" w:rsidRPr="005C75DF" w:rsidRDefault="00F273D0" w:rsidP="00F8597A">
      <w:pPr>
        <w:pStyle w:val="Textnotdesubsol"/>
        <w:rPr>
          <w:rFonts w:ascii="Times New Roman" w:hAnsi="Times New Roman" w:cs="Times New Roman"/>
          <w:sz w:val="14"/>
          <w:szCs w:val="14"/>
        </w:rPr>
      </w:pPr>
      <w:r w:rsidRPr="005C75DF">
        <w:rPr>
          <w:rStyle w:val="Referinnotdesubsol"/>
          <w:rFonts w:ascii="Times New Roman" w:hAnsi="Times New Roman" w:cs="Times New Roman"/>
          <w:sz w:val="14"/>
          <w:szCs w:val="14"/>
        </w:rPr>
        <w:footnoteRef/>
      </w:r>
      <w:r w:rsidRPr="005C75DF">
        <w:rPr>
          <w:rFonts w:ascii="Times New Roman" w:hAnsi="Times New Roman" w:cs="Times New Roman"/>
          <w:sz w:val="14"/>
          <w:szCs w:val="14"/>
        </w:rPr>
        <w:t xml:space="preserve"> </w:t>
      </w:r>
      <w:r w:rsidRPr="005C75DF">
        <w:rPr>
          <w:rFonts w:ascii="Times New Roman" w:hAnsi="Times New Roman" w:cs="Times New Roman"/>
          <w:sz w:val="14"/>
          <w:szCs w:val="14"/>
        </w:rPr>
        <w:tab/>
        <w:t>Except for a specific objective set out in Article 4(1)(c)(</w:t>
      </w:r>
      <w:r w:rsidRPr="005C75DF">
        <w:rPr>
          <w:rFonts w:ascii="Times New Roman" w:hAnsi="Times New Roman" w:cs="Times New Roman"/>
          <w:bCs/>
          <w:sz w:val="14"/>
          <w:szCs w:val="14"/>
        </w:rPr>
        <w:t>xi)</w:t>
      </w:r>
      <w:r w:rsidRPr="005C75DF">
        <w:rPr>
          <w:rFonts w:ascii="Times New Roman" w:hAnsi="Times New Roman" w:cs="Times New Roman"/>
          <w:sz w:val="14"/>
          <w:szCs w:val="14"/>
        </w:rPr>
        <w:t xml:space="preserve"> of the ESF+ Regulation.</w:t>
      </w:r>
    </w:p>
  </w:footnote>
  <w:footnote w:id="25">
    <w:p w:rsidR="00F273D0" w:rsidRPr="005C75DF" w:rsidRDefault="00F273D0" w:rsidP="00F8597A">
      <w:pPr>
        <w:pStyle w:val="Textnotdesubsol"/>
        <w:rPr>
          <w:rFonts w:ascii="Times New Roman" w:hAnsi="Times New Roman" w:cs="Times New Roman"/>
          <w:sz w:val="14"/>
          <w:szCs w:val="14"/>
        </w:rPr>
      </w:pPr>
      <w:r w:rsidRPr="005C75DF">
        <w:rPr>
          <w:rStyle w:val="Referinnotdesubsol"/>
          <w:rFonts w:ascii="Times New Roman" w:hAnsi="Times New Roman" w:cs="Times New Roman"/>
          <w:sz w:val="14"/>
          <w:szCs w:val="14"/>
        </w:rPr>
        <w:footnoteRef/>
      </w:r>
      <w:r w:rsidRPr="005C75DF">
        <w:rPr>
          <w:rFonts w:ascii="Times New Roman" w:hAnsi="Times New Roman" w:cs="Times New Roman"/>
          <w:sz w:val="14"/>
          <w:szCs w:val="14"/>
        </w:rPr>
        <w:t xml:space="preserve"> </w:t>
      </w:r>
      <w:r w:rsidRPr="005C75DF">
        <w:rPr>
          <w:rFonts w:ascii="Times New Roman" w:hAnsi="Times New Roman" w:cs="Times New Roman"/>
          <w:sz w:val="14"/>
          <w:szCs w:val="14"/>
        </w:rPr>
        <w:tab/>
        <w:t>Except for a specific objective set out in Article 4(1)(c)(</w:t>
      </w:r>
      <w:r w:rsidRPr="005C75DF">
        <w:rPr>
          <w:rFonts w:ascii="Times New Roman" w:hAnsi="Times New Roman" w:cs="Times New Roman"/>
          <w:bCs/>
          <w:sz w:val="14"/>
          <w:szCs w:val="14"/>
        </w:rPr>
        <w:t>xi)</w:t>
      </w:r>
      <w:r w:rsidRPr="005C75DF">
        <w:rPr>
          <w:rFonts w:ascii="Times New Roman" w:hAnsi="Times New Roman" w:cs="Times New Roman"/>
          <w:sz w:val="14"/>
          <w:szCs w:val="14"/>
        </w:rPr>
        <w:t xml:space="preserve"> of the ESF+ Regulation.</w:t>
      </w:r>
    </w:p>
  </w:footnote>
  <w:footnote w:id="26">
    <w:p w:rsidR="00F273D0" w:rsidRPr="005C75DF" w:rsidRDefault="00F273D0" w:rsidP="00F8597A">
      <w:pPr>
        <w:pStyle w:val="Textnotdesubsol"/>
        <w:rPr>
          <w:rFonts w:ascii="Times New Roman" w:hAnsi="Times New Roman" w:cs="Times New Roman"/>
          <w:sz w:val="14"/>
          <w:szCs w:val="14"/>
        </w:rPr>
      </w:pPr>
      <w:r w:rsidRPr="005C75DF">
        <w:rPr>
          <w:rStyle w:val="Referinnotdesubsol"/>
          <w:rFonts w:ascii="Times New Roman" w:hAnsi="Times New Roman" w:cs="Times New Roman"/>
          <w:sz w:val="14"/>
          <w:szCs w:val="14"/>
        </w:rPr>
        <w:footnoteRef/>
      </w:r>
      <w:r w:rsidRPr="005C75DF">
        <w:rPr>
          <w:rFonts w:ascii="Times New Roman" w:hAnsi="Times New Roman" w:cs="Times New Roman"/>
          <w:sz w:val="14"/>
          <w:szCs w:val="14"/>
        </w:rPr>
        <w:t xml:space="preserve"> </w:t>
      </w:r>
      <w:hyperlink r:id="rId14" w:history="1">
        <w:r w:rsidRPr="005C75DF">
          <w:rPr>
            <w:rStyle w:val="Hyperlink"/>
            <w:rFonts w:ascii="Times New Roman" w:hAnsi="Times New Roman" w:cs="Times New Roman"/>
            <w:sz w:val="14"/>
            <w:szCs w:val="14"/>
          </w:rPr>
          <w:t>https://appsso.eurostat.ec.europa.eu/nui/submitViewTableAction.do</w:t>
        </w:r>
      </w:hyperlink>
    </w:p>
  </w:footnote>
  <w:footnote w:id="27">
    <w:p w:rsidR="00F273D0" w:rsidRPr="005C75DF" w:rsidRDefault="00F273D0" w:rsidP="00F8597A">
      <w:pPr>
        <w:pStyle w:val="Textnotdesubsol"/>
        <w:rPr>
          <w:rFonts w:ascii="Times New Roman" w:hAnsi="Times New Roman" w:cs="Times New Roman"/>
          <w:sz w:val="14"/>
          <w:szCs w:val="14"/>
        </w:rPr>
      </w:pPr>
      <w:r w:rsidRPr="005C75DF">
        <w:rPr>
          <w:rStyle w:val="Referinnotdesubsol"/>
          <w:rFonts w:ascii="Times New Roman" w:hAnsi="Times New Roman" w:cs="Times New Roman"/>
          <w:sz w:val="14"/>
          <w:szCs w:val="14"/>
        </w:rPr>
        <w:footnoteRef/>
      </w:r>
      <w:r w:rsidRPr="005C75DF">
        <w:rPr>
          <w:rFonts w:ascii="Times New Roman" w:hAnsi="Times New Roman" w:cs="Times New Roman"/>
          <w:sz w:val="14"/>
          <w:szCs w:val="14"/>
        </w:rPr>
        <w:t xml:space="preserve"> </w:t>
      </w:r>
      <w:hyperlink r:id="rId15" w:history="1">
        <w:r w:rsidRPr="005C75DF">
          <w:rPr>
            <w:rStyle w:val="Hyperlink"/>
            <w:rFonts w:ascii="Times New Roman" w:hAnsi="Times New Roman" w:cs="Times New Roman"/>
            <w:sz w:val="14"/>
            <w:szCs w:val="14"/>
          </w:rPr>
          <w:t>https://appsso.eurostat.ec.europa.eu/nui/show.do?dataset=lfsa_enewasn&amp;lang=en</w:t>
        </w:r>
      </w:hyperlink>
    </w:p>
  </w:footnote>
  <w:footnote w:id="28">
    <w:p w:rsidR="00F273D0" w:rsidRPr="005C75DF" w:rsidRDefault="00F273D0" w:rsidP="00F8597A">
      <w:pPr>
        <w:pStyle w:val="Textnotdesubsol"/>
        <w:rPr>
          <w:rFonts w:ascii="Times New Roman" w:hAnsi="Times New Roman" w:cs="Times New Roman"/>
          <w:sz w:val="14"/>
          <w:szCs w:val="14"/>
        </w:rPr>
      </w:pPr>
      <w:r w:rsidRPr="005C75DF">
        <w:rPr>
          <w:rStyle w:val="Referinnotdesubsol"/>
          <w:rFonts w:ascii="Times New Roman" w:hAnsi="Times New Roman" w:cs="Times New Roman"/>
          <w:sz w:val="14"/>
          <w:szCs w:val="14"/>
        </w:rPr>
        <w:footnoteRef/>
      </w:r>
      <w:r w:rsidRPr="005C75DF">
        <w:rPr>
          <w:rFonts w:ascii="Times New Roman" w:hAnsi="Times New Roman" w:cs="Times New Roman"/>
          <w:sz w:val="14"/>
          <w:szCs w:val="14"/>
        </w:rPr>
        <w:t xml:space="preserve"> </w:t>
      </w:r>
      <w:hyperlink r:id="rId16" w:history="1">
        <w:r w:rsidRPr="005C75DF">
          <w:rPr>
            <w:rStyle w:val="Hyperlink"/>
            <w:rFonts w:ascii="Times New Roman" w:hAnsi="Times New Roman" w:cs="Times New Roman"/>
            <w:sz w:val="14"/>
            <w:szCs w:val="14"/>
          </w:rPr>
          <w:t>https://appsso.eurostat.ec.europa.eu/nui/show.do?dataset=trng_lfse_04&amp;lang=en</w:t>
        </w:r>
      </w:hyperlink>
    </w:p>
  </w:footnote>
  <w:footnote w:id="29">
    <w:p w:rsidR="00F273D0" w:rsidRPr="005C75DF" w:rsidRDefault="00F273D0" w:rsidP="00F8597A">
      <w:pPr>
        <w:pStyle w:val="Textnotdesubsol"/>
        <w:rPr>
          <w:rFonts w:ascii="Times New Roman" w:hAnsi="Times New Roman" w:cs="Times New Roman"/>
          <w:sz w:val="14"/>
          <w:szCs w:val="14"/>
        </w:rPr>
      </w:pPr>
      <w:r w:rsidRPr="005C75DF">
        <w:rPr>
          <w:rStyle w:val="Referinnotdesubsol"/>
          <w:rFonts w:ascii="Times New Roman" w:hAnsi="Times New Roman" w:cs="Times New Roman"/>
          <w:sz w:val="14"/>
          <w:szCs w:val="14"/>
        </w:rPr>
        <w:footnoteRef/>
      </w:r>
      <w:r w:rsidRPr="005C75DF">
        <w:rPr>
          <w:rFonts w:ascii="Times New Roman" w:hAnsi="Times New Roman" w:cs="Times New Roman"/>
          <w:sz w:val="14"/>
          <w:szCs w:val="14"/>
        </w:rPr>
        <w:t xml:space="preserve"> </w:t>
      </w:r>
      <w:hyperlink r:id="rId17" w:history="1">
        <w:r w:rsidRPr="005C75DF">
          <w:rPr>
            <w:rStyle w:val="Hyperlink"/>
            <w:rFonts w:ascii="Times New Roman" w:hAnsi="Times New Roman" w:cs="Times New Roman"/>
            <w:sz w:val="14"/>
            <w:szCs w:val="14"/>
          </w:rPr>
          <w:t>https://appsso.eurostat.ec.europa.eu/nui/submitViewTableAction.do</w:t>
        </w:r>
      </w:hyperlink>
    </w:p>
  </w:footnote>
  <w:footnote w:id="30">
    <w:p w:rsidR="00F273D0" w:rsidRPr="005C75DF" w:rsidRDefault="00F273D0" w:rsidP="00351E4A">
      <w:pPr>
        <w:pStyle w:val="Textnotdesubsol"/>
        <w:ind w:left="480" w:hanging="480"/>
        <w:rPr>
          <w:rFonts w:ascii="Times New Roman" w:hAnsi="Times New Roman" w:cs="Times New Roman"/>
          <w:sz w:val="14"/>
          <w:szCs w:val="14"/>
        </w:rPr>
      </w:pPr>
      <w:r w:rsidRPr="005C75DF">
        <w:rPr>
          <w:rStyle w:val="Referinnotdesubsol"/>
          <w:rFonts w:ascii="Times New Roman" w:hAnsi="Times New Roman" w:cs="Times New Roman"/>
          <w:sz w:val="14"/>
          <w:szCs w:val="14"/>
        </w:rPr>
        <w:footnoteRef/>
      </w:r>
      <w:r w:rsidRPr="005C75DF">
        <w:rPr>
          <w:rFonts w:ascii="Times New Roman" w:hAnsi="Times New Roman" w:cs="Times New Roman"/>
          <w:sz w:val="14"/>
          <w:szCs w:val="14"/>
        </w:rPr>
        <w:t xml:space="preserve"> RCO: REGIO Common Output Indicator.</w:t>
      </w:r>
    </w:p>
  </w:footnote>
  <w:footnote w:id="31">
    <w:p w:rsidR="00F273D0" w:rsidRPr="005C75DF" w:rsidRDefault="00F273D0" w:rsidP="00C31A12">
      <w:pPr>
        <w:pStyle w:val="Textnotdesubsol"/>
        <w:rPr>
          <w:rFonts w:ascii="Times New Roman" w:hAnsi="Times New Roman" w:cs="Times New Roman"/>
          <w:bCs/>
          <w:sz w:val="14"/>
          <w:szCs w:val="14"/>
        </w:rPr>
      </w:pPr>
      <w:r w:rsidRPr="005C75DF">
        <w:rPr>
          <w:rStyle w:val="Referinnotdesubsol"/>
          <w:rFonts w:ascii="Times New Roman" w:hAnsi="Times New Roman" w:cs="Times New Roman"/>
          <w:bCs/>
          <w:sz w:val="14"/>
          <w:szCs w:val="14"/>
        </w:rPr>
        <w:footnoteRef/>
      </w:r>
      <w:r w:rsidRPr="005C75DF">
        <w:rPr>
          <w:rFonts w:ascii="Times New Roman" w:hAnsi="Times New Roman" w:cs="Times New Roman"/>
          <w:bCs/>
          <w:sz w:val="14"/>
          <w:szCs w:val="14"/>
        </w:rPr>
        <w:t xml:space="preserve"> </w:t>
      </w:r>
      <w:r w:rsidRPr="005C75DF">
        <w:rPr>
          <w:rFonts w:ascii="Times New Roman" w:hAnsi="Times New Roman" w:cs="Times New Roman"/>
          <w:bCs/>
          <w:sz w:val="14"/>
          <w:szCs w:val="14"/>
        </w:rPr>
        <w:tab/>
        <w:t>Not relevant for CF</w:t>
      </w:r>
    </w:p>
  </w:footnote>
  <w:footnote w:id="32">
    <w:p w:rsidR="00F273D0" w:rsidRPr="005C75DF" w:rsidRDefault="00F273D0" w:rsidP="00106AA2">
      <w:pPr>
        <w:pStyle w:val="Textnotdesubsol"/>
        <w:rPr>
          <w:rFonts w:ascii="Times New Roman" w:hAnsi="Times New Roman" w:cs="Times New Roman"/>
          <w:sz w:val="14"/>
          <w:szCs w:val="14"/>
        </w:rPr>
      </w:pPr>
      <w:r w:rsidRPr="005C75DF">
        <w:rPr>
          <w:rStyle w:val="Referinnotdesubsol"/>
          <w:rFonts w:ascii="Times New Roman" w:hAnsi="Times New Roman" w:cs="Times New Roman"/>
          <w:bCs/>
          <w:sz w:val="14"/>
          <w:szCs w:val="14"/>
        </w:rPr>
        <w:footnoteRef/>
      </w:r>
      <w:r w:rsidRPr="005C75DF">
        <w:rPr>
          <w:rFonts w:ascii="Times New Roman" w:hAnsi="Times New Roman" w:cs="Times New Roman"/>
          <w:bCs/>
          <w:sz w:val="14"/>
          <w:szCs w:val="14"/>
        </w:rPr>
        <w:t xml:space="preserve"> </w:t>
      </w:r>
      <w:r w:rsidRPr="005C75DF">
        <w:rPr>
          <w:rFonts w:ascii="Times New Roman" w:hAnsi="Times New Roman" w:cs="Times New Roman"/>
          <w:bCs/>
          <w:sz w:val="14"/>
          <w:szCs w:val="14"/>
        </w:rPr>
        <w:tab/>
        <w:t>Not relevant for CF</w:t>
      </w:r>
    </w:p>
  </w:footnote>
  <w:footnote w:id="33">
    <w:p w:rsidR="00F273D0" w:rsidRPr="005C75DF" w:rsidRDefault="00F273D0" w:rsidP="00106AA2">
      <w:pPr>
        <w:pStyle w:val="Textnotdesubsol"/>
        <w:rPr>
          <w:rFonts w:ascii="Times New Roman" w:hAnsi="Times New Roman" w:cs="Times New Roman"/>
          <w:sz w:val="14"/>
          <w:szCs w:val="14"/>
        </w:rPr>
      </w:pPr>
      <w:r w:rsidRPr="005C75DF">
        <w:rPr>
          <w:rStyle w:val="Referinnotdesubsol"/>
          <w:rFonts w:ascii="Times New Roman" w:hAnsi="Times New Roman" w:cs="Times New Roman"/>
          <w:sz w:val="14"/>
          <w:szCs w:val="14"/>
        </w:rPr>
        <w:footnoteRef/>
      </w:r>
      <w:r w:rsidRPr="005C75DF">
        <w:rPr>
          <w:rFonts w:ascii="Times New Roman" w:hAnsi="Times New Roman" w:cs="Times New Roman"/>
          <w:sz w:val="14"/>
          <w:szCs w:val="14"/>
        </w:rPr>
        <w:t xml:space="preserve"> </w:t>
      </w:r>
      <w:r w:rsidRPr="005C75DF">
        <w:rPr>
          <w:rFonts w:ascii="Times New Roman" w:hAnsi="Times New Roman" w:cs="Times New Roman"/>
          <w:sz w:val="14"/>
          <w:szCs w:val="14"/>
        </w:rPr>
        <w:tab/>
        <w:t>Not relevant for CF</w:t>
      </w:r>
    </w:p>
  </w:footnote>
  <w:footnote w:id="34">
    <w:p w:rsidR="00F273D0" w:rsidRPr="005C75DF" w:rsidRDefault="00F273D0" w:rsidP="00E91EF6">
      <w:pPr>
        <w:pStyle w:val="Textnotdesubsol"/>
        <w:rPr>
          <w:rFonts w:ascii="Times New Roman" w:hAnsi="Times New Roman" w:cs="Times New Roman"/>
          <w:sz w:val="14"/>
          <w:szCs w:val="14"/>
        </w:rPr>
      </w:pPr>
      <w:r w:rsidRPr="005C75DF">
        <w:rPr>
          <w:rStyle w:val="Referinnotdesubsol"/>
          <w:rFonts w:ascii="Times New Roman" w:hAnsi="Times New Roman" w:cs="Times New Roman"/>
          <w:sz w:val="14"/>
          <w:szCs w:val="14"/>
        </w:rPr>
        <w:footnoteRef/>
      </w:r>
      <w:r w:rsidRPr="005C75DF">
        <w:rPr>
          <w:rFonts w:ascii="Times New Roman" w:hAnsi="Times New Roman" w:cs="Times New Roman"/>
          <w:sz w:val="14"/>
          <w:szCs w:val="14"/>
        </w:rPr>
        <w:t xml:space="preserve"> </w:t>
      </w:r>
      <w:r w:rsidRPr="005C75DF">
        <w:rPr>
          <w:rFonts w:ascii="Times New Roman" w:hAnsi="Times New Roman" w:cs="Times New Roman"/>
          <w:sz w:val="14"/>
          <w:szCs w:val="14"/>
        </w:rPr>
        <w:tab/>
        <w:t>Except for a specific objective set out in Article 4(1)(c)(</w:t>
      </w:r>
      <w:r w:rsidRPr="005C75DF">
        <w:rPr>
          <w:rFonts w:ascii="Times New Roman" w:hAnsi="Times New Roman" w:cs="Times New Roman"/>
          <w:bCs/>
          <w:sz w:val="14"/>
          <w:szCs w:val="14"/>
        </w:rPr>
        <w:t>xi)</w:t>
      </w:r>
      <w:r w:rsidRPr="005C75DF">
        <w:rPr>
          <w:rFonts w:ascii="Times New Roman" w:hAnsi="Times New Roman" w:cs="Times New Roman"/>
          <w:sz w:val="14"/>
          <w:szCs w:val="14"/>
        </w:rPr>
        <w:t xml:space="preserve"> of the ESF+ Regulation.</w:t>
      </w:r>
    </w:p>
  </w:footnote>
  <w:footnote w:id="35">
    <w:p w:rsidR="00F273D0" w:rsidRPr="005C75DF" w:rsidRDefault="00F273D0" w:rsidP="00E91EF6">
      <w:pPr>
        <w:pStyle w:val="Textnotdesubsol"/>
        <w:rPr>
          <w:rFonts w:ascii="Times New Roman" w:hAnsi="Times New Roman" w:cs="Times New Roman"/>
          <w:sz w:val="14"/>
          <w:szCs w:val="14"/>
        </w:rPr>
      </w:pPr>
      <w:r w:rsidRPr="005C75DF">
        <w:rPr>
          <w:rStyle w:val="Referinnotdesubsol"/>
          <w:rFonts w:ascii="Times New Roman" w:hAnsi="Times New Roman" w:cs="Times New Roman"/>
          <w:sz w:val="14"/>
          <w:szCs w:val="14"/>
        </w:rPr>
        <w:footnoteRef/>
      </w:r>
      <w:r w:rsidRPr="005C75DF">
        <w:rPr>
          <w:rFonts w:ascii="Times New Roman" w:hAnsi="Times New Roman" w:cs="Times New Roman"/>
          <w:sz w:val="14"/>
          <w:szCs w:val="14"/>
        </w:rPr>
        <w:t xml:space="preserve"> </w:t>
      </w:r>
      <w:r w:rsidRPr="005C75DF">
        <w:rPr>
          <w:rFonts w:ascii="Times New Roman" w:hAnsi="Times New Roman" w:cs="Times New Roman"/>
          <w:sz w:val="14"/>
          <w:szCs w:val="14"/>
        </w:rPr>
        <w:tab/>
        <w:t>Except for a specific objective set out in Article 4(1)(c)(</w:t>
      </w:r>
      <w:r w:rsidRPr="005C75DF">
        <w:rPr>
          <w:rFonts w:ascii="Times New Roman" w:hAnsi="Times New Roman" w:cs="Times New Roman"/>
          <w:bCs/>
          <w:sz w:val="14"/>
          <w:szCs w:val="14"/>
        </w:rPr>
        <w:t>xi)</w:t>
      </w:r>
      <w:r w:rsidRPr="005C75DF">
        <w:rPr>
          <w:rFonts w:ascii="Times New Roman" w:hAnsi="Times New Roman" w:cs="Times New Roman"/>
          <w:sz w:val="14"/>
          <w:szCs w:val="14"/>
        </w:rPr>
        <w:t xml:space="preserve"> of the ESF+ Regulation.</w:t>
      </w:r>
    </w:p>
  </w:footnote>
  <w:footnote w:id="36">
    <w:p w:rsidR="00F273D0" w:rsidRPr="005C75DF" w:rsidRDefault="00F273D0" w:rsidP="00F42F0B">
      <w:pPr>
        <w:pStyle w:val="Textnotdesubsol"/>
        <w:rPr>
          <w:rFonts w:ascii="Times New Roman" w:hAnsi="Times New Roman" w:cs="Times New Roman"/>
          <w:bCs/>
          <w:sz w:val="14"/>
          <w:szCs w:val="14"/>
        </w:rPr>
      </w:pPr>
      <w:r w:rsidRPr="00E521D7">
        <w:rPr>
          <w:rStyle w:val="Referinnotdesubsol"/>
          <w:rFonts w:ascii="Times New Roman" w:hAnsi="Times New Roman" w:cs="Times New Roman"/>
          <w:bCs/>
          <w:sz w:val="14"/>
          <w:szCs w:val="14"/>
        </w:rPr>
        <w:footnoteRef/>
      </w:r>
      <w:r w:rsidRPr="00E521D7">
        <w:rPr>
          <w:rFonts w:ascii="Times New Roman" w:hAnsi="Times New Roman" w:cs="Times New Roman"/>
          <w:bCs/>
          <w:sz w:val="14"/>
          <w:szCs w:val="14"/>
        </w:rPr>
        <w:t xml:space="preserve"> Not relevant for CF</w:t>
      </w:r>
    </w:p>
  </w:footnote>
  <w:footnote w:id="37">
    <w:p w:rsidR="00F273D0" w:rsidRPr="005C75DF" w:rsidRDefault="00F273D0" w:rsidP="00AA567F">
      <w:pPr>
        <w:pStyle w:val="Textnotdesubsol"/>
        <w:tabs>
          <w:tab w:val="left" w:pos="284"/>
        </w:tabs>
        <w:rPr>
          <w:rFonts w:ascii="Times New Roman" w:hAnsi="Times New Roman" w:cs="Times New Roman"/>
          <w:bCs/>
          <w:sz w:val="14"/>
          <w:szCs w:val="14"/>
        </w:rPr>
      </w:pPr>
      <w:r w:rsidRPr="005C75DF">
        <w:rPr>
          <w:rStyle w:val="Referinnotdesubsol"/>
          <w:rFonts w:ascii="Times New Roman" w:hAnsi="Times New Roman" w:cs="Times New Roman"/>
          <w:b w:val="0"/>
          <w:bCs/>
          <w:sz w:val="14"/>
          <w:szCs w:val="14"/>
        </w:rPr>
        <w:footnoteRef/>
      </w:r>
      <w:r w:rsidRPr="005C75DF">
        <w:rPr>
          <w:rFonts w:ascii="Times New Roman" w:hAnsi="Times New Roman" w:cs="Times New Roman"/>
          <w:b/>
          <w:bCs/>
          <w:sz w:val="14"/>
          <w:szCs w:val="14"/>
        </w:rPr>
        <w:t xml:space="preserve"> </w:t>
      </w:r>
      <w:r w:rsidRPr="00E521D7">
        <w:rPr>
          <w:rFonts w:ascii="Times New Roman" w:hAnsi="Times New Roman" w:cs="Times New Roman"/>
          <w:sz w:val="14"/>
          <w:szCs w:val="14"/>
        </w:rPr>
        <w:t>Not relevant for CF</w:t>
      </w:r>
    </w:p>
  </w:footnote>
  <w:footnote w:id="38">
    <w:p w:rsidR="00F273D0" w:rsidRPr="00E521D7" w:rsidRDefault="00F273D0" w:rsidP="008165CD">
      <w:pPr>
        <w:pStyle w:val="Textnotdesubsol"/>
        <w:tabs>
          <w:tab w:val="left" w:pos="284"/>
        </w:tabs>
        <w:jc w:val="both"/>
        <w:rPr>
          <w:rFonts w:ascii="Times New Roman" w:hAnsi="Times New Roman" w:cs="Times New Roman"/>
          <w:sz w:val="14"/>
          <w:szCs w:val="14"/>
        </w:rPr>
      </w:pPr>
      <w:r w:rsidRPr="00E521D7">
        <w:rPr>
          <w:rStyle w:val="Referinnotdesubsol"/>
          <w:rFonts w:ascii="Times New Roman" w:hAnsi="Times New Roman" w:cs="Times New Roman"/>
          <w:sz w:val="14"/>
          <w:szCs w:val="14"/>
        </w:rPr>
        <w:footnoteRef/>
      </w:r>
      <w:r w:rsidRPr="00E521D7">
        <w:rPr>
          <w:rFonts w:ascii="Times New Roman" w:hAnsi="Times New Roman" w:cs="Times New Roman"/>
          <w:sz w:val="14"/>
          <w:szCs w:val="14"/>
        </w:rPr>
        <w:t xml:space="preserve"> Not relevant for CF</w:t>
      </w:r>
    </w:p>
  </w:footnote>
  <w:footnote w:id="39">
    <w:p w:rsidR="00F273D0" w:rsidRPr="00E521D7" w:rsidRDefault="00F273D0" w:rsidP="006169A6">
      <w:pPr>
        <w:pStyle w:val="Textnotdesubsol"/>
        <w:rPr>
          <w:rFonts w:ascii="Times New Roman" w:hAnsi="Times New Roman" w:cs="Times New Roman"/>
          <w:sz w:val="14"/>
          <w:szCs w:val="14"/>
        </w:rPr>
      </w:pPr>
      <w:r w:rsidRPr="00E521D7">
        <w:rPr>
          <w:rStyle w:val="Referinnotdesubsol"/>
          <w:rFonts w:ascii="Times New Roman" w:hAnsi="Times New Roman" w:cs="Times New Roman"/>
          <w:sz w:val="14"/>
          <w:szCs w:val="14"/>
        </w:rPr>
        <w:footnoteRef/>
      </w:r>
      <w:r w:rsidRPr="00E521D7">
        <w:rPr>
          <w:rFonts w:ascii="Times New Roman" w:hAnsi="Times New Roman" w:cs="Times New Roman"/>
          <w:sz w:val="14"/>
          <w:szCs w:val="14"/>
        </w:rPr>
        <w:t xml:space="preserve"> Except for a specific objective set out in Article 4(1)(c)(</w:t>
      </w:r>
      <w:r w:rsidRPr="00E521D7">
        <w:rPr>
          <w:rFonts w:ascii="Times New Roman" w:hAnsi="Times New Roman" w:cs="Times New Roman"/>
          <w:bCs/>
          <w:sz w:val="14"/>
          <w:szCs w:val="14"/>
        </w:rPr>
        <w:t>xi)</w:t>
      </w:r>
      <w:r w:rsidRPr="00E521D7">
        <w:rPr>
          <w:rFonts w:ascii="Times New Roman" w:hAnsi="Times New Roman" w:cs="Times New Roman"/>
          <w:sz w:val="14"/>
          <w:szCs w:val="14"/>
        </w:rPr>
        <w:t xml:space="preserve"> of the ESF+ Regulation.</w:t>
      </w:r>
    </w:p>
  </w:footnote>
  <w:footnote w:id="40">
    <w:p w:rsidR="00F273D0" w:rsidRPr="00E521D7" w:rsidRDefault="00F273D0" w:rsidP="00B105D0">
      <w:pPr>
        <w:pStyle w:val="Textnotdesubsol"/>
        <w:jc w:val="both"/>
        <w:rPr>
          <w:rFonts w:ascii="Times New Roman" w:hAnsi="Times New Roman" w:cs="Times New Roman"/>
          <w:sz w:val="14"/>
          <w:szCs w:val="14"/>
        </w:rPr>
      </w:pPr>
      <w:r w:rsidRPr="00E521D7">
        <w:rPr>
          <w:rStyle w:val="Referinnotdesubsol"/>
          <w:rFonts w:ascii="Times New Roman" w:hAnsi="Times New Roman" w:cs="Times New Roman"/>
          <w:sz w:val="14"/>
          <w:szCs w:val="14"/>
        </w:rPr>
        <w:footnoteRef/>
      </w:r>
      <w:r w:rsidRPr="00E521D7">
        <w:rPr>
          <w:rFonts w:ascii="Times New Roman" w:hAnsi="Times New Roman" w:cs="Times New Roman"/>
          <w:sz w:val="14"/>
          <w:szCs w:val="14"/>
        </w:rPr>
        <w:t xml:space="preserve"> Sursa: Institutul National de Statistica, www. insse.ro </w:t>
      </w:r>
    </w:p>
  </w:footnote>
  <w:footnote w:id="41">
    <w:p w:rsidR="00F273D0" w:rsidRPr="00E521D7" w:rsidRDefault="00F273D0" w:rsidP="00B105D0">
      <w:pPr>
        <w:pStyle w:val="Textnotdesubsol"/>
        <w:jc w:val="both"/>
        <w:rPr>
          <w:rFonts w:ascii="Times New Roman" w:hAnsi="Times New Roman" w:cs="Times New Roman"/>
          <w:sz w:val="14"/>
          <w:szCs w:val="14"/>
        </w:rPr>
      </w:pPr>
      <w:r w:rsidRPr="00E521D7">
        <w:rPr>
          <w:rStyle w:val="Referinnotdesubsol"/>
          <w:rFonts w:ascii="Times New Roman" w:hAnsi="Times New Roman" w:cs="Times New Roman"/>
          <w:sz w:val="14"/>
          <w:szCs w:val="14"/>
        </w:rPr>
        <w:footnoteRef/>
      </w:r>
      <w:r w:rsidRPr="00E521D7">
        <w:rPr>
          <w:rFonts w:ascii="Times New Roman" w:hAnsi="Times New Roman" w:cs="Times New Roman"/>
          <w:sz w:val="14"/>
          <w:szCs w:val="14"/>
        </w:rPr>
        <w:t xml:space="preserve"> Plan de acțiuni privind SUERD, publicat în Comunicarea Comisiei SWD(2020) 59 final, 2020, disponibil </w:t>
      </w:r>
      <w:hyperlink r:id="rId18" w:history="1">
        <w:r w:rsidRPr="00E521D7">
          <w:rPr>
            <w:rStyle w:val="Hyperlink"/>
            <w:rFonts w:ascii="Times New Roman" w:hAnsi="Times New Roman" w:cs="Times New Roman"/>
            <w:sz w:val="14"/>
            <w:szCs w:val="14"/>
          </w:rPr>
          <w:t>https://danube-region.eu/wp-content/uploads/2020/04/EUSDR-ACTION-PLAN-SWD202059-final.pdf</w:t>
        </w:r>
      </w:hyperlink>
    </w:p>
  </w:footnote>
  <w:footnote w:id="42">
    <w:p w:rsidR="00F273D0" w:rsidRPr="00E521D7" w:rsidRDefault="00F273D0" w:rsidP="009A6765">
      <w:pPr>
        <w:pStyle w:val="Textnotdesubsol"/>
        <w:jc w:val="both"/>
        <w:rPr>
          <w:rFonts w:ascii="Times New Roman" w:hAnsi="Times New Roman" w:cs="Times New Roman"/>
          <w:sz w:val="14"/>
          <w:szCs w:val="14"/>
        </w:rPr>
      </w:pPr>
      <w:r w:rsidRPr="00E521D7">
        <w:rPr>
          <w:rStyle w:val="Referinnotdesubsol"/>
          <w:rFonts w:ascii="Times New Roman" w:hAnsi="Times New Roman" w:cs="Times New Roman"/>
          <w:sz w:val="14"/>
          <w:szCs w:val="14"/>
        </w:rPr>
        <w:footnoteRef/>
      </w:r>
      <w:r w:rsidRPr="00E521D7">
        <w:rPr>
          <w:rFonts w:ascii="Times New Roman" w:hAnsi="Times New Roman" w:cs="Times New Roman"/>
          <w:sz w:val="14"/>
          <w:szCs w:val="14"/>
        </w:rPr>
        <w:t xml:space="preserve"> Plan de acțiuni privind SUERD, publicat în Comunicarea Comisiei SWD(2020) 59 final, 2020, disponibil </w:t>
      </w:r>
      <w:hyperlink r:id="rId19" w:history="1">
        <w:r w:rsidRPr="00E521D7">
          <w:rPr>
            <w:rStyle w:val="Hyperlink"/>
            <w:rFonts w:ascii="Times New Roman" w:hAnsi="Times New Roman" w:cs="Times New Roman"/>
            <w:sz w:val="14"/>
            <w:szCs w:val="14"/>
          </w:rPr>
          <w:t>https://danube-region.eu/wp-content/uploads/2020/04/EUSDR-ACTION-PLAN-SWD202059-final.pdf</w:t>
        </w:r>
      </w:hyperlink>
    </w:p>
  </w:footnote>
  <w:footnote w:id="43">
    <w:p w:rsidR="00F273D0" w:rsidRPr="00E521D7" w:rsidRDefault="00F273D0" w:rsidP="009A6765">
      <w:pPr>
        <w:pStyle w:val="Textnotdesubsol"/>
        <w:jc w:val="both"/>
        <w:rPr>
          <w:rFonts w:ascii="Times New Roman" w:hAnsi="Times New Roman" w:cs="Times New Roman"/>
          <w:sz w:val="14"/>
          <w:szCs w:val="14"/>
        </w:rPr>
      </w:pPr>
      <w:r w:rsidRPr="00E521D7">
        <w:rPr>
          <w:rStyle w:val="Referinnotdesubsol"/>
          <w:rFonts w:ascii="Times New Roman" w:hAnsi="Times New Roman" w:cs="Times New Roman"/>
          <w:sz w:val="14"/>
          <w:szCs w:val="14"/>
        </w:rPr>
        <w:footnoteRef/>
      </w:r>
      <w:r w:rsidRPr="00E521D7">
        <w:rPr>
          <w:rFonts w:ascii="Times New Roman" w:hAnsi="Times New Roman" w:cs="Times New Roman"/>
          <w:sz w:val="14"/>
          <w:szCs w:val="14"/>
        </w:rPr>
        <w:t xml:space="preserve"> Plan de acțiuni privind SUERD, publicat în Comunicarea Comisiei SWD(2020) 59 final, 2020, disponibil </w:t>
      </w:r>
      <w:hyperlink r:id="rId20" w:history="1">
        <w:r w:rsidRPr="00E521D7">
          <w:rPr>
            <w:rStyle w:val="Hyperlink"/>
            <w:rFonts w:ascii="Times New Roman" w:hAnsi="Times New Roman" w:cs="Times New Roman"/>
            <w:sz w:val="14"/>
            <w:szCs w:val="14"/>
          </w:rPr>
          <w:t>https://danube-region.eu/wp-content/uploads/2020/04/EUSDR-ACTION-PLAN-SWD202059-final.pdf</w:t>
        </w:r>
      </w:hyperlink>
    </w:p>
  </w:footnote>
  <w:footnote w:id="44">
    <w:p w:rsidR="00F273D0" w:rsidRPr="005C75DF" w:rsidRDefault="00F273D0" w:rsidP="00F000AD">
      <w:pPr>
        <w:pStyle w:val="Textnotdesubsol"/>
        <w:rPr>
          <w:rFonts w:ascii="Times New Roman" w:hAnsi="Times New Roman" w:cs="Times New Roman"/>
          <w:bCs/>
          <w:sz w:val="14"/>
          <w:szCs w:val="14"/>
        </w:rPr>
      </w:pPr>
      <w:r w:rsidRPr="005C75DF">
        <w:rPr>
          <w:rStyle w:val="Referinnotdesubsol"/>
          <w:rFonts w:ascii="Times New Roman" w:hAnsi="Times New Roman" w:cs="Times New Roman"/>
          <w:bCs/>
          <w:sz w:val="14"/>
          <w:szCs w:val="14"/>
        </w:rPr>
        <w:footnoteRef/>
      </w:r>
      <w:r w:rsidRPr="005C75DF">
        <w:rPr>
          <w:rFonts w:ascii="Times New Roman" w:hAnsi="Times New Roman" w:cs="Times New Roman"/>
          <w:bCs/>
          <w:sz w:val="14"/>
          <w:szCs w:val="14"/>
        </w:rPr>
        <w:t xml:space="preserve"> </w:t>
      </w:r>
      <w:r w:rsidRPr="005C75DF">
        <w:rPr>
          <w:rFonts w:ascii="Times New Roman" w:hAnsi="Times New Roman" w:cs="Times New Roman"/>
          <w:bCs/>
          <w:sz w:val="14"/>
          <w:szCs w:val="14"/>
        </w:rPr>
        <w:tab/>
        <w:t>Not relevant for CF</w:t>
      </w:r>
    </w:p>
  </w:footnote>
  <w:footnote w:id="45">
    <w:p w:rsidR="00F273D0" w:rsidRPr="005C75DF" w:rsidRDefault="00F273D0" w:rsidP="00F000AD">
      <w:pPr>
        <w:pStyle w:val="Textnotdesubsol"/>
        <w:rPr>
          <w:rFonts w:ascii="Times New Roman" w:hAnsi="Times New Roman" w:cs="Times New Roman"/>
          <w:sz w:val="14"/>
          <w:szCs w:val="14"/>
        </w:rPr>
      </w:pPr>
      <w:r w:rsidRPr="005C75DF">
        <w:rPr>
          <w:rStyle w:val="Referinnotdesubsol"/>
          <w:rFonts w:ascii="Times New Roman" w:hAnsi="Times New Roman" w:cs="Times New Roman"/>
          <w:bCs/>
          <w:sz w:val="14"/>
          <w:szCs w:val="14"/>
        </w:rPr>
        <w:footnoteRef/>
      </w:r>
      <w:r w:rsidRPr="005C75DF">
        <w:rPr>
          <w:rFonts w:ascii="Times New Roman" w:hAnsi="Times New Roman" w:cs="Times New Roman"/>
          <w:bCs/>
          <w:sz w:val="14"/>
          <w:szCs w:val="14"/>
        </w:rPr>
        <w:t xml:space="preserve"> </w:t>
      </w:r>
      <w:r w:rsidRPr="005C75DF">
        <w:rPr>
          <w:rFonts w:ascii="Times New Roman" w:hAnsi="Times New Roman" w:cs="Times New Roman"/>
          <w:bCs/>
          <w:sz w:val="14"/>
          <w:szCs w:val="14"/>
        </w:rPr>
        <w:tab/>
        <w:t>Not relevant for CF</w:t>
      </w:r>
    </w:p>
  </w:footnote>
  <w:footnote w:id="46">
    <w:p w:rsidR="00F273D0" w:rsidRPr="005C75DF" w:rsidRDefault="00F273D0" w:rsidP="00F000AD">
      <w:pPr>
        <w:pStyle w:val="Textnotdesubsol"/>
        <w:rPr>
          <w:rFonts w:ascii="Times New Roman" w:hAnsi="Times New Roman" w:cs="Times New Roman"/>
          <w:sz w:val="14"/>
          <w:szCs w:val="14"/>
        </w:rPr>
      </w:pPr>
      <w:r w:rsidRPr="005C75DF">
        <w:rPr>
          <w:rStyle w:val="Referinnotdesubsol"/>
          <w:rFonts w:ascii="Times New Roman" w:hAnsi="Times New Roman" w:cs="Times New Roman"/>
          <w:sz w:val="14"/>
          <w:szCs w:val="14"/>
        </w:rPr>
        <w:footnoteRef/>
      </w:r>
      <w:r w:rsidRPr="005C75DF">
        <w:rPr>
          <w:rFonts w:ascii="Times New Roman" w:hAnsi="Times New Roman" w:cs="Times New Roman"/>
          <w:sz w:val="14"/>
          <w:szCs w:val="14"/>
        </w:rPr>
        <w:t xml:space="preserve"> </w:t>
      </w:r>
      <w:r w:rsidRPr="005C75DF">
        <w:rPr>
          <w:rFonts w:ascii="Times New Roman" w:hAnsi="Times New Roman" w:cs="Times New Roman"/>
          <w:sz w:val="14"/>
          <w:szCs w:val="14"/>
        </w:rPr>
        <w:tab/>
        <w:t>Not relevant for CF</w:t>
      </w:r>
    </w:p>
  </w:footnote>
  <w:footnote w:id="47">
    <w:p w:rsidR="00F273D0" w:rsidRPr="005C75DF" w:rsidRDefault="00F273D0" w:rsidP="002E744B">
      <w:pPr>
        <w:pStyle w:val="Textnotdesubsol"/>
        <w:rPr>
          <w:rFonts w:ascii="Times New Roman" w:hAnsi="Times New Roman" w:cs="Times New Roman"/>
          <w:sz w:val="14"/>
          <w:szCs w:val="14"/>
        </w:rPr>
      </w:pPr>
      <w:r w:rsidRPr="005C75DF">
        <w:rPr>
          <w:rStyle w:val="Referinnotdesubsol"/>
          <w:rFonts w:ascii="Times New Roman" w:hAnsi="Times New Roman" w:cs="Times New Roman"/>
          <w:sz w:val="14"/>
          <w:szCs w:val="14"/>
        </w:rPr>
        <w:footnoteRef/>
      </w:r>
      <w:r w:rsidRPr="005C75DF">
        <w:rPr>
          <w:rFonts w:ascii="Times New Roman" w:hAnsi="Times New Roman" w:cs="Times New Roman"/>
          <w:sz w:val="14"/>
          <w:szCs w:val="14"/>
        </w:rPr>
        <w:t xml:space="preserve"> </w:t>
      </w:r>
      <w:r w:rsidRPr="005C75DF">
        <w:rPr>
          <w:rFonts w:ascii="Times New Roman" w:hAnsi="Times New Roman" w:cs="Times New Roman"/>
          <w:sz w:val="14"/>
          <w:szCs w:val="14"/>
        </w:rPr>
        <w:tab/>
        <w:t>Except for a specific objective set out in Article 4(1)(c)(</w:t>
      </w:r>
      <w:r w:rsidRPr="005C75DF">
        <w:rPr>
          <w:rFonts w:ascii="Times New Roman" w:hAnsi="Times New Roman" w:cs="Times New Roman"/>
          <w:bCs/>
          <w:sz w:val="14"/>
          <w:szCs w:val="14"/>
        </w:rPr>
        <w:t>xi)</w:t>
      </w:r>
      <w:r w:rsidRPr="005C75DF">
        <w:rPr>
          <w:rFonts w:ascii="Times New Roman" w:hAnsi="Times New Roman" w:cs="Times New Roman"/>
          <w:sz w:val="14"/>
          <w:szCs w:val="14"/>
        </w:rPr>
        <w:t xml:space="preserve"> of the ESF+ Regulation.</w:t>
      </w:r>
    </w:p>
  </w:footnote>
  <w:footnote w:id="48">
    <w:p w:rsidR="00F273D0" w:rsidRPr="005C75DF" w:rsidRDefault="00F273D0" w:rsidP="00371455">
      <w:pPr>
        <w:pStyle w:val="Textnotdesubsol"/>
        <w:rPr>
          <w:rFonts w:ascii="Times New Roman" w:hAnsi="Times New Roman" w:cs="Times New Roman"/>
          <w:bCs/>
          <w:sz w:val="14"/>
          <w:szCs w:val="14"/>
        </w:rPr>
      </w:pPr>
      <w:r w:rsidRPr="005C75DF">
        <w:rPr>
          <w:rStyle w:val="Referinnotdesubsol"/>
          <w:rFonts w:ascii="Times New Roman" w:hAnsi="Times New Roman" w:cs="Times New Roman"/>
          <w:bCs/>
          <w:sz w:val="14"/>
          <w:szCs w:val="14"/>
        </w:rPr>
        <w:footnoteRef/>
      </w:r>
      <w:r w:rsidRPr="005C75DF">
        <w:rPr>
          <w:rFonts w:ascii="Times New Roman" w:hAnsi="Times New Roman" w:cs="Times New Roman"/>
          <w:bCs/>
          <w:sz w:val="14"/>
          <w:szCs w:val="14"/>
        </w:rPr>
        <w:t xml:space="preserve"> </w:t>
      </w:r>
      <w:r w:rsidRPr="005C75DF">
        <w:rPr>
          <w:rFonts w:ascii="Times New Roman" w:hAnsi="Times New Roman" w:cs="Times New Roman"/>
          <w:bCs/>
          <w:sz w:val="14"/>
          <w:szCs w:val="14"/>
        </w:rPr>
        <w:tab/>
        <w:t>Not relevant for CF</w:t>
      </w:r>
    </w:p>
  </w:footnote>
  <w:footnote w:id="49">
    <w:p w:rsidR="00F273D0" w:rsidRPr="005C75DF" w:rsidRDefault="00F273D0" w:rsidP="00A26390">
      <w:pPr>
        <w:pStyle w:val="Textnotdesubsol"/>
        <w:rPr>
          <w:rFonts w:ascii="Times New Roman" w:hAnsi="Times New Roman" w:cs="Times New Roman"/>
          <w:sz w:val="14"/>
          <w:szCs w:val="14"/>
        </w:rPr>
      </w:pPr>
      <w:r w:rsidRPr="005C75DF">
        <w:rPr>
          <w:rStyle w:val="Referinnotdesubsol"/>
          <w:rFonts w:ascii="Times New Roman" w:hAnsi="Times New Roman" w:cs="Times New Roman"/>
          <w:bCs/>
          <w:sz w:val="14"/>
          <w:szCs w:val="14"/>
        </w:rPr>
        <w:footnoteRef/>
      </w:r>
      <w:r w:rsidRPr="005C75DF">
        <w:rPr>
          <w:rFonts w:ascii="Times New Roman" w:hAnsi="Times New Roman" w:cs="Times New Roman"/>
          <w:bCs/>
          <w:sz w:val="14"/>
          <w:szCs w:val="14"/>
        </w:rPr>
        <w:t xml:space="preserve"> </w:t>
      </w:r>
      <w:r w:rsidRPr="005C75DF">
        <w:rPr>
          <w:rFonts w:ascii="Times New Roman" w:hAnsi="Times New Roman" w:cs="Times New Roman"/>
          <w:bCs/>
          <w:sz w:val="14"/>
          <w:szCs w:val="14"/>
        </w:rPr>
        <w:tab/>
        <w:t>Not relevant for CF</w:t>
      </w:r>
    </w:p>
  </w:footnote>
  <w:footnote w:id="50">
    <w:p w:rsidR="00F273D0" w:rsidRPr="005C75DF" w:rsidRDefault="00F273D0" w:rsidP="00A26390">
      <w:pPr>
        <w:pStyle w:val="Textnotdesubsol"/>
        <w:rPr>
          <w:rFonts w:ascii="Times New Roman" w:hAnsi="Times New Roman" w:cs="Times New Roman"/>
          <w:sz w:val="14"/>
          <w:szCs w:val="14"/>
        </w:rPr>
      </w:pPr>
      <w:r w:rsidRPr="005C75DF">
        <w:rPr>
          <w:rStyle w:val="Referinnotdesubsol"/>
          <w:rFonts w:ascii="Times New Roman" w:hAnsi="Times New Roman" w:cs="Times New Roman"/>
          <w:sz w:val="14"/>
          <w:szCs w:val="14"/>
        </w:rPr>
        <w:footnoteRef/>
      </w:r>
      <w:r w:rsidRPr="005C75DF">
        <w:rPr>
          <w:rFonts w:ascii="Times New Roman" w:hAnsi="Times New Roman" w:cs="Times New Roman"/>
          <w:sz w:val="14"/>
          <w:szCs w:val="14"/>
        </w:rPr>
        <w:t xml:space="preserve"> </w:t>
      </w:r>
      <w:r w:rsidRPr="005C75DF">
        <w:rPr>
          <w:rFonts w:ascii="Times New Roman" w:hAnsi="Times New Roman" w:cs="Times New Roman"/>
          <w:sz w:val="14"/>
          <w:szCs w:val="14"/>
        </w:rPr>
        <w:tab/>
        <w:t>Not relevant for CF</w:t>
      </w:r>
    </w:p>
  </w:footnote>
  <w:footnote w:id="51">
    <w:p w:rsidR="00F273D0" w:rsidRPr="005C75DF" w:rsidRDefault="00F273D0" w:rsidP="00A26390">
      <w:pPr>
        <w:pStyle w:val="Textnotdesubsol"/>
        <w:rPr>
          <w:rFonts w:ascii="Times New Roman" w:hAnsi="Times New Roman" w:cs="Times New Roman"/>
          <w:sz w:val="14"/>
          <w:szCs w:val="14"/>
        </w:rPr>
      </w:pPr>
      <w:r w:rsidRPr="005C75DF">
        <w:rPr>
          <w:rStyle w:val="Referinnotdesubsol"/>
          <w:rFonts w:ascii="Times New Roman" w:hAnsi="Times New Roman" w:cs="Times New Roman"/>
          <w:sz w:val="14"/>
          <w:szCs w:val="14"/>
        </w:rPr>
        <w:footnoteRef/>
      </w:r>
      <w:r w:rsidRPr="005C75DF">
        <w:rPr>
          <w:rFonts w:ascii="Times New Roman" w:hAnsi="Times New Roman" w:cs="Times New Roman"/>
          <w:sz w:val="14"/>
          <w:szCs w:val="14"/>
        </w:rPr>
        <w:t xml:space="preserve"> </w:t>
      </w:r>
      <w:r w:rsidRPr="005C75DF">
        <w:rPr>
          <w:rFonts w:ascii="Times New Roman" w:hAnsi="Times New Roman" w:cs="Times New Roman"/>
          <w:sz w:val="14"/>
          <w:szCs w:val="14"/>
        </w:rPr>
        <w:tab/>
        <w:t>Except for a specific objective set out in Article 4(1)(c)(</w:t>
      </w:r>
      <w:r w:rsidRPr="005C75DF">
        <w:rPr>
          <w:rFonts w:ascii="Times New Roman" w:hAnsi="Times New Roman" w:cs="Times New Roman"/>
          <w:bCs/>
          <w:sz w:val="14"/>
          <w:szCs w:val="14"/>
        </w:rPr>
        <w:t>xi)</w:t>
      </w:r>
      <w:r w:rsidRPr="005C75DF">
        <w:rPr>
          <w:rFonts w:ascii="Times New Roman" w:hAnsi="Times New Roman" w:cs="Times New Roman"/>
          <w:sz w:val="14"/>
          <w:szCs w:val="14"/>
        </w:rPr>
        <w:t xml:space="preserve"> of the ESF+ Regulation.</w:t>
      </w:r>
    </w:p>
  </w:footnote>
  <w:footnote w:id="52">
    <w:p w:rsidR="00F273D0" w:rsidRPr="005C75DF" w:rsidRDefault="00F273D0">
      <w:pPr>
        <w:pStyle w:val="Textnotdesubsol"/>
        <w:rPr>
          <w:rFonts w:ascii="Times New Roman" w:hAnsi="Times New Roman" w:cs="Times New Roman"/>
          <w:sz w:val="14"/>
          <w:szCs w:val="14"/>
        </w:rPr>
      </w:pPr>
      <w:r w:rsidRPr="005C75DF">
        <w:rPr>
          <w:rStyle w:val="Referinnotdesubsol"/>
          <w:rFonts w:ascii="Times New Roman" w:hAnsi="Times New Roman" w:cs="Times New Roman"/>
          <w:sz w:val="14"/>
          <w:szCs w:val="14"/>
        </w:rPr>
        <w:footnoteRef/>
      </w:r>
      <w:r w:rsidRPr="005C75DF">
        <w:rPr>
          <w:rFonts w:ascii="Times New Roman" w:hAnsi="Times New Roman" w:cs="Times New Roman"/>
          <w:sz w:val="14"/>
          <w:szCs w:val="14"/>
        </w:rPr>
        <w:t xml:space="preserve"> Strategia pentru Modernizarea Infrastructurii Educaționale 2018-2023</w:t>
      </w:r>
    </w:p>
  </w:footnote>
  <w:footnote w:id="53">
    <w:p w:rsidR="00F273D0" w:rsidRPr="005C75DF" w:rsidRDefault="00F273D0" w:rsidP="0002745C">
      <w:pPr>
        <w:pStyle w:val="Textnotdesubsol"/>
        <w:rPr>
          <w:rFonts w:ascii="Times New Roman" w:hAnsi="Times New Roman" w:cs="Times New Roman"/>
          <w:sz w:val="14"/>
          <w:szCs w:val="14"/>
        </w:rPr>
      </w:pPr>
      <w:r w:rsidRPr="005C75DF">
        <w:rPr>
          <w:rStyle w:val="Referinnotdesubsol"/>
          <w:rFonts w:ascii="Times New Roman" w:hAnsi="Times New Roman" w:cs="Times New Roman"/>
          <w:sz w:val="14"/>
          <w:szCs w:val="14"/>
        </w:rPr>
        <w:footnoteRef/>
      </w:r>
      <w:r w:rsidRPr="005C75DF">
        <w:rPr>
          <w:rFonts w:ascii="Times New Roman" w:hAnsi="Times New Roman" w:cs="Times New Roman"/>
          <w:sz w:val="14"/>
          <w:szCs w:val="14"/>
        </w:rPr>
        <w:t xml:space="preserve"> Strategia privind modernizarea infrastructurii educaționale 2017/2023 </w:t>
      </w:r>
      <w:hyperlink r:id="rId21" w:history="1">
        <w:r w:rsidRPr="005C75DF">
          <w:rPr>
            <w:rStyle w:val="Hyperlink"/>
            <w:rFonts w:ascii="Times New Roman" w:hAnsi="Times New Roman" w:cs="Times New Roman"/>
            <w:sz w:val="14"/>
            <w:szCs w:val="14"/>
          </w:rPr>
          <w:t>SMIE 2017-2023</w:t>
        </w:r>
      </w:hyperlink>
    </w:p>
  </w:footnote>
  <w:footnote w:id="54">
    <w:p w:rsidR="00F273D0" w:rsidRPr="005C75DF" w:rsidRDefault="00F273D0" w:rsidP="00DB5890">
      <w:pPr>
        <w:jc w:val="both"/>
        <w:rPr>
          <w:rFonts w:ascii="Times New Roman" w:hAnsi="Times New Roman" w:cs="Times New Roman"/>
          <w:sz w:val="14"/>
          <w:szCs w:val="14"/>
        </w:rPr>
      </w:pPr>
      <w:r w:rsidRPr="005C75DF">
        <w:rPr>
          <w:rStyle w:val="Referinnotdesubsol"/>
          <w:rFonts w:ascii="Times New Roman" w:hAnsi="Times New Roman" w:cs="Times New Roman"/>
          <w:sz w:val="14"/>
          <w:szCs w:val="14"/>
        </w:rPr>
        <w:footnoteRef/>
      </w:r>
      <w:r w:rsidRPr="005C75DF">
        <w:rPr>
          <w:rFonts w:ascii="Times New Roman" w:hAnsi="Times New Roman" w:cs="Times New Roman"/>
          <w:sz w:val="14"/>
          <w:szCs w:val="14"/>
        </w:rPr>
        <w:t>Studenți și cursanți înscriși în învățământul superior (licență, master, cursuri postuniversitare, doctorat și programe postdoctorale)</w:t>
      </w:r>
    </w:p>
  </w:footnote>
  <w:footnote w:id="55">
    <w:p w:rsidR="00F273D0" w:rsidRPr="005C75DF" w:rsidRDefault="00F273D0" w:rsidP="00805892">
      <w:pPr>
        <w:pStyle w:val="Textnotdesubsol"/>
        <w:rPr>
          <w:rFonts w:ascii="Times New Roman" w:hAnsi="Times New Roman" w:cs="Times New Roman"/>
          <w:sz w:val="14"/>
          <w:szCs w:val="14"/>
        </w:rPr>
      </w:pPr>
      <w:r w:rsidRPr="005C75DF">
        <w:rPr>
          <w:rStyle w:val="Referinnotdesubsol"/>
          <w:rFonts w:ascii="Times New Roman" w:hAnsi="Times New Roman" w:cs="Times New Roman"/>
          <w:sz w:val="14"/>
          <w:szCs w:val="14"/>
        </w:rPr>
        <w:footnoteRef/>
      </w:r>
      <w:r w:rsidRPr="005C75DF">
        <w:rPr>
          <w:rFonts w:ascii="Times New Roman" w:hAnsi="Times New Roman" w:cs="Times New Roman"/>
          <w:sz w:val="14"/>
          <w:szCs w:val="14"/>
        </w:rPr>
        <w:t xml:space="preserve"> Anteprescolar si prescolar</w:t>
      </w:r>
    </w:p>
  </w:footnote>
  <w:footnote w:id="56">
    <w:p w:rsidR="00F273D0" w:rsidRPr="005C75DF" w:rsidRDefault="00F273D0" w:rsidP="00805892">
      <w:pPr>
        <w:pStyle w:val="Textnotdesubsol"/>
        <w:rPr>
          <w:rFonts w:ascii="Times New Roman" w:hAnsi="Times New Roman" w:cs="Times New Roman"/>
          <w:sz w:val="14"/>
          <w:szCs w:val="14"/>
        </w:rPr>
      </w:pPr>
      <w:r w:rsidRPr="005C75DF">
        <w:rPr>
          <w:rStyle w:val="Referinnotdesubsol"/>
          <w:rFonts w:ascii="Times New Roman" w:hAnsi="Times New Roman" w:cs="Times New Roman"/>
          <w:sz w:val="14"/>
          <w:szCs w:val="14"/>
        </w:rPr>
        <w:footnoteRef/>
      </w:r>
      <w:r w:rsidRPr="005C75DF">
        <w:rPr>
          <w:rFonts w:ascii="Times New Roman" w:hAnsi="Times New Roman" w:cs="Times New Roman"/>
          <w:sz w:val="14"/>
          <w:szCs w:val="14"/>
        </w:rPr>
        <w:t xml:space="preserve"> Primar si gimnazial, liceal, inclusiv invatamantul special  special 6960 persoane, IPT 6862 persoane, terțiar 2704</w:t>
      </w:r>
    </w:p>
  </w:footnote>
  <w:footnote w:id="57">
    <w:p w:rsidR="00F273D0" w:rsidRPr="005C75DF" w:rsidRDefault="00F273D0" w:rsidP="00A5682B">
      <w:pPr>
        <w:pStyle w:val="Textnotdesubsol"/>
        <w:rPr>
          <w:rFonts w:ascii="Times New Roman" w:hAnsi="Times New Roman" w:cs="Times New Roman"/>
          <w:sz w:val="14"/>
          <w:szCs w:val="14"/>
        </w:rPr>
      </w:pPr>
      <w:r w:rsidRPr="005C75DF">
        <w:rPr>
          <w:rStyle w:val="Referinnotdesubsol"/>
          <w:rFonts w:ascii="Times New Roman" w:hAnsi="Times New Roman" w:cs="Times New Roman"/>
          <w:sz w:val="14"/>
          <w:szCs w:val="14"/>
        </w:rPr>
        <w:footnoteRef/>
      </w:r>
      <w:r w:rsidRPr="005C75DF">
        <w:rPr>
          <w:rFonts w:ascii="Times New Roman" w:hAnsi="Times New Roman" w:cs="Times New Roman"/>
          <w:sz w:val="14"/>
          <w:szCs w:val="14"/>
        </w:rPr>
        <w:t xml:space="preserve"> </w:t>
      </w:r>
      <w:r w:rsidRPr="005C75DF">
        <w:rPr>
          <w:rFonts w:ascii="Times New Roman" w:hAnsi="Times New Roman" w:cs="Times New Roman"/>
          <w:sz w:val="14"/>
          <w:szCs w:val="14"/>
        </w:rPr>
        <w:tab/>
        <w:t>Except for a specific objective set out in Article 4(1)(c)(</w:t>
      </w:r>
      <w:r w:rsidRPr="005C75DF">
        <w:rPr>
          <w:rFonts w:ascii="Times New Roman" w:hAnsi="Times New Roman" w:cs="Times New Roman"/>
          <w:bCs/>
          <w:sz w:val="14"/>
          <w:szCs w:val="14"/>
        </w:rPr>
        <w:t>xi)</w:t>
      </w:r>
      <w:r w:rsidRPr="005C75DF">
        <w:rPr>
          <w:rFonts w:ascii="Times New Roman" w:hAnsi="Times New Roman" w:cs="Times New Roman"/>
          <w:sz w:val="14"/>
          <w:szCs w:val="14"/>
        </w:rPr>
        <w:t xml:space="preserve"> of the ESF+ Regulation.</w:t>
      </w:r>
    </w:p>
  </w:footnote>
  <w:footnote w:id="58">
    <w:p w:rsidR="00F273D0" w:rsidRPr="00E521D7" w:rsidRDefault="00F273D0" w:rsidP="00DC4544">
      <w:pPr>
        <w:pStyle w:val="Textnotdesubsol"/>
        <w:tabs>
          <w:tab w:val="left" w:pos="284"/>
        </w:tabs>
        <w:jc w:val="both"/>
        <w:rPr>
          <w:rFonts w:ascii="Times New Roman" w:hAnsi="Times New Roman" w:cs="Times New Roman"/>
          <w:bCs/>
          <w:sz w:val="14"/>
          <w:szCs w:val="14"/>
        </w:rPr>
      </w:pPr>
      <w:r w:rsidRPr="00E521D7">
        <w:rPr>
          <w:rStyle w:val="Referinnotdesubsol"/>
          <w:rFonts w:ascii="Times New Roman" w:hAnsi="Times New Roman" w:cs="Times New Roman"/>
          <w:bCs/>
          <w:sz w:val="14"/>
          <w:szCs w:val="14"/>
        </w:rPr>
        <w:footnoteRef/>
      </w:r>
      <w:r w:rsidRPr="00E521D7">
        <w:rPr>
          <w:rFonts w:ascii="Times New Roman" w:hAnsi="Times New Roman" w:cs="Times New Roman"/>
          <w:bCs/>
          <w:sz w:val="14"/>
          <w:szCs w:val="14"/>
        </w:rPr>
        <w:t xml:space="preserve"> </w:t>
      </w:r>
      <w:r w:rsidRPr="00E521D7">
        <w:rPr>
          <w:rFonts w:ascii="Times New Roman" w:hAnsi="Times New Roman" w:cs="Times New Roman"/>
          <w:bCs/>
          <w:sz w:val="14"/>
          <w:szCs w:val="14"/>
        </w:rPr>
        <w:tab/>
        <w:t>Not relevant for CF</w:t>
      </w:r>
    </w:p>
  </w:footnote>
  <w:footnote w:id="59">
    <w:p w:rsidR="00F273D0" w:rsidRPr="00E521D7" w:rsidRDefault="00F273D0" w:rsidP="00FB65EC">
      <w:pPr>
        <w:pStyle w:val="Textnotdesubsol"/>
        <w:tabs>
          <w:tab w:val="left" w:pos="284"/>
        </w:tabs>
        <w:jc w:val="both"/>
        <w:rPr>
          <w:rFonts w:ascii="Times New Roman" w:hAnsi="Times New Roman" w:cs="Times New Roman"/>
          <w:sz w:val="14"/>
          <w:szCs w:val="14"/>
        </w:rPr>
      </w:pPr>
      <w:r w:rsidRPr="005C75DF">
        <w:rPr>
          <w:rStyle w:val="Referinnotdesubsol"/>
          <w:rFonts w:ascii="Times New Roman" w:hAnsi="Times New Roman" w:cs="Times New Roman"/>
          <w:bCs/>
          <w:sz w:val="14"/>
          <w:szCs w:val="14"/>
        </w:rPr>
        <w:footnoteRef/>
      </w:r>
      <w:r w:rsidRPr="00E521D7">
        <w:rPr>
          <w:rFonts w:ascii="Times New Roman" w:hAnsi="Times New Roman" w:cs="Times New Roman"/>
          <w:bCs/>
          <w:sz w:val="14"/>
          <w:szCs w:val="14"/>
        </w:rPr>
        <w:t xml:space="preserve"> </w:t>
      </w:r>
      <w:r w:rsidRPr="00E521D7">
        <w:rPr>
          <w:rFonts w:ascii="Times New Roman" w:hAnsi="Times New Roman" w:cs="Times New Roman"/>
          <w:bCs/>
          <w:sz w:val="14"/>
          <w:szCs w:val="14"/>
        </w:rPr>
        <w:tab/>
        <w:t>Not relevant for CF</w:t>
      </w:r>
    </w:p>
  </w:footnote>
  <w:footnote w:id="60">
    <w:p w:rsidR="00F273D0" w:rsidRPr="00E521D7" w:rsidRDefault="00F273D0" w:rsidP="00576795">
      <w:pPr>
        <w:pStyle w:val="Textnotdesubsol"/>
        <w:tabs>
          <w:tab w:val="left" w:pos="284"/>
        </w:tabs>
        <w:jc w:val="both"/>
        <w:rPr>
          <w:rFonts w:ascii="Times New Roman" w:hAnsi="Times New Roman" w:cs="Times New Roman"/>
          <w:sz w:val="14"/>
          <w:szCs w:val="14"/>
        </w:rPr>
      </w:pPr>
      <w:r w:rsidRPr="00E521D7">
        <w:rPr>
          <w:rStyle w:val="Referinnotdesubsol"/>
          <w:rFonts w:ascii="Times New Roman" w:hAnsi="Times New Roman" w:cs="Times New Roman"/>
          <w:sz w:val="14"/>
          <w:szCs w:val="14"/>
        </w:rPr>
        <w:footnoteRef/>
      </w:r>
      <w:r w:rsidRPr="00E521D7">
        <w:rPr>
          <w:rFonts w:ascii="Times New Roman" w:hAnsi="Times New Roman" w:cs="Times New Roman"/>
          <w:sz w:val="14"/>
          <w:szCs w:val="14"/>
        </w:rPr>
        <w:t xml:space="preserve"> </w:t>
      </w:r>
      <w:r w:rsidRPr="00E521D7">
        <w:rPr>
          <w:rFonts w:ascii="Times New Roman" w:hAnsi="Times New Roman" w:cs="Times New Roman"/>
          <w:sz w:val="14"/>
          <w:szCs w:val="14"/>
        </w:rPr>
        <w:tab/>
        <w:t>Not relevant for CF</w:t>
      </w:r>
    </w:p>
  </w:footnote>
  <w:footnote w:id="61">
    <w:p w:rsidR="00F273D0" w:rsidRPr="00E521D7" w:rsidRDefault="00F273D0" w:rsidP="009731AC">
      <w:pPr>
        <w:pStyle w:val="Textnotdesubsol"/>
        <w:rPr>
          <w:rFonts w:ascii="Times New Roman" w:hAnsi="Times New Roman" w:cs="Times New Roman"/>
          <w:sz w:val="14"/>
          <w:szCs w:val="14"/>
        </w:rPr>
      </w:pPr>
      <w:r w:rsidRPr="005C75DF">
        <w:rPr>
          <w:rStyle w:val="Referinnotdesubsol"/>
          <w:rFonts w:ascii="Times New Roman" w:hAnsi="Times New Roman" w:cs="Times New Roman"/>
          <w:sz w:val="14"/>
          <w:szCs w:val="14"/>
        </w:rPr>
        <w:footnoteRef/>
      </w:r>
      <w:r w:rsidRPr="00E521D7">
        <w:rPr>
          <w:rFonts w:ascii="Times New Roman" w:hAnsi="Times New Roman" w:cs="Times New Roman"/>
          <w:sz w:val="14"/>
          <w:szCs w:val="14"/>
        </w:rPr>
        <w:t xml:space="preserve"> </w:t>
      </w:r>
      <w:r w:rsidRPr="00E521D7">
        <w:rPr>
          <w:rFonts w:ascii="Times New Roman" w:hAnsi="Times New Roman" w:cs="Times New Roman"/>
          <w:sz w:val="14"/>
          <w:szCs w:val="14"/>
        </w:rPr>
        <w:tab/>
        <w:t>Except for a specific objective set out in Article 4(1)(c)(</w:t>
      </w:r>
      <w:r w:rsidRPr="00E521D7">
        <w:rPr>
          <w:rFonts w:ascii="Times New Roman" w:hAnsi="Times New Roman" w:cs="Times New Roman"/>
          <w:bCs/>
          <w:sz w:val="14"/>
          <w:szCs w:val="14"/>
        </w:rPr>
        <w:t>xi)</w:t>
      </w:r>
      <w:r w:rsidRPr="00E521D7">
        <w:rPr>
          <w:rFonts w:ascii="Times New Roman" w:hAnsi="Times New Roman" w:cs="Times New Roman"/>
          <w:sz w:val="14"/>
          <w:szCs w:val="14"/>
        </w:rPr>
        <w:t xml:space="preserve"> of the ESF+ Regulation.</w:t>
      </w:r>
    </w:p>
  </w:footnote>
  <w:footnote w:id="62">
    <w:p w:rsidR="00F273D0" w:rsidRPr="00E521D7" w:rsidRDefault="00F273D0" w:rsidP="003D7489">
      <w:pPr>
        <w:pStyle w:val="Textnotdesubsol"/>
        <w:rPr>
          <w:rFonts w:ascii="Times New Roman" w:hAnsi="Times New Roman" w:cs="Times New Roman"/>
          <w:sz w:val="14"/>
          <w:szCs w:val="14"/>
        </w:rPr>
      </w:pPr>
      <w:r w:rsidRPr="005C75DF">
        <w:rPr>
          <w:rStyle w:val="Referinnotdesubsol"/>
          <w:rFonts w:ascii="Times New Roman" w:hAnsi="Times New Roman" w:cs="Times New Roman"/>
          <w:sz w:val="14"/>
          <w:szCs w:val="14"/>
        </w:rPr>
        <w:footnoteRef/>
      </w:r>
      <w:r w:rsidRPr="00E521D7">
        <w:rPr>
          <w:rFonts w:ascii="Times New Roman" w:hAnsi="Times New Roman" w:cs="Times New Roman"/>
          <w:sz w:val="14"/>
          <w:szCs w:val="14"/>
        </w:rPr>
        <w:t xml:space="preserve"> </w:t>
      </w:r>
      <w:r w:rsidRPr="00E521D7">
        <w:rPr>
          <w:rFonts w:ascii="Times New Roman" w:hAnsi="Times New Roman" w:cs="Times New Roman"/>
          <w:sz w:val="14"/>
          <w:szCs w:val="14"/>
        </w:rPr>
        <w:tab/>
        <w:t>Except for a specific objective set out in Article 4(1)(c)(</w:t>
      </w:r>
      <w:r w:rsidRPr="00E521D7">
        <w:rPr>
          <w:rFonts w:ascii="Times New Roman" w:hAnsi="Times New Roman" w:cs="Times New Roman"/>
          <w:bCs/>
          <w:sz w:val="14"/>
          <w:szCs w:val="14"/>
        </w:rPr>
        <w:t>xi)</w:t>
      </w:r>
      <w:r w:rsidRPr="00E521D7">
        <w:rPr>
          <w:rFonts w:ascii="Times New Roman" w:hAnsi="Times New Roman" w:cs="Times New Roman"/>
          <w:sz w:val="14"/>
          <w:szCs w:val="14"/>
        </w:rPr>
        <w:t xml:space="preserve"> of the ESF+ Regulation.</w:t>
      </w:r>
    </w:p>
  </w:footnote>
  <w:footnote w:id="63">
    <w:p w:rsidR="00F273D0" w:rsidRPr="005C75DF" w:rsidRDefault="00F273D0" w:rsidP="00F000AD">
      <w:pPr>
        <w:pStyle w:val="Textnotdesubsol"/>
        <w:rPr>
          <w:rFonts w:ascii="Times New Roman" w:hAnsi="Times New Roman" w:cs="Times New Roman"/>
          <w:sz w:val="14"/>
          <w:szCs w:val="14"/>
        </w:rPr>
      </w:pPr>
      <w:r w:rsidRPr="005C75DF">
        <w:rPr>
          <w:rStyle w:val="Referinnotdesubsol"/>
          <w:rFonts w:ascii="Times New Roman" w:hAnsi="Times New Roman" w:cs="Times New Roman"/>
          <w:sz w:val="14"/>
          <w:szCs w:val="14"/>
        </w:rPr>
        <w:footnoteRef/>
      </w:r>
      <w:r w:rsidRPr="005C75DF">
        <w:rPr>
          <w:rFonts w:ascii="Times New Roman" w:hAnsi="Times New Roman" w:cs="Times New Roman"/>
          <w:sz w:val="14"/>
          <w:szCs w:val="14"/>
        </w:rPr>
        <w:t xml:space="preserve"> </w:t>
      </w:r>
      <w:r w:rsidRPr="005C75DF">
        <w:rPr>
          <w:rFonts w:ascii="Times New Roman" w:hAnsi="Times New Roman" w:cs="Times New Roman"/>
          <w:sz w:val="14"/>
          <w:szCs w:val="14"/>
        </w:rPr>
        <w:tab/>
        <w:t>Applicable only to programme amendments in line with Article 10 and 21, CPR.</w:t>
      </w:r>
    </w:p>
  </w:footnote>
  <w:footnote w:id="64">
    <w:p w:rsidR="00F273D0" w:rsidRPr="005C75DF" w:rsidRDefault="00F273D0" w:rsidP="004F32B2">
      <w:pPr>
        <w:pStyle w:val="Textnotdesubsol"/>
        <w:rPr>
          <w:rFonts w:ascii="Times New Roman" w:hAnsi="Times New Roman" w:cs="Times New Roman"/>
          <w:sz w:val="14"/>
          <w:szCs w:val="14"/>
        </w:rPr>
      </w:pPr>
      <w:r w:rsidRPr="005C75DF">
        <w:rPr>
          <w:rStyle w:val="Referinnotdesubsol"/>
          <w:rFonts w:ascii="Times New Roman" w:hAnsi="Times New Roman" w:cs="Times New Roman"/>
          <w:sz w:val="14"/>
          <w:szCs w:val="14"/>
        </w:rPr>
        <w:footnoteRef/>
      </w:r>
      <w:r w:rsidRPr="005C75DF">
        <w:rPr>
          <w:rFonts w:ascii="Times New Roman" w:hAnsi="Times New Roman" w:cs="Times New Roman"/>
          <w:sz w:val="14"/>
          <w:szCs w:val="14"/>
        </w:rPr>
        <w:t xml:space="preserve"> Several complementary indicators (for instance one output indicator and one result indicator) are possible for one type of operation. In these cases, fields 1.3 to 1.11 should be filled in for each indicator.</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3D0" w:rsidRPr="00674D71" w:rsidRDefault="00F273D0" w:rsidP="00F000AD">
    <w:pPr>
      <w:pStyle w:val="Antet"/>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3D0" w:rsidRPr="00674D71" w:rsidRDefault="00F273D0" w:rsidP="004F32B2">
    <w:pPr>
      <w:pStyle w:val="Antet"/>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3D0" w:rsidRPr="00674D71" w:rsidRDefault="00F273D0" w:rsidP="00174F85">
    <w:pPr>
      <w:pStyle w:val="Ante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3D0" w:rsidRPr="00674D71" w:rsidRDefault="00F273D0" w:rsidP="00F000AD">
    <w:pPr>
      <w:pStyle w:val="Ante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3D0" w:rsidRPr="00674D71" w:rsidRDefault="00F273D0" w:rsidP="00F000AD">
    <w:pPr>
      <w:pStyle w:val="Antet"/>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3D0" w:rsidRPr="00674D71" w:rsidRDefault="00F273D0" w:rsidP="00F000AD">
    <w:pPr>
      <w:pStyle w:val="Antet"/>
    </w:pPr>
  </w:p>
  <w:p w:rsidR="00F273D0" w:rsidRDefault="00F273D0"/>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3D0" w:rsidRPr="00674D71" w:rsidRDefault="00F273D0" w:rsidP="00F000AD">
    <w:pPr>
      <w:pStyle w:val="Antet"/>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3D0" w:rsidRDefault="00F273D0">
    <w:pPr>
      <w:pStyle w:val="Antet"/>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3D0" w:rsidRDefault="00F273D0">
    <w:pPr>
      <w:pStyle w:val="Antet"/>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3D0" w:rsidRDefault="00F273D0">
    <w:pPr>
      <w:pStyle w:val="Antet"/>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3D0" w:rsidRPr="00674D71" w:rsidRDefault="00F273D0" w:rsidP="004F32B2">
    <w:pPr>
      <w:pStyle w:val="Ante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25pt;height:11.25pt" o:bullet="t">
        <v:imagedata r:id="rId1" o:title="clip_image001"/>
      </v:shape>
    </w:pict>
  </w:numPicBullet>
  <w:abstractNum w:abstractNumId="0" w15:restartNumberingAfterBreak="0">
    <w:nsid w:val="97C03086"/>
    <w:multiLevelType w:val="hybridMultilevel"/>
    <w:tmpl w:val="7D69B55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9EA07C3"/>
    <w:multiLevelType w:val="hybridMultilevel"/>
    <w:tmpl w:val="BFBE367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368029DA"/>
    <w:lvl w:ilvl="0">
      <w:start w:val="1"/>
      <w:numFmt w:val="decimal"/>
      <w:pStyle w:val="Listanumerotat5"/>
      <w:lvlText w:val="%1."/>
      <w:lvlJc w:val="left"/>
      <w:pPr>
        <w:tabs>
          <w:tab w:val="num" w:pos="1492"/>
        </w:tabs>
        <w:ind w:left="1492" w:hanging="360"/>
      </w:pPr>
    </w:lvl>
  </w:abstractNum>
  <w:abstractNum w:abstractNumId="3" w15:restartNumberingAfterBreak="0">
    <w:nsid w:val="FFFFFF80"/>
    <w:multiLevelType w:val="singleLevel"/>
    <w:tmpl w:val="1FA45650"/>
    <w:lvl w:ilvl="0">
      <w:start w:val="1"/>
      <w:numFmt w:val="bullet"/>
      <w:pStyle w:val="Listacumarcatori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8244F1CE"/>
    <w:lvl w:ilvl="0">
      <w:start w:val="1"/>
      <w:numFmt w:val="bullet"/>
      <w:pStyle w:val="Listacumarcatori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98B87070"/>
    <w:lvl w:ilvl="0">
      <w:start w:val="1"/>
      <w:numFmt w:val="bullet"/>
      <w:pStyle w:val="Listacumarcatori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B03A2460"/>
    <w:lvl w:ilvl="0">
      <w:start w:val="1"/>
      <w:numFmt w:val="bullet"/>
      <w:pStyle w:val="Listacumarcatori2"/>
      <w:lvlText w:val=""/>
      <w:lvlJc w:val="left"/>
      <w:pPr>
        <w:tabs>
          <w:tab w:val="num" w:pos="643"/>
        </w:tabs>
        <w:ind w:left="643" w:hanging="360"/>
      </w:pPr>
      <w:rPr>
        <w:rFonts w:ascii="Symbol" w:hAnsi="Symbol" w:hint="default"/>
      </w:rPr>
    </w:lvl>
  </w:abstractNum>
  <w:abstractNum w:abstractNumId="7" w15:restartNumberingAfterBreak="0">
    <w:nsid w:val="FFFFFF89"/>
    <w:multiLevelType w:val="singleLevel"/>
    <w:tmpl w:val="C0E4893C"/>
    <w:lvl w:ilvl="0">
      <w:start w:val="1"/>
      <w:numFmt w:val="bullet"/>
      <w:pStyle w:val="Listcumarcatori"/>
      <w:lvlText w:val=""/>
      <w:lvlJc w:val="left"/>
      <w:pPr>
        <w:tabs>
          <w:tab w:val="num" w:pos="360"/>
        </w:tabs>
        <w:ind w:left="360" w:hanging="360"/>
      </w:pPr>
      <w:rPr>
        <w:rFonts w:ascii="Symbol" w:hAnsi="Symbol" w:hint="default"/>
      </w:rPr>
    </w:lvl>
  </w:abstractNum>
  <w:abstractNum w:abstractNumId="8" w15:restartNumberingAfterBreak="0">
    <w:nsid w:val="04917022"/>
    <w:multiLevelType w:val="hybridMultilevel"/>
    <w:tmpl w:val="CA1E9BBA"/>
    <w:lvl w:ilvl="0" w:tplc="9E9C37E4">
      <w:start w:val="3"/>
      <w:numFmt w:val="bullet"/>
      <w:lvlText w:val="-"/>
      <w:lvlJc w:val="left"/>
      <w:pPr>
        <w:ind w:left="360" w:hanging="360"/>
      </w:pPr>
      <w:rPr>
        <w:rFonts w:ascii="Calibri" w:eastAsia="Times New Roman" w:hAnsi="Calibri" w:cs="Calibri"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55652B5"/>
    <w:multiLevelType w:val="multilevel"/>
    <w:tmpl w:val="B10A6748"/>
    <w:lvl w:ilvl="0">
      <w:start w:val="1"/>
      <w:numFmt w:val="decimal"/>
      <w:pStyle w:val="Listanumerotat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5A41B22"/>
    <w:multiLevelType w:val="hybridMultilevel"/>
    <w:tmpl w:val="2FFE6E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495604"/>
    <w:multiLevelType w:val="multilevel"/>
    <w:tmpl w:val="9F60CF46"/>
    <w:name w:val="Points"/>
    <w:lvl w:ilvl="0">
      <w:start w:val="1"/>
      <w:numFmt w:val="decimal"/>
      <w:lvlRestart w:val="0"/>
      <w:pStyle w:val="Point123"/>
      <w:lvlText w:val="%1."/>
      <w:lvlJc w:val="left"/>
      <w:pPr>
        <w:tabs>
          <w:tab w:val="num" w:pos="567"/>
        </w:tabs>
        <w:ind w:left="567" w:hanging="567"/>
      </w:pPr>
    </w:lvl>
    <w:lvl w:ilvl="1">
      <w:start w:val="1"/>
      <w:numFmt w:val="lowerLetter"/>
      <w:pStyle w:val="Pointabc"/>
      <w:lvlText w:val="%2)"/>
      <w:lvlJc w:val="left"/>
      <w:pPr>
        <w:tabs>
          <w:tab w:val="num" w:pos="567"/>
        </w:tabs>
        <w:ind w:left="567" w:hanging="567"/>
      </w:pPr>
    </w:lvl>
    <w:lvl w:ilvl="2">
      <w:start w:val="1"/>
      <w:numFmt w:val="decimal"/>
      <w:pStyle w:val="Point1231"/>
      <w:lvlText w:val="%3."/>
      <w:lvlJc w:val="left"/>
      <w:pPr>
        <w:tabs>
          <w:tab w:val="num" w:pos="1134"/>
        </w:tabs>
        <w:ind w:left="1134" w:hanging="567"/>
      </w:pPr>
    </w:lvl>
    <w:lvl w:ilvl="3">
      <w:start w:val="1"/>
      <w:numFmt w:val="lowerLetter"/>
      <w:pStyle w:val="Pointabc1"/>
      <w:lvlText w:val="%4)"/>
      <w:lvlJc w:val="left"/>
      <w:pPr>
        <w:tabs>
          <w:tab w:val="num" w:pos="1134"/>
        </w:tabs>
        <w:ind w:left="1134" w:hanging="567"/>
      </w:pPr>
    </w:lvl>
    <w:lvl w:ilvl="4">
      <w:start w:val="1"/>
      <w:numFmt w:val="decimal"/>
      <w:pStyle w:val="Point1232"/>
      <w:lvlText w:val="%5."/>
      <w:lvlJc w:val="left"/>
      <w:pPr>
        <w:tabs>
          <w:tab w:val="num" w:pos="1701"/>
        </w:tabs>
        <w:ind w:left="1701" w:hanging="567"/>
      </w:pPr>
    </w:lvl>
    <w:lvl w:ilvl="5">
      <w:start w:val="1"/>
      <w:numFmt w:val="lowerLetter"/>
      <w:pStyle w:val="Pointabc2"/>
      <w:lvlText w:val="%6)"/>
      <w:lvlJc w:val="left"/>
      <w:pPr>
        <w:tabs>
          <w:tab w:val="num" w:pos="1701"/>
        </w:tabs>
        <w:ind w:left="1701" w:hanging="567"/>
      </w:pPr>
    </w:lvl>
    <w:lvl w:ilvl="6">
      <w:start w:val="1"/>
      <w:numFmt w:val="decimal"/>
      <w:pStyle w:val="Pointabc"/>
      <w:lvlText w:val="%7."/>
      <w:lvlJc w:val="left"/>
      <w:pPr>
        <w:tabs>
          <w:tab w:val="num" w:pos="2268"/>
        </w:tabs>
        <w:ind w:left="2268" w:hanging="567"/>
      </w:pPr>
    </w:lvl>
    <w:lvl w:ilvl="7">
      <w:start w:val="1"/>
      <w:numFmt w:val="lowerLetter"/>
      <w:pStyle w:val="Pointabc3"/>
      <w:lvlText w:val="%8)"/>
      <w:lvlJc w:val="left"/>
      <w:pPr>
        <w:tabs>
          <w:tab w:val="num" w:pos="2268"/>
        </w:tabs>
        <w:ind w:left="2268" w:hanging="567"/>
      </w:pPr>
    </w:lvl>
    <w:lvl w:ilvl="8">
      <w:start w:val="1"/>
      <w:numFmt w:val="lowerLetter"/>
      <w:pStyle w:val="Pointabc4"/>
      <w:lvlText w:val="%9)"/>
      <w:lvlJc w:val="left"/>
      <w:pPr>
        <w:tabs>
          <w:tab w:val="num" w:pos="2835"/>
        </w:tabs>
        <w:ind w:left="2835" w:hanging="567"/>
      </w:pPr>
    </w:lvl>
  </w:abstractNum>
  <w:abstractNum w:abstractNumId="12" w15:restartNumberingAfterBreak="0">
    <w:nsid w:val="066B5A68"/>
    <w:multiLevelType w:val="singleLevel"/>
    <w:tmpl w:val="8B0853B0"/>
    <w:name w:val="Dash 1"/>
    <w:lvl w:ilvl="0">
      <w:start w:val="1"/>
      <w:numFmt w:val="bullet"/>
      <w:lvlRestart w:val="0"/>
      <w:pStyle w:val="Dash1"/>
      <w:lvlText w:val="–"/>
      <w:lvlJc w:val="left"/>
      <w:pPr>
        <w:tabs>
          <w:tab w:val="num" w:pos="1134"/>
        </w:tabs>
        <w:ind w:left="1134" w:hanging="567"/>
      </w:pPr>
    </w:lvl>
  </w:abstractNum>
  <w:abstractNum w:abstractNumId="13" w15:restartNumberingAfterBreak="0">
    <w:nsid w:val="09C20093"/>
    <w:multiLevelType w:val="singleLevel"/>
    <w:tmpl w:val="05F6137C"/>
    <w:name w:val="Dash 4"/>
    <w:lvl w:ilvl="0">
      <w:start w:val="1"/>
      <w:numFmt w:val="bullet"/>
      <w:lvlRestart w:val="0"/>
      <w:pStyle w:val="Dash4"/>
      <w:lvlText w:val="–"/>
      <w:lvlJc w:val="left"/>
      <w:pPr>
        <w:tabs>
          <w:tab w:val="num" w:pos="2835"/>
        </w:tabs>
        <w:ind w:left="2835" w:hanging="567"/>
      </w:pPr>
    </w:lvl>
  </w:abstractNum>
  <w:abstractNum w:abstractNumId="14" w15:restartNumberingAfterBreak="0">
    <w:nsid w:val="0EDB2689"/>
    <w:multiLevelType w:val="hybridMultilevel"/>
    <w:tmpl w:val="1972A3E8"/>
    <w:lvl w:ilvl="0" w:tplc="04180007">
      <w:start w:val="1"/>
      <w:numFmt w:val="bullet"/>
      <w:lvlText w:val=""/>
      <w:lvlPicBulletId w:val="0"/>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10037B36"/>
    <w:multiLevelType w:val="hybridMultilevel"/>
    <w:tmpl w:val="4B487E5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118422EF"/>
    <w:multiLevelType w:val="hybridMultilevel"/>
    <w:tmpl w:val="1B9A3598"/>
    <w:lvl w:ilvl="0" w:tplc="9E9C37E4">
      <w:start w:val="3"/>
      <w:numFmt w:val="bullet"/>
      <w:lvlText w:val="-"/>
      <w:lvlJc w:val="left"/>
      <w:pPr>
        <w:ind w:left="720" w:hanging="360"/>
      </w:pPr>
      <w:rPr>
        <w:rFonts w:ascii="Calibri" w:eastAsia="Times New Roman"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1FE7C3F"/>
    <w:multiLevelType w:val="hybridMultilevel"/>
    <w:tmpl w:val="C09465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15483274"/>
    <w:multiLevelType w:val="hybridMultilevel"/>
    <w:tmpl w:val="A5A891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16A62591"/>
    <w:multiLevelType w:val="hybridMultilevel"/>
    <w:tmpl w:val="E118E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72B0495"/>
    <w:multiLevelType w:val="multilevel"/>
    <w:tmpl w:val="FED03EAA"/>
    <w:name w:val="Heading ABC"/>
    <w:lvl w:ilvl="0">
      <w:start w:val="1"/>
      <w:numFmt w:val="upperLetter"/>
      <w:lvlRestart w:val="0"/>
      <w:pStyle w:val="HeadingABC"/>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176C37B8"/>
    <w:multiLevelType w:val="singleLevel"/>
    <w:tmpl w:val="E17861E4"/>
    <w:name w:val="Bullet (2)"/>
    <w:lvl w:ilvl="0">
      <w:start w:val="1"/>
      <w:numFmt w:val="bullet"/>
      <w:lvlRestart w:val="0"/>
      <w:pStyle w:val="Bullet2"/>
      <w:lvlText w:val=""/>
      <w:lvlJc w:val="left"/>
      <w:pPr>
        <w:tabs>
          <w:tab w:val="num" w:pos="1701"/>
        </w:tabs>
        <w:ind w:left="1701" w:hanging="567"/>
      </w:pPr>
      <w:rPr>
        <w:rFonts w:ascii="Symbol" w:hAnsi="Symbol" w:hint="default"/>
      </w:rPr>
    </w:lvl>
  </w:abstractNum>
  <w:abstractNum w:abstractNumId="23" w15:restartNumberingAfterBreak="0">
    <w:nsid w:val="185A692B"/>
    <w:multiLevelType w:val="hybridMultilevel"/>
    <w:tmpl w:val="A3A46B3A"/>
    <w:lvl w:ilvl="0" w:tplc="7AAA46E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A48771C"/>
    <w:multiLevelType w:val="hybridMultilevel"/>
    <w:tmpl w:val="B5425B1E"/>
    <w:lvl w:ilvl="0" w:tplc="864805E6">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1B3C78B8"/>
    <w:multiLevelType w:val="multilevel"/>
    <w:tmpl w:val="ADB23302"/>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lvlText w:val="(%4)"/>
      <w:lvlJc w:val="left"/>
      <w:pPr>
        <w:tabs>
          <w:tab w:val="num" w:pos="1417"/>
        </w:tabs>
        <w:ind w:left="1417" w:hanging="567"/>
      </w:pPr>
      <w:rPr>
        <w:strike w:val="0"/>
        <w:dstrike w:val="0"/>
        <w:u w:val="none"/>
        <w:effect w:val="none"/>
      </w:r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6" w15:restartNumberingAfterBreak="0">
    <w:nsid w:val="1CA75B66"/>
    <w:multiLevelType w:val="hybridMultilevel"/>
    <w:tmpl w:val="BC2A24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D2B43FF"/>
    <w:multiLevelType w:val="hybridMultilevel"/>
    <w:tmpl w:val="BE5428B2"/>
    <w:lvl w:ilvl="0" w:tplc="46323C9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FC73EED"/>
    <w:multiLevelType w:val="singleLevel"/>
    <w:tmpl w:val="109A6A02"/>
    <w:name w:val="Bullet (1)"/>
    <w:lvl w:ilvl="0">
      <w:start w:val="1"/>
      <w:numFmt w:val="bullet"/>
      <w:lvlRestart w:val="0"/>
      <w:pStyle w:val="Bullet1"/>
      <w:lvlText w:val=""/>
      <w:lvlJc w:val="left"/>
      <w:pPr>
        <w:tabs>
          <w:tab w:val="num" w:pos="1134"/>
        </w:tabs>
        <w:ind w:left="1134" w:hanging="567"/>
      </w:pPr>
      <w:rPr>
        <w:rFonts w:ascii="Symbol" w:hAnsi="Symbol" w:hint="default"/>
      </w:rPr>
    </w:lvl>
  </w:abstractNum>
  <w:abstractNum w:abstractNumId="29" w15:restartNumberingAfterBreak="0">
    <w:nsid w:val="1FD15316"/>
    <w:multiLevelType w:val="hybridMultilevel"/>
    <w:tmpl w:val="82EC3B6E"/>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213B0FA4"/>
    <w:multiLevelType w:val="hybridMultilevel"/>
    <w:tmpl w:val="813EC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2CA659A"/>
    <w:multiLevelType w:val="singleLevel"/>
    <w:tmpl w:val="7B9C897A"/>
    <w:lvl w:ilvl="0">
      <w:start w:val="1"/>
      <w:numFmt w:val="bullet"/>
      <w:pStyle w:val="Par-dash"/>
      <w:lvlText w:val=""/>
      <w:lvlJc w:val="left"/>
      <w:pPr>
        <w:tabs>
          <w:tab w:val="num" w:pos="567"/>
        </w:tabs>
        <w:ind w:left="567" w:hanging="567"/>
      </w:pPr>
      <w:rPr>
        <w:rFonts w:ascii="Symbol" w:hAnsi="Symbol" w:hint="default"/>
      </w:rPr>
    </w:lvl>
  </w:abstractNum>
  <w:abstractNum w:abstractNumId="32" w15:restartNumberingAfterBreak="0">
    <w:nsid w:val="22D918D1"/>
    <w:multiLevelType w:val="multilevel"/>
    <w:tmpl w:val="DE2606C8"/>
    <w:lvl w:ilvl="0">
      <w:start w:val="1"/>
      <w:numFmt w:val="decimal"/>
      <w:pStyle w:val="Titlu1"/>
      <w:lvlText w:val="%1."/>
      <w:lvlJc w:val="left"/>
      <w:pPr>
        <w:tabs>
          <w:tab w:val="num" w:pos="851"/>
        </w:tabs>
        <w:ind w:left="851" w:hanging="851"/>
      </w:pPr>
    </w:lvl>
    <w:lvl w:ilvl="1">
      <w:start w:val="1"/>
      <w:numFmt w:val="decimal"/>
      <w:pStyle w:val="Titlu2"/>
      <w:lvlText w:val="%1.%2."/>
      <w:lvlJc w:val="left"/>
      <w:pPr>
        <w:tabs>
          <w:tab w:val="num" w:pos="851"/>
        </w:tabs>
        <w:ind w:left="851" w:hanging="851"/>
      </w:pPr>
    </w:lvl>
    <w:lvl w:ilvl="2">
      <w:start w:val="1"/>
      <w:numFmt w:val="decimal"/>
      <w:pStyle w:val="Titlu3"/>
      <w:lvlText w:val="%1.%2.%3."/>
      <w:lvlJc w:val="left"/>
      <w:pPr>
        <w:tabs>
          <w:tab w:val="num" w:pos="851"/>
        </w:tabs>
        <w:ind w:left="851" w:hanging="851"/>
      </w:pPr>
    </w:lvl>
    <w:lvl w:ilvl="3">
      <w:start w:val="1"/>
      <w:numFmt w:val="decimal"/>
      <w:pStyle w:val="Titlu4"/>
      <w:lvlText w:val="%1.%2.%3.%4."/>
      <w:lvlJc w:val="left"/>
      <w:pPr>
        <w:tabs>
          <w:tab w:val="num" w:pos="851"/>
        </w:tabs>
        <w:ind w:left="851" w:hanging="851"/>
      </w:pPr>
    </w:lvl>
    <w:lvl w:ilvl="4">
      <w:start w:val="1"/>
      <w:numFmt w:val="none"/>
      <w:lvlText w:val=""/>
      <w:lvlJc w:val="left"/>
      <w:pPr>
        <w:tabs>
          <w:tab w:val="num" w:pos="36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3" w15:restartNumberingAfterBreak="0">
    <w:nsid w:val="234C5F8D"/>
    <w:multiLevelType w:val="hybridMultilevel"/>
    <w:tmpl w:val="22F8C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35" w15:restartNumberingAfterBreak="0">
    <w:nsid w:val="26596D70"/>
    <w:multiLevelType w:val="multilevel"/>
    <w:tmpl w:val="0ABAD01C"/>
    <w:name w:val="Points roman"/>
    <w:lvl w:ilvl="0">
      <w:start w:val="1"/>
      <w:numFmt w:val="lowerRoman"/>
      <w:lvlRestart w:val="0"/>
      <w:pStyle w:val="Pointivx"/>
      <w:lvlText w:val="%1)"/>
      <w:lvlJc w:val="left"/>
      <w:pPr>
        <w:tabs>
          <w:tab w:val="num" w:pos="567"/>
        </w:tabs>
        <w:ind w:left="567" w:hanging="567"/>
      </w:pPr>
    </w:lvl>
    <w:lvl w:ilvl="1">
      <w:start w:val="1"/>
      <w:numFmt w:val="lowerRoman"/>
      <w:pStyle w:val="Pointivx1"/>
      <w:lvlText w:val="%2)"/>
      <w:lvlJc w:val="left"/>
      <w:pPr>
        <w:tabs>
          <w:tab w:val="num" w:pos="1134"/>
        </w:tabs>
        <w:ind w:left="1134" w:hanging="567"/>
      </w:pPr>
    </w:lvl>
    <w:lvl w:ilvl="2">
      <w:start w:val="1"/>
      <w:numFmt w:val="lowerRoman"/>
      <w:pStyle w:val="Pointivx2"/>
      <w:lvlText w:val="%3)"/>
      <w:lvlJc w:val="left"/>
      <w:pPr>
        <w:tabs>
          <w:tab w:val="num" w:pos="1701"/>
        </w:tabs>
        <w:ind w:left="1701" w:hanging="567"/>
      </w:pPr>
    </w:lvl>
    <w:lvl w:ilvl="3">
      <w:start w:val="1"/>
      <w:numFmt w:val="lowerRoman"/>
      <w:pStyle w:val="Pointivx3"/>
      <w:lvlText w:val="%4)"/>
      <w:lvlJc w:val="left"/>
      <w:pPr>
        <w:tabs>
          <w:tab w:val="num" w:pos="2268"/>
        </w:tabs>
        <w:ind w:left="2268" w:hanging="567"/>
      </w:pPr>
    </w:lvl>
    <w:lvl w:ilvl="4">
      <w:start w:val="1"/>
      <w:numFmt w:val="lowerRoman"/>
      <w:pStyle w:val="Pointivx4"/>
      <w:lvlText w:val="%5)"/>
      <w:lvlJc w:val="left"/>
      <w:pPr>
        <w:tabs>
          <w:tab w:val="num" w:pos="2835"/>
        </w:tabs>
        <w:ind w:left="2835" w:hanging="56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2797182A"/>
    <w:multiLevelType w:val="hybridMultilevel"/>
    <w:tmpl w:val="F658332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27A94842"/>
    <w:multiLevelType w:val="multilevel"/>
    <w:tmpl w:val="AF12CA62"/>
    <w:name w:val="Heading 123"/>
    <w:lvl w:ilvl="0">
      <w:start w:val="1"/>
      <w:numFmt w:val="decimal"/>
      <w:lvlRestart w:val="0"/>
      <w:pStyle w:val="Heading123"/>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29FF5A85"/>
    <w:multiLevelType w:val="hybridMultilevel"/>
    <w:tmpl w:val="8280ED2C"/>
    <w:lvl w:ilvl="0" w:tplc="9536D086">
      <w:start w:val="1"/>
      <w:numFmt w:val="decimal"/>
      <w:pStyle w:val="Considerant"/>
      <w:lvlText w:val="%1)"/>
      <w:lvlJc w:val="left"/>
      <w:pPr>
        <w:ind w:left="928"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9" w15:restartNumberingAfterBreak="0">
    <w:nsid w:val="2CE9221F"/>
    <w:multiLevelType w:val="singleLevel"/>
    <w:tmpl w:val="9B4AFB48"/>
    <w:name w:val="Tiret 3"/>
    <w:lvl w:ilvl="0">
      <w:start w:val="1"/>
      <w:numFmt w:val="bullet"/>
      <w:pStyle w:val="Tiret3"/>
      <w:lvlText w:val="–"/>
      <w:lvlJc w:val="left"/>
      <w:pPr>
        <w:tabs>
          <w:tab w:val="num" w:pos="2551"/>
        </w:tabs>
        <w:ind w:left="2551" w:hanging="567"/>
      </w:pPr>
    </w:lvl>
  </w:abstractNum>
  <w:abstractNum w:abstractNumId="40" w15:restartNumberingAfterBreak="0">
    <w:nsid w:val="2D2D468B"/>
    <w:multiLevelType w:val="singleLevel"/>
    <w:tmpl w:val="A18042A8"/>
    <w:lvl w:ilvl="0">
      <w:start w:val="1"/>
      <w:numFmt w:val="upperLetter"/>
      <w:pStyle w:val="Par-numberA"/>
      <w:lvlText w:val="%1."/>
      <w:lvlJc w:val="left"/>
      <w:pPr>
        <w:tabs>
          <w:tab w:val="num" w:pos="567"/>
        </w:tabs>
        <w:ind w:left="567" w:hanging="567"/>
      </w:pPr>
    </w:lvl>
  </w:abstractNum>
  <w:abstractNum w:abstractNumId="41" w15:restartNumberingAfterBreak="0">
    <w:nsid w:val="2DB37182"/>
    <w:multiLevelType w:val="singleLevel"/>
    <w:tmpl w:val="F612DBDC"/>
    <w:lvl w:ilvl="0">
      <w:start w:val="1"/>
      <w:numFmt w:val="lowerRoman"/>
      <w:pStyle w:val="Par-numberi"/>
      <w:lvlText w:val="(%1)"/>
      <w:lvlJc w:val="left"/>
      <w:pPr>
        <w:tabs>
          <w:tab w:val="num" w:pos="720"/>
        </w:tabs>
        <w:ind w:left="567" w:hanging="567"/>
      </w:pPr>
    </w:lvl>
  </w:abstractNum>
  <w:abstractNum w:abstractNumId="42" w15:restartNumberingAfterBreak="0">
    <w:nsid w:val="309342A2"/>
    <w:multiLevelType w:val="hybridMultilevel"/>
    <w:tmpl w:val="2FFE6E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0AF5FA1"/>
    <w:multiLevelType w:val="hybridMultilevel"/>
    <w:tmpl w:val="DA688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4D16979"/>
    <w:multiLevelType w:val="hybridMultilevel"/>
    <w:tmpl w:val="0E52B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9176AF5"/>
    <w:multiLevelType w:val="hybridMultilevel"/>
    <w:tmpl w:val="B1D6FA64"/>
    <w:lvl w:ilvl="0" w:tplc="9E9C37E4">
      <w:start w:val="3"/>
      <w:numFmt w:val="bullet"/>
      <w:lvlText w:val="-"/>
      <w:lvlJc w:val="left"/>
      <w:pPr>
        <w:ind w:left="720" w:hanging="360"/>
      </w:pPr>
      <w:rPr>
        <w:rFonts w:ascii="Calibri" w:eastAsia="Times New Roman"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94F5925"/>
    <w:multiLevelType w:val="singleLevel"/>
    <w:tmpl w:val="395C08BE"/>
    <w:lvl w:ilvl="0">
      <w:start w:val="1"/>
      <w:numFmt w:val="decimal"/>
      <w:pStyle w:val="Par-number1"/>
      <w:lvlText w:val="(%1)"/>
      <w:lvlJc w:val="left"/>
      <w:pPr>
        <w:tabs>
          <w:tab w:val="num" w:pos="567"/>
        </w:tabs>
        <w:ind w:left="567" w:hanging="567"/>
      </w:pPr>
    </w:lvl>
  </w:abstractNum>
  <w:abstractNum w:abstractNumId="47" w15:restartNumberingAfterBreak="0">
    <w:nsid w:val="3DD66C9D"/>
    <w:multiLevelType w:val="singleLevel"/>
    <w:tmpl w:val="E5905DC2"/>
    <w:lvl w:ilvl="0">
      <w:start w:val="1"/>
      <w:numFmt w:val="lowerLetter"/>
      <w:pStyle w:val="Par-numbera0"/>
      <w:lvlText w:val="(%1)"/>
      <w:lvlJc w:val="left"/>
      <w:pPr>
        <w:tabs>
          <w:tab w:val="num" w:pos="567"/>
        </w:tabs>
        <w:ind w:left="567" w:hanging="567"/>
      </w:pPr>
    </w:lvl>
  </w:abstractNum>
  <w:abstractNum w:abstractNumId="48" w15:restartNumberingAfterBreak="0">
    <w:nsid w:val="3E452725"/>
    <w:multiLevelType w:val="hybridMultilevel"/>
    <w:tmpl w:val="E9560CCC"/>
    <w:lvl w:ilvl="0" w:tplc="0418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9" w15:restartNumberingAfterBreak="0">
    <w:nsid w:val="3FC80B1B"/>
    <w:multiLevelType w:val="singleLevel"/>
    <w:tmpl w:val="C11CD6E2"/>
    <w:lvl w:ilvl="0">
      <w:start w:val="1"/>
      <w:numFmt w:val="decimal"/>
      <w:pStyle w:val="Par-number10"/>
      <w:lvlText w:val="%1)"/>
      <w:lvlJc w:val="left"/>
      <w:pPr>
        <w:tabs>
          <w:tab w:val="num" w:pos="567"/>
        </w:tabs>
        <w:ind w:left="567" w:hanging="567"/>
      </w:pPr>
    </w:lvl>
  </w:abstractNum>
  <w:abstractNum w:abstractNumId="50" w15:restartNumberingAfterBreak="0">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51" w15:restartNumberingAfterBreak="0">
    <w:nsid w:val="428415E7"/>
    <w:multiLevelType w:val="multilevel"/>
    <w:tmpl w:val="92100ADA"/>
    <w:lvl w:ilvl="0">
      <w:start w:val="1"/>
      <w:numFmt w:val="decimal"/>
      <w:pStyle w:val="Listnumerotat"/>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2" w15:restartNumberingAfterBreak="0">
    <w:nsid w:val="42FC0772"/>
    <w:multiLevelType w:val="singleLevel"/>
    <w:tmpl w:val="4128FCF8"/>
    <w:name w:val="Tiret 4"/>
    <w:lvl w:ilvl="0">
      <w:start w:val="1"/>
      <w:numFmt w:val="bullet"/>
      <w:pStyle w:val="Tiret4"/>
      <w:lvlText w:val="–"/>
      <w:lvlJc w:val="left"/>
      <w:pPr>
        <w:tabs>
          <w:tab w:val="num" w:pos="3118"/>
        </w:tabs>
        <w:ind w:left="3118" w:hanging="567"/>
      </w:pPr>
    </w:lvl>
  </w:abstractNum>
  <w:abstractNum w:abstractNumId="53" w15:restartNumberingAfterBreak="0">
    <w:nsid w:val="436E0A5D"/>
    <w:multiLevelType w:val="singleLevel"/>
    <w:tmpl w:val="9C807126"/>
    <w:lvl w:ilvl="0">
      <w:start w:val="1"/>
      <w:numFmt w:val="bullet"/>
      <w:pStyle w:val="Par-equal"/>
      <w:lvlText w:val=""/>
      <w:lvlJc w:val="left"/>
      <w:pPr>
        <w:tabs>
          <w:tab w:val="num" w:pos="567"/>
        </w:tabs>
        <w:ind w:left="567" w:hanging="567"/>
      </w:pPr>
      <w:rPr>
        <w:rFonts w:ascii="Symbol" w:hAnsi="Symbol" w:hint="default"/>
      </w:rPr>
    </w:lvl>
  </w:abstractNum>
  <w:abstractNum w:abstractNumId="54" w15:restartNumberingAfterBreak="0">
    <w:nsid w:val="44830AE8"/>
    <w:multiLevelType w:val="singleLevel"/>
    <w:tmpl w:val="C694AB9E"/>
    <w:name w:val="Bullet (0)"/>
    <w:lvl w:ilvl="0">
      <w:start w:val="1"/>
      <w:numFmt w:val="bullet"/>
      <w:lvlRestart w:val="0"/>
      <w:pStyle w:val="Bullet"/>
      <w:lvlText w:val=""/>
      <w:lvlJc w:val="left"/>
      <w:pPr>
        <w:tabs>
          <w:tab w:val="num" w:pos="567"/>
        </w:tabs>
        <w:ind w:left="567" w:hanging="567"/>
      </w:pPr>
      <w:rPr>
        <w:rFonts w:ascii="Symbol" w:hAnsi="Symbol" w:hint="default"/>
      </w:rPr>
    </w:lvl>
  </w:abstractNum>
  <w:abstractNum w:abstractNumId="55" w15:restartNumberingAfterBreak="0">
    <w:nsid w:val="45481EA4"/>
    <w:multiLevelType w:val="multilevel"/>
    <w:tmpl w:val="28525E6E"/>
    <w:lvl w:ilvl="0">
      <w:start w:val="1"/>
      <w:numFmt w:val="decimal"/>
      <w:pStyle w:val="Listanumerotat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6" w15:restartNumberingAfterBreak="0">
    <w:nsid w:val="4552127F"/>
    <w:multiLevelType w:val="singleLevel"/>
    <w:tmpl w:val="057A5296"/>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57"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8" w15:restartNumberingAfterBreak="0">
    <w:nsid w:val="48860AAB"/>
    <w:multiLevelType w:val="multilevel"/>
    <w:tmpl w:val="E8744BD2"/>
    <w:lvl w:ilvl="0">
      <w:start w:val="1"/>
      <w:numFmt w:val="decimal"/>
      <w:pStyle w:val="Listanumerotat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9" w15:restartNumberingAfterBreak="0">
    <w:nsid w:val="4C3D15CA"/>
    <w:multiLevelType w:val="hybridMultilevel"/>
    <w:tmpl w:val="3F727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D987C47"/>
    <w:multiLevelType w:val="hybridMultilevel"/>
    <w:tmpl w:val="FF701D76"/>
    <w:lvl w:ilvl="0" w:tplc="3002171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2490C82"/>
    <w:multiLevelType w:val="hybridMultilevel"/>
    <w:tmpl w:val="2FF8A7F8"/>
    <w:lvl w:ilvl="0" w:tplc="7AAA46E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29F5713"/>
    <w:multiLevelType w:val="hybridMultilevel"/>
    <w:tmpl w:val="0E80B0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6EF698A"/>
    <w:multiLevelType w:val="hybridMultilevel"/>
    <w:tmpl w:val="524A423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4" w15:restartNumberingAfterBreak="0">
    <w:nsid w:val="57227889"/>
    <w:multiLevelType w:val="singleLevel"/>
    <w:tmpl w:val="B83C732C"/>
    <w:name w:val="Dash Equal 2"/>
    <w:lvl w:ilvl="0">
      <w:start w:val="1"/>
      <w:numFmt w:val="bullet"/>
      <w:lvlRestart w:val="0"/>
      <w:pStyle w:val="DashEqual2"/>
      <w:lvlText w:val="="/>
      <w:lvlJc w:val="left"/>
      <w:pPr>
        <w:tabs>
          <w:tab w:val="num" w:pos="1701"/>
        </w:tabs>
        <w:ind w:left="1701" w:hanging="567"/>
      </w:pPr>
    </w:lvl>
  </w:abstractNum>
  <w:abstractNum w:abstractNumId="65" w15:restartNumberingAfterBreak="0">
    <w:nsid w:val="57CF7392"/>
    <w:multiLevelType w:val="multilevel"/>
    <w:tmpl w:val="8F703574"/>
    <w:name w:val="Heading IVX"/>
    <w:lvl w:ilvl="0">
      <w:start w:val="1"/>
      <w:numFmt w:val="upperRoman"/>
      <w:lvlRestart w:val="0"/>
      <w:pStyle w:val="HeadingIVX"/>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15:restartNumberingAfterBreak="0">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67" w15:restartNumberingAfterBreak="0">
    <w:nsid w:val="5D60669B"/>
    <w:multiLevelType w:val="singleLevel"/>
    <w:tmpl w:val="A97ED7DE"/>
    <w:name w:val="Dash 3"/>
    <w:lvl w:ilvl="0">
      <w:start w:val="1"/>
      <w:numFmt w:val="bullet"/>
      <w:lvlRestart w:val="0"/>
      <w:pStyle w:val="Dash3"/>
      <w:lvlText w:val="–"/>
      <w:lvlJc w:val="left"/>
      <w:pPr>
        <w:tabs>
          <w:tab w:val="num" w:pos="2268"/>
        </w:tabs>
        <w:ind w:left="2268" w:hanging="567"/>
      </w:pPr>
    </w:lvl>
  </w:abstractNum>
  <w:abstractNum w:abstractNumId="68" w15:restartNumberingAfterBreak="0">
    <w:nsid w:val="5D9D1AFC"/>
    <w:multiLevelType w:val="hybridMultilevel"/>
    <w:tmpl w:val="F5CA0F68"/>
    <w:lvl w:ilvl="0" w:tplc="174AAF5C">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5373619"/>
    <w:multiLevelType w:val="hybridMultilevel"/>
    <w:tmpl w:val="32B6F5FE"/>
    <w:lvl w:ilvl="0" w:tplc="CD14145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7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72"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73" w15:restartNumberingAfterBreak="0">
    <w:nsid w:val="6774118E"/>
    <w:multiLevelType w:val="singleLevel"/>
    <w:tmpl w:val="5944F242"/>
    <w:name w:val="Dash Equal 4"/>
    <w:lvl w:ilvl="0">
      <w:start w:val="1"/>
      <w:numFmt w:val="bullet"/>
      <w:lvlRestart w:val="0"/>
      <w:pStyle w:val="DashEqual4"/>
      <w:lvlText w:val="="/>
      <w:lvlJc w:val="left"/>
      <w:pPr>
        <w:tabs>
          <w:tab w:val="num" w:pos="2835"/>
        </w:tabs>
        <w:ind w:left="2835" w:hanging="567"/>
      </w:pPr>
    </w:lvl>
  </w:abstractNum>
  <w:abstractNum w:abstractNumId="74" w15:restartNumberingAfterBreak="0">
    <w:nsid w:val="67B856F6"/>
    <w:multiLevelType w:val="singleLevel"/>
    <w:tmpl w:val="0AB28E9C"/>
    <w:name w:val="Tiret 2"/>
    <w:lvl w:ilvl="0">
      <w:start w:val="1"/>
      <w:numFmt w:val="bullet"/>
      <w:pStyle w:val="Tiret2"/>
      <w:lvlText w:val="–"/>
      <w:lvlJc w:val="left"/>
      <w:pPr>
        <w:tabs>
          <w:tab w:val="num" w:pos="1984"/>
        </w:tabs>
        <w:ind w:left="1984" w:hanging="567"/>
      </w:pPr>
    </w:lvl>
  </w:abstractNum>
  <w:abstractNum w:abstractNumId="75" w15:restartNumberingAfterBreak="0">
    <w:nsid w:val="69123630"/>
    <w:multiLevelType w:val="singleLevel"/>
    <w:tmpl w:val="1BE6CBF4"/>
    <w:name w:val="Bullet (3)"/>
    <w:lvl w:ilvl="0">
      <w:start w:val="1"/>
      <w:numFmt w:val="bullet"/>
      <w:lvlRestart w:val="0"/>
      <w:pStyle w:val="Bullet3"/>
      <w:lvlText w:val=""/>
      <w:lvlJc w:val="left"/>
      <w:pPr>
        <w:tabs>
          <w:tab w:val="num" w:pos="2268"/>
        </w:tabs>
        <w:ind w:left="2268" w:hanging="567"/>
      </w:pPr>
      <w:rPr>
        <w:rFonts w:ascii="Symbol" w:hAnsi="Symbol" w:hint="default"/>
      </w:rPr>
    </w:lvl>
  </w:abstractNum>
  <w:abstractNum w:abstractNumId="76" w15:restartNumberingAfterBreak="0">
    <w:nsid w:val="6C8E5233"/>
    <w:multiLevelType w:val="hybridMultilevel"/>
    <w:tmpl w:val="5718A5F2"/>
    <w:lvl w:ilvl="0" w:tplc="D9A085BE">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7" w15:restartNumberingAfterBreak="0">
    <w:nsid w:val="6D9D664B"/>
    <w:multiLevelType w:val="singleLevel"/>
    <w:tmpl w:val="11148DA2"/>
    <w:name w:val="Dash 0"/>
    <w:lvl w:ilvl="0">
      <w:start w:val="1"/>
      <w:numFmt w:val="bullet"/>
      <w:lvlRestart w:val="0"/>
      <w:pStyle w:val="Dash"/>
      <w:lvlText w:val="–"/>
      <w:lvlJc w:val="left"/>
      <w:pPr>
        <w:tabs>
          <w:tab w:val="num" w:pos="567"/>
        </w:tabs>
        <w:ind w:left="567" w:hanging="567"/>
      </w:pPr>
    </w:lvl>
  </w:abstractNum>
  <w:abstractNum w:abstractNumId="78" w15:restartNumberingAfterBreak="0">
    <w:nsid w:val="6E4E71E4"/>
    <w:multiLevelType w:val="singleLevel"/>
    <w:tmpl w:val="21145626"/>
    <w:lvl w:ilvl="0">
      <w:start w:val="1"/>
      <w:numFmt w:val="decimal"/>
      <w:pStyle w:val="Par-number11"/>
      <w:lvlText w:val="%1."/>
      <w:lvlJc w:val="left"/>
      <w:pPr>
        <w:tabs>
          <w:tab w:val="num" w:pos="567"/>
        </w:tabs>
        <w:ind w:left="567" w:hanging="567"/>
      </w:pPr>
    </w:lvl>
  </w:abstractNum>
  <w:abstractNum w:abstractNumId="79"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80" w15:restartNumberingAfterBreak="0">
    <w:nsid w:val="6F642730"/>
    <w:multiLevelType w:val="singleLevel"/>
    <w:tmpl w:val="142C218E"/>
    <w:name w:val="Dash 2"/>
    <w:lvl w:ilvl="0">
      <w:start w:val="1"/>
      <w:numFmt w:val="bullet"/>
      <w:lvlRestart w:val="0"/>
      <w:pStyle w:val="Dash2"/>
      <w:lvlText w:val="–"/>
      <w:lvlJc w:val="left"/>
      <w:pPr>
        <w:tabs>
          <w:tab w:val="num" w:pos="1701"/>
        </w:tabs>
        <w:ind w:left="1701" w:hanging="567"/>
      </w:pPr>
    </w:lvl>
  </w:abstractNum>
  <w:abstractNum w:abstractNumId="81" w15:restartNumberingAfterBreak="0">
    <w:nsid w:val="753F4BA1"/>
    <w:multiLevelType w:val="singleLevel"/>
    <w:tmpl w:val="E3B64B50"/>
    <w:name w:val="Dash Equal 3"/>
    <w:lvl w:ilvl="0">
      <w:start w:val="1"/>
      <w:numFmt w:val="bullet"/>
      <w:lvlRestart w:val="0"/>
      <w:pStyle w:val="DashEqual3"/>
      <w:lvlText w:val="="/>
      <w:lvlJc w:val="left"/>
      <w:pPr>
        <w:tabs>
          <w:tab w:val="num" w:pos="2268"/>
        </w:tabs>
        <w:ind w:left="2268" w:hanging="567"/>
      </w:pPr>
    </w:lvl>
  </w:abstractNum>
  <w:abstractNum w:abstractNumId="82" w15:restartNumberingAfterBreak="0">
    <w:nsid w:val="767F4AB5"/>
    <w:multiLevelType w:val="hybridMultilevel"/>
    <w:tmpl w:val="6CAEDC20"/>
    <w:lvl w:ilvl="0" w:tplc="7AAA46EC">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pStyle w:val="StyleHeading3BoldNotItalic"/>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3" w15:restartNumberingAfterBreak="0">
    <w:nsid w:val="78250856"/>
    <w:multiLevelType w:val="singleLevel"/>
    <w:tmpl w:val="70ACDB5C"/>
    <w:name w:val="Dash Equal 0"/>
    <w:lvl w:ilvl="0">
      <w:start w:val="1"/>
      <w:numFmt w:val="bullet"/>
      <w:lvlRestart w:val="0"/>
      <w:pStyle w:val="DashEqual"/>
      <w:lvlText w:val="="/>
      <w:lvlJc w:val="left"/>
      <w:pPr>
        <w:tabs>
          <w:tab w:val="num" w:pos="567"/>
        </w:tabs>
        <w:ind w:left="567" w:hanging="567"/>
      </w:pPr>
    </w:lvl>
  </w:abstractNum>
  <w:abstractNum w:abstractNumId="84" w15:restartNumberingAfterBreak="0">
    <w:nsid w:val="79904CA0"/>
    <w:multiLevelType w:val="singleLevel"/>
    <w:tmpl w:val="54F47DCE"/>
    <w:name w:val="Bullet (4)"/>
    <w:lvl w:ilvl="0">
      <w:start w:val="1"/>
      <w:numFmt w:val="bullet"/>
      <w:lvlRestart w:val="0"/>
      <w:pStyle w:val="Bullet4"/>
      <w:lvlText w:val=""/>
      <w:lvlJc w:val="left"/>
      <w:pPr>
        <w:tabs>
          <w:tab w:val="num" w:pos="2835"/>
        </w:tabs>
        <w:ind w:left="2835" w:hanging="567"/>
      </w:pPr>
      <w:rPr>
        <w:rFonts w:ascii="Symbol" w:hAnsi="Symbol" w:hint="default"/>
      </w:rPr>
    </w:lvl>
  </w:abstractNum>
  <w:abstractNum w:abstractNumId="85" w15:restartNumberingAfterBreak="0">
    <w:nsid w:val="79FA34D6"/>
    <w:multiLevelType w:val="singleLevel"/>
    <w:tmpl w:val="41326E50"/>
    <w:lvl w:ilvl="0">
      <w:start w:val="1"/>
      <w:numFmt w:val="bullet"/>
      <w:pStyle w:val="Par-bullet"/>
      <w:lvlText w:val=""/>
      <w:lvlJc w:val="left"/>
      <w:pPr>
        <w:tabs>
          <w:tab w:val="num" w:pos="567"/>
        </w:tabs>
        <w:ind w:left="567" w:hanging="567"/>
      </w:pPr>
      <w:rPr>
        <w:rFonts w:ascii="Symbol" w:hAnsi="Symbol" w:hint="default"/>
      </w:rPr>
    </w:lvl>
  </w:abstractNum>
  <w:abstractNum w:abstractNumId="86" w15:restartNumberingAfterBreak="0">
    <w:nsid w:val="7ACF3A8A"/>
    <w:multiLevelType w:val="singleLevel"/>
    <w:tmpl w:val="0E484FE6"/>
    <w:name w:val="Dash Equal 1"/>
    <w:lvl w:ilvl="0">
      <w:start w:val="1"/>
      <w:numFmt w:val="bullet"/>
      <w:lvlRestart w:val="0"/>
      <w:pStyle w:val="DashEqual1"/>
      <w:lvlText w:val="="/>
      <w:lvlJc w:val="left"/>
      <w:pPr>
        <w:tabs>
          <w:tab w:val="num" w:pos="1134"/>
        </w:tabs>
        <w:ind w:left="1134" w:hanging="567"/>
      </w:pPr>
    </w:lvl>
  </w:abstractNum>
  <w:abstractNum w:abstractNumId="87" w15:restartNumberingAfterBreak="0">
    <w:nsid w:val="7CBE4812"/>
    <w:multiLevelType w:val="singleLevel"/>
    <w:tmpl w:val="23C821E4"/>
    <w:name w:val="Considérant"/>
    <w:lvl w:ilvl="0">
      <w:start w:val="1"/>
      <w:numFmt w:val="decimal"/>
      <w:pStyle w:val="Considrant"/>
      <w:lvlText w:val="(%1)"/>
      <w:lvlJc w:val="left"/>
      <w:pPr>
        <w:tabs>
          <w:tab w:val="num" w:pos="709"/>
        </w:tabs>
        <w:ind w:left="709" w:hanging="709"/>
      </w:pPr>
    </w:lvl>
  </w:abstractNum>
  <w:abstractNum w:abstractNumId="88" w15:restartNumberingAfterBreak="0">
    <w:nsid w:val="7EDB7062"/>
    <w:multiLevelType w:val="hybridMultilevel"/>
    <w:tmpl w:val="51FE144C"/>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num w:numId="1">
    <w:abstractNumId w:val="77"/>
  </w:num>
  <w:num w:numId="2">
    <w:abstractNumId w:val="12"/>
  </w:num>
  <w:num w:numId="3">
    <w:abstractNumId w:val="80"/>
  </w:num>
  <w:num w:numId="4">
    <w:abstractNumId w:val="67"/>
  </w:num>
  <w:num w:numId="5">
    <w:abstractNumId w:val="13"/>
  </w:num>
  <w:num w:numId="6">
    <w:abstractNumId w:val="83"/>
  </w:num>
  <w:num w:numId="7">
    <w:abstractNumId w:val="86"/>
  </w:num>
  <w:num w:numId="8">
    <w:abstractNumId w:val="64"/>
  </w:num>
  <w:num w:numId="9">
    <w:abstractNumId w:val="81"/>
  </w:num>
  <w:num w:numId="10">
    <w:abstractNumId w:val="73"/>
  </w:num>
  <w:num w:numId="11">
    <w:abstractNumId w:val="54"/>
  </w:num>
  <w:num w:numId="12">
    <w:abstractNumId w:val="28"/>
  </w:num>
  <w:num w:numId="13">
    <w:abstractNumId w:val="22"/>
  </w:num>
  <w:num w:numId="14">
    <w:abstractNumId w:val="75"/>
  </w:num>
  <w:num w:numId="15">
    <w:abstractNumId w:val="84"/>
  </w:num>
  <w:num w:numId="16">
    <w:abstractNumId w:val="11"/>
  </w:num>
  <w:num w:numId="17">
    <w:abstractNumId w:val="35"/>
  </w:num>
  <w:num w:numId="18">
    <w:abstractNumId w:val="21"/>
  </w:num>
  <w:num w:numId="19">
    <w:abstractNumId w:val="37"/>
  </w:num>
  <w:num w:numId="20">
    <w:abstractNumId w:val="65"/>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51"/>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5"/>
  </w:num>
  <w:num w:numId="26">
    <w:abstractNumId w:val="4"/>
  </w:num>
  <w:num w:numId="27">
    <w:abstractNumId w:val="3"/>
  </w:num>
  <w:num w:numId="28">
    <w:abstractNumId w:val="2"/>
    <w:lvlOverride w:ilvl="0">
      <w:startOverride w:val="1"/>
    </w:lvlOverride>
  </w:num>
  <w:num w:numId="29">
    <w:abstractNumId w:val="49"/>
    <w:lvlOverride w:ilvl="0">
      <w:startOverride w:val="1"/>
    </w:lvlOverride>
  </w:num>
  <w:num w:numId="30">
    <w:abstractNumId w:val="85"/>
  </w:num>
  <w:num w:numId="31">
    <w:abstractNumId w:val="53"/>
  </w:num>
  <w:num w:numId="32">
    <w:abstractNumId w:val="46"/>
    <w:lvlOverride w:ilvl="0">
      <w:startOverride w:val="1"/>
    </w:lvlOverride>
  </w:num>
  <w:num w:numId="33">
    <w:abstractNumId w:val="78"/>
    <w:lvlOverride w:ilvl="0">
      <w:startOverride w:val="1"/>
    </w:lvlOverride>
  </w:num>
  <w:num w:numId="34">
    <w:abstractNumId w:val="31"/>
  </w:num>
  <w:num w:numId="35">
    <w:abstractNumId w:val="40"/>
    <w:lvlOverride w:ilvl="0">
      <w:startOverride w:val="1"/>
    </w:lvlOverride>
  </w:num>
  <w:num w:numId="36">
    <w:abstractNumId w:val="41"/>
    <w:lvlOverride w:ilvl="0">
      <w:startOverride w:val="1"/>
    </w:lvlOverride>
  </w:num>
  <w:num w:numId="37">
    <w:abstractNumId w:val="47"/>
    <w:lvlOverride w:ilvl="0">
      <w:startOverride w:val="1"/>
    </w:lvlOverride>
  </w:num>
  <w:num w:numId="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0"/>
  </w:num>
  <w:num w:numId="41">
    <w:abstractNumId w:val="72"/>
  </w:num>
  <w:num w:numId="42">
    <w:abstractNumId w:val="71"/>
  </w:num>
  <w:num w:numId="43">
    <w:abstractNumId w:val="79"/>
  </w:num>
  <w:num w:numId="44">
    <w:abstractNumId w:val="34"/>
  </w:num>
  <w:num w:numId="45">
    <w:abstractNumId w:val="5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5"/>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8"/>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2"/>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6"/>
  </w:num>
  <w:num w:numId="52">
    <w:abstractNumId w:val="50"/>
  </w:num>
  <w:num w:numId="53">
    <w:abstractNumId w:val="74"/>
  </w:num>
  <w:num w:numId="54">
    <w:abstractNumId w:val="39"/>
  </w:num>
  <w:num w:numId="55">
    <w:abstractNumId w:val="52"/>
  </w:num>
  <w:num w:numId="56">
    <w:abstractNumId w:val="56"/>
  </w:num>
  <w:num w:numId="57">
    <w:abstractNumId w:val="87"/>
    <w:lvlOverride w:ilvl="0">
      <w:startOverride w:val="1"/>
    </w:lvlOverride>
  </w:num>
  <w:num w:numId="58">
    <w:abstractNumId w:val="26"/>
  </w:num>
  <w:num w:numId="59">
    <w:abstractNumId w:val="36"/>
  </w:num>
  <w:num w:numId="60">
    <w:abstractNumId w:val="33"/>
  </w:num>
  <w:num w:numId="61">
    <w:abstractNumId w:val="27"/>
  </w:num>
  <w:num w:numId="62">
    <w:abstractNumId w:val="63"/>
  </w:num>
  <w:num w:numId="63">
    <w:abstractNumId w:val="15"/>
  </w:num>
  <w:num w:numId="64">
    <w:abstractNumId w:val="45"/>
  </w:num>
  <w:num w:numId="65">
    <w:abstractNumId w:val="8"/>
  </w:num>
  <w:num w:numId="66">
    <w:abstractNumId w:val="17"/>
  </w:num>
  <w:num w:numId="67">
    <w:abstractNumId w:val="68"/>
  </w:num>
  <w:num w:numId="68">
    <w:abstractNumId w:val="60"/>
  </w:num>
  <w:num w:numId="69">
    <w:abstractNumId w:val="24"/>
  </w:num>
  <w:num w:numId="70">
    <w:abstractNumId w:val="43"/>
  </w:num>
  <w:num w:numId="71">
    <w:abstractNumId w:val="76"/>
  </w:num>
  <w:num w:numId="72">
    <w:abstractNumId w:val="19"/>
  </w:num>
  <w:num w:numId="73">
    <w:abstractNumId w:val="48"/>
  </w:num>
  <w:num w:numId="7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3"/>
  </w:num>
  <w:num w:numId="76">
    <w:abstractNumId w:val="18"/>
  </w:num>
  <w:num w:numId="77">
    <w:abstractNumId w:val="61"/>
  </w:num>
  <w:num w:numId="78">
    <w:abstractNumId w:val="44"/>
  </w:num>
  <w:num w:numId="79">
    <w:abstractNumId w:val="23"/>
  </w:num>
  <w:num w:numId="80">
    <w:abstractNumId w:val="42"/>
  </w:num>
  <w:num w:numId="81">
    <w:abstractNumId w:val="1"/>
  </w:num>
  <w:num w:numId="82">
    <w:abstractNumId w:val="0"/>
  </w:num>
  <w:num w:numId="83">
    <w:abstractNumId w:val="69"/>
  </w:num>
  <w:num w:numId="84">
    <w:abstractNumId w:val="14"/>
  </w:num>
  <w:num w:numId="85">
    <w:abstractNumId w:val="10"/>
  </w:num>
  <w:num w:numId="86">
    <w:abstractNumId w:val="88"/>
  </w:num>
  <w:num w:numId="87">
    <w:abstractNumId w:val="59"/>
  </w:num>
  <w:num w:numId="88">
    <w:abstractNumId w:val="20"/>
  </w:num>
  <w:num w:numId="89">
    <w:abstractNumId w:val="62"/>
  </w:num>
  <w:num w:numId="90">
    <w:abstractNumId w:val="30"/>
  </w:num>
  <w:num w:numId="91">
    <w:abstractNumId w:val="29"/>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0AD"/>
    <w:rsid w:val="000019E6"/>
    <w:rsid w:val="00002D81"/>
    <w:rsid w:val="0001368F"/>
    <w:rsid w:val="00015056"/>
    <w:rsid w:val="000203AA"/>
    <w:rsid w:val="000226A4"/>
    <w:rsid w:val="0002357F"/>
    <w:rsid w:val="00023884"/>
    <w:rsid w:val="0002745C"/>
    <w:rsid w:val="00031FCB"/>
    <w:rsid w:val="000340A4"/>
    <w:rsid w:val="00034269"/>
    <w:rsid w:val="00035297"/>
    <w:rsid w:val="00040631"/>
    <w:rsid w:val="00040962"/>
    <w:rsid w:val="00047BE5"/>
    <w:rsid w:val="00047E2F"/>
    <w:rsid w:val="00052C11"/>
    <w:rsid w:val="00054275"/>
    <w:rsid w:val="00054946"/>
    <w:rsid w:val="00054FC4"/>
    <w:rsid w:val="00062974"/>
    <w:rsid w:val="00064657"/>
    <w:rsid w:val="00076249"/>
    <w:rsid w:val="000775BC"/>
    <w:rsid w:val="000804D3"/>
    <w:rsid w:val="00081923"/>
    <w:rsid w:val="00081BE4"/>
    <w:rsid w:val="000825DF"/>
    <w:rsid w:val="0008380B"/>
    <w:rsid w:val="00084F40"/>
    <w:rsid w:val="0009117E"/>
    <w:rsid w:val="00091A92"/>
    <w:rsid w:val="00091E6D"/>
    <w:rsid w:val="000945A6"/>
    <w:rsid w:val="00094A9E"/>
    <w:rsid w:val="000958D7"/>
    <w:rsid w:val="000A0CC7"/>
    <w:rsid w:val="000A0CDC"/>
    <w:rsid w:val="000A0DC7"/>
    <w:rsid w:val="000A255F"/>
    <w:rsid w:val="000A2CF3"/>
    <w:rsid w:val="000A3059"/>
    <w:rsid w:val="000A574D"/>
    <w:rsid w:val="000B1446"/>
    <w:rsid w:val="000B47F2"/>
    <w:rsid w:val="000B4B03"/>
    <w:rsid w:val="000B664E"/>
    <w:rsid w:val="000B6A92"/>
    <w:rsid w:val="000B6C3D"/>
    <w:rsid w:val="000C330D"/>
    <w:rsid w:val="000D282F"/>
    <w:rsid w:val="000D460E"/>
    <w:rsid w:val="000D4E24"/>
    <w:rsid w:val="000D714B"/>
    <w:rsid w:val="000D7EB0"/>
    <w:rsid w:val="000E017E"/>
    <w:rsid w:val="000F1BA8"/>
    <w:rsid w:val="000F1EA8"/>
    <w:rsid w:val="000F2863"/>
    <w:rsid w:val="000F3133"/>
    <w:rsid w:val="000F6710"/>
    <w:rsid w:val="000F6953"/>
    <w:rsid w:val="00102374"/>
    <w:rsid w:val="00106AA2"/>
    <w:rsid w:val="00110459"/>
    <w:rsid w:val="00111C34"/>
    <w:rsid w:val="00112EFA"/>
    <w:rsid w:val="00113A36"/>
    <w:rsid w:val="00114793"/>
    <w:rsid w:val="001152E6"/>
    <w:rsid w:val="00115432"/>
    <w:rsid w:val="00116268"/>
    <w:rsid w:val="00121CC0"/>
    <w:rsid w:val="00122257"/>
    <w:rsid w:val="00123E88"/>
    <w:rsid w:val="00130E1C"/>
    <w:rsid w:val="00131396"/>
    <w:rsid w:val="00132C79"/>
    <w:rsid w:val="001366A9"/>
    <w:rsid w:val="00142894"/>
    <w:rsid w:val="0014333D"/>
    <w:rsid w:val="001434F2"/>
    <w:rsid w:val="00144E35"/>
    <w:rsid w:val="0014507E"/>
    <w:rsid w:val="0015102B"/>
    <w:rsid w:val="001527FF"/>
    <w:rsid w:val="001554D1"/>
    <w:rsid w:val="001575B0"/>
    <w:rsid w:val="00170402"/>
    <w:rsid w:val="00171566"/>
    <w:rsid w:val="00172AFD"/>
    <w:rsid w:val="00174659"/>
    <w:rsid w:val="00174F85"/>
    <w:rsid w:val="00175451"/>
    <w:rsid w:val="001759F4"/>
    <w:rsid w:val="00183E37"/>
    <w:rsid w:val="00184A52"/>
    <w:rsid w:val="00190F7C"/>
    <w:rsid w:val="001961EE"/>
    <w:rsid w:val="001A17A2"/>
    <w:rsid w:val="001A2F5D"/>
    <w:rsid w:val="001A4133"/>
    <w:rsid w:val="001A4134"/>
    <w:rsid w:val="001B4CAB"/>
    <w:rsid w:val="001B5E29"/>
    <w:rsid w:val="001B73C4"/>
    <w:rsid w:val="001B7C6E"/>
    <w:rsid w:val="001C0096"/>
    <w:rsid w:val="001C0BC8"/>
    <w:rsid w:val="001C3413"/>
    <w:rsid w:val="001D437C"/>
    <w:rsid w:val="001D528C"/>
    <w:rsid w:val="001D569D"/>
    <w:rsid w:val="001D6BBE"/>
    <w:rsid w:val="001F0D11"/>
    <w:rsid w:val="001F79C9"/>
    <w:rsid w:val="00204E5B"/>
    <w:rsid w:val="00207089"/>
    <w:rsid w:val="00211CEB"/>
    <w:rsid w:val="002207D5"/>
    <w:rsid w:val="0023722F"/>
    <w:rsid w:val="00237FDD"/>
    <w:rsid w:val="00242CDB"/>
    <w:rsid w:val="00246EE4"/>
    <w:rsid w:val="0024718F"/>
    <w:rsid w:val="0024746F"/>
    <w:rsid w:val="00250950"/>
    <w:rsid w:val="00250BB8"/>
    <w:rsid w:val="002525BB"/>
    <w:rsid w:val="00255A62"/>
    <w:rsid w:val="0025768D"/>
    <w:rsid w:val="00270356"/>
    <w:rsid w:val="0027074A"/>
    <w:rsid w:val="00275CAD"/>
    <w:rsid w:val="00277704"/>
    <w:rsid w:val="00283121"/>
    <w:rsid w:val="002863F4"/>
    <w:rsid w:val="00286FE8"/>
    <w:rsid w:val="002908D8"/>
    <w:rsid w:val="00294314"/>
    <w:rsid w:val="002948BF"/>
    <w:rsid w:val="00296564"/>
    <w:rsid w:val="002A03F2"/>
    <w:rsid w:val="002A3A74"/>
    <w:rsid w:val="002A4A5B"/>
    <w:rsid w:val="002A7570"/>
    <w:rsid w:val="002B433A"/>
    <w:rsid w:val="002B5135"/>
    <w:rsid w:val="002B7E8C"/>
    <w:rsid w:val="002C3753"/>
    <w:rsid w:val="002C59D6"/>
    <w:rsid w:val="002D1205"/>
    <w:rsid w:val="002D18AF"/>
    <w:rsid w:val="002D2EA3"/>
    <w:rsid w:val="002E1BD6"/>
    <w:rsid w:val="002E1EA1"/>
    <w:rsid w:val="002E5244"/>
    <w:rsid w:val="002E6F8A"/>
    <w:rsid w:val="002E744B"/>
    <w:rsid w:val="002E75CB"/>
    <w:rsid w:val="002F1FF5"/>
    <w:rsid w:val="002F688F"/>
    <w:rsid w:val="00303481"/>
    <w:rsid w:val="003061E2"/>
    <w:rsid w:val="003078A5"/>
    <w:rsid w:val="00310615"/>
    <w:rsid w:val="00311EFE"/>
    <w:rsid w:val="00317C36"/>
    <w:rsid w:val="003201C3"/>
    <w:rsid w:val="00321DEF"/>
    <w:rsid w:val="00327320"/>
    <w:rsid w:val="003314C0"/>
    <w:rsid w:val="003320CD"/>
    <w:rsid w:val="00333046"/>
    <w:rsid w:val="00340252"/>
    <w:rsid w:val="00340FA0"/>
    <w:rsid w:val="003419ED"/>
    <w:rsid w:val="00341E6E"/>
    <w:rsid w:val="00343A37"/>
    <w:rsid w:val="00350723"/>
    <w:rsid w:val="00351AF5"/>
    <w:rsid w:val="00351E4A"/>
    <w:rsid w:val="00355056"/>
    <w:rsid w:val="00355A4A"/>
    <w:rsid w:val="00356D34"/>
    <w:rsid w:val="00360BB8"/>
    <w:rsid w:val="0036364C"/>
    <w:rsid w:val="00363CA2"/>
    <w:rsid w:val="00365AED"/>
    <w:rsid w:val="00365B80"/>
    <w:rsid w:val="00371455"/>
    <w:rsid w:val="00373E9F"/>
    <w:rsid w:val="00374155"/>
    <w:rsid w:val="00375338"/>
    <w:rsid w:val="00377F6F"/>
    <w:rsid w:val="0038110E"/>
    <w:rsid w:val="0038288E"/>
    <w:rsid w:val="00382AF5"/>
    <w:rsid w:val="0038335A"/>
    <w:rsid w:val="0038375D"/>
    <w:rsid w:val="003848AB"/>
    <w:rsid w:val="0038782B"/>
    <w:rsid w:val="003902F7"/>
    <w:rsid w:val="003906EF"/>
    <w:rsid w:val="0039072A"/>
    <w:rsid w:val="00396796"/>
    <w:rsid w:val="003A1EAE"/>
    <w:rsid w:val="003A6D70"/>
    <w:rsid w:val="003A6DC2"/>
    <w:rsid w:val="003A7B31"/>
    <w:rsid w:val="003B1342"/>
    <w:rsid w:val="003B2620"/>
    <w:rsid w:val="003B33A7"/>
    <w:rsid w:val="003B74EF"/>
    <w:rsid w:val="003B752F"/>
    <w:rsid w:val="003B7D63"/>
    <w:rsid w:val="003C685A"/>
    <w:rsid w:val="003D4690"/>
    <w:rsid w:val="003D5116"/>
    <w:rsid w:val="003D7489"/>
    <w:rsid w:val="003E2323"/>
    <w:rsid w:val="003E3035"/>
    <w:rsid w:val="003E498F"/>
    <w:rsid w:val="003E6678"/>
    <w:rsid w:val="003F2B68"/>
    <w:rsid w:val="003F2E69"/>
    <w:rsid w:val="003F34BA"/>
    <w:rsid w:val="003F3796"/>
    <w:rsid w:val="003F3915"/>
    <w:rsid w:val="003F771C"/>
    <w:rsid w:val="0040005B"/>
    <w:rsid w:val="0040330F"/>
    <w:rsid w:val="00404062"/>
    <w:rsid w:val="004043AF"/>
    <w:rsid w:val="00404580"/>
    <w:rsid w:val="0040562A"/>
    <w:rsid w:val="0041451F"/>
    <w:rsid w:val="00424AB2"/>
    <w:rsid w:val="00435C1D"/>
    <w:rsid w:val="00435E0C"/>
    <w:rsid w:val="004449E3"/>
    <w:rsid w:val="00444ADA"/>
    <w:rsid w:val="00446B00"/>
    <w:rsid w:val="004474DD"/>
    <w:rsid w:val="004477C6"/>
    <w:rsid w:val="00452F18"/>
    <w:rsid w:val="00466983"/>
    <w:rsid w:val="00472C6D"/>
    <w:rsid w:val="004752D3"/>
    <w:rsid w:val="0048153C"/>
    <w:rsid w:val="00484C22"/>
    <w:rsid w:val="0049054A"/>
    <w:rsid w:val="00490A6C"/>
    <w:rsid w:val="00491C7A"/>
    <w:rsid w:val="004936B5"/>
    <w:rsid w:val="00496A5F"/>
    <w:rsid w:val="00497168"/>
    <w:rsid w:val="004A09AF"/>
    <w:rsid w:val="004A214C"/>
    <w:rsid w:val="004A3CDE"/>
    <w:rsid w:val="004A79E3"/>
    <w:rsid w:val="004B0439"/>
    <w:rsid w:val="004B0EE3"/>
    <w:rsid w:val="004B2CCD"/>
    <w:rsid w:val="004B76E7"/>
    <w:rsid w:val="004B7DB7"/>
    <w:rsid w:val="004C0A98"/>
    <w:rsid w:val="004C305F"/>
    <w:rsid w:val="004C3247"/>
    <w:rsid w:val="004C3AEE"/>
    <w:rsid w:val="004C7DC8"/>
    <w:rsid w:val="004D7447"/>
    <w:rsid w:val="004E0571"/>
    <w:rsid w:val="004E48D6"/>
    <w:rsid w:val="004E59BE"/>
    <w:rsid w:val="004F2390"/>
    <w:rsid w:val="004F32B2"/>
    <w:rsid w:val="004F652D"/>
    <w:rsid w:val="004F746F"/>
    <w:rsid w:val="00500F20"/>
    <w:rsid w:val="005025B9"/>
    <w:rsid w:val="00503203"/>
    <w:rsid w:val="00512145"/>
    <w:rsid w:val="00512B78"/>
    <w:rsid w:val="00515DD2"/>
    <w:rsid w:val="00522FFA"/>
    <w:rsid w:val="00523FE8"/>
    <w:rsid w:val="00527EE5"/>
    <w:rsid w:val="0053385B"/>
    <w:rsid w:val="00534243"/>
    <w:rsid w:val="00535AC3"/>
    <w:rsid w:val="00535FCF"/>
    <w:rsid w:val="0053626E"/>
    <w:rsid w:val="005423BD"/>
    <w:rsid w:val="00551280"/>
    <w:rsid w:val="00553642"/>
    <w:rsid w:val="00554A5E"/>
    <w:rsid w:val="0055560E"/>
    <w:rsid w:val="00555C9D"/>
    <w:rsid w:val="005607BE"/>
    <w:rsid w:val="005622CD"/>
    <w:rsid w:val="00563EBC"/>
    <w:rsid w:val="005645F0"/>
    <w:rsid w:val="00573F58"/>
    <w:rsid w:val="00574E86"/>
    <w:rsid w:val="005760F3"/>
    <w:rsid w:val="00576795"/>
    <w:rsid w:val="00580906"/>
    <w:rsid w:val="005828D7"/>
    <w:rsid w:val="005917CA"/>
    <w:rsid w:val="00591C9B"/>
    <w:rsid w:val="00593C4B"/>
    <w:rsid w:val="005A0E25"/>
    <w:rsid w:val="005A114F"/>
    <w:rsid w:val="005A19FA"/>
    <w:rsid w:val="005A3E54"/>
    <w:rsid w:val="005A5032"/>
    <w:rsid w:val="005A58E1"/>
    <w:rsid w:val="005A6CC5"/>
    <w:rsid w:val="005A75CB"/>
    <w:rsid w:val="005B2B64"/>
    <w:rsid w:val="005B4710"/>
    <w:rsid w:val="005B4F6A"/>
    <w:rsid w:val="005C37ED"/>
    <w:rsid w:val="005C4608"/>
    <w:rsid w:val="005C676C"/>
    <w:rsid w:val="005C6AC9"/>
    <w:rsid w:val="005C75DF"/>
    <w:rsid w:val="005D0F55"/>
    <w:rsid w:val="005E1411"/>
    <w:rsid w:val="005E193A"/>
    <w:rsid w:val="005E72A4"/>
    <w:rsid w:val="005F3832"/>
    <w:rsid w:val="005F67EB"/>
    <w:rsid w:val="006025D0"/>
    <w:rsid w:val="00606192"/>
    <w:rsid w:val="00614120"/>
    <w:rsid w:val="00615B6C"/>
    <w:rsid w:val="006169A6"/>
    <w:rsid w:val="006175F5"/>
    <w:rsid w:val="006241BB"/>
    <w:rsid w:val="00627944"/>
    <w:rsid w:val="00631BC5"/>
    <w:rsid w:val="006323DB"/>
    <w:rsid w:val="00640277"/>
    <w:rsid w:val="00644743"/>
    <w:rsid w:val="006464E6"/>
    <w:rsid w:val="006467C8"/>
    <w:rsid w:val="006521FE"/>
    <w:rsid w:val="00652ABF"/>
    <w:rsid w:val="00653391"/>
    <w:rsid w:val="006570F1"/>
    <w:rsid w:val="006575FC"/>
    <w:rsid w:val="00657C41"/>
    <w:rsid w:val="00662466"/>
    <w:rsid w:val="0067003D"/>
    <w:rsid w:val="0067267B"/>
    <w:rsid w:val="00673B17"/>
    <w:rsid w:val="00675E91"/>
    <w:rsid w:val="00677485"/>
    <w:rsid w:val="006823EB"/>
    <w:rsid w:val="00687A4D"/>
    <w:rsid w:val="006922A7"/>
    <w:rsid w:val="00694F13"/>
    <w:rsid w:val="00695825"/>
    <w:rsid w:val="006A05D1"/>
    <w:rsid w:val="006A7BCB"/>
    <w:rsid w:val="006B0500"/>
    <w:rsid w:val="006B11E2"/>
    <w:rsid w:val="006B1B7A"/>
    <w:rsid w:val="006B6B3E"/>
    <w:rsid w:val="006C0120"/>
    <w:rsid w:val="006C5DC7"/>
    <w:rsid w:val="006D0BC2"/>
    <w:rsid w:val="006D2EBA"/>
    <w:rsid w:val="006D4518"/>
    <w:rsid w:val="006D4864"/>
    <w:rsid w:val="006D5EF2"/>
    <w:rsid w:val="006E4598"/>
    <w:rsid w:val="006E45E2"/>
    <w:rsid w:val="006F04E2"/>
    <w:rsid w:val="006F1337"/>
    <w:rsid w:val="006F1BCF"/>
    <w:rsid w:val="006F270D"/>
    <w:rsid w:val="006F5AE8"/>
    <w:rsid w:val="007006E8"/>
    <w:rsid w:val="0070572B"/>
    <w:rsid w:val="0071022F"/>
    <w:rsid w:val="00720FC3"/>
    <w:rsid w:val="00724FAD"/>
    <w:rsid w:val="00730E49"/>
    <w:rsid w:val="00732114"/>
    <w:rsid w:val="0073532A"/>
    <w:rsid w:val="0073541B"/>
    <w:rsid w:val="00735C5B"/>
    <w:rsid w:val="007375AE"/>
    <w:rsid w:val="00740075"/>
    <w:rsid w:val="0074229C"/>
    <w:rsid w:val="007431A6"/>
    <w:rsid w:val="0074750A"/>
    <w:rsid w:val="007502AA"/>
    <w:rsid w:val="00752D24"/>
    <w:rsid w:val="00753ACB"/>
    <w:rsid w:val="0075645E"/>
    <w:rsid w:val="007636D3"/>
    <w:rsid w:val="00767217"/>
    <w:rsid w:val="007715E2"/>
    <w:rsid w:val="00771932"/>
    <w:rsid w:val="0077227E"/>
    <w:rsid w:val="00774130"/>
    <w:rsid w:val="00781673"/>
    <w:rsid w:val="00781A27"/>
    <w:rsid w:val="00785B03"/>
    <w:rsid w:val="00787192"/>
    <w:rsid w:val="00790816"/>
    <w:rsid w:val="007915E9"/>
    <w:rsid w:val="00791AB4"/>
    <w:rsid w:val="00793F2D"/>
    <w:rsid w:val="0079444E"/>
    <w:rsid w:val="00796F1E"/>
    <w:rsid w:val="00797340"/>
    <w:rsid w:val="007A2D8D"/>
    <w:rsid w:val="007A2E1C"/>
    <w:rsid w:val="007A34CE"/>
    <w:rsid w:val="007A46FF"/>
    <w:rsid w:val="007A6AEC"/>
    <w:rsid w:val="007A72F1"/>
    <w:rsid w:val="007B2D5E"/>
    <w:rsid w:val="007B330B"/>
    <w:rsid w:val="007B5D44"/>
    <w:rsid w:val="007C1415"/>
    <w:rsid w:val="007C3902"/>
    <w:rsid w:val="007D250C"/>
    <w:rsid w:val="007D3F64"/>
    <w:rsid w:val="007D5842"/>
    <w:rsid w:val="007D6CF4"/>
    <w:rsid w:val="007E2244"/>
    <w:rsid w:val="007E49E4"/>
    <w:rsid w:val="007E6114"/>
    <w:rsid w:val="007F03A6"/>
    <w:rsid w:val="007F432E"/>
    <w:rsid w:val="007F642C"/>
    <w:rsid w:val="0080126C"/>
    <w:rsid w:val="00805892"/>
    <w:rsid w:val="00807512"/>
    <w:rsid w:val="00814835"/>
    <w:rsid w:val="008165CD"/>
    <w:rsid w:val="00816EEA"/>
    <w:rsid w:val="008239CE"/>
    <w:rsid w:val="00823AD8"/>
    <w:rsid w:val="00823E46"/>
    <w:rsid w:val="00825CBB"/>
    <w:rsid w:val="00827086"/>
    <w:rsid w:val="00835E59"/>
    <w:rsid w:val="00837F9E"/>
    <w:rsid w:val="00842AF4"/>
    <w:rsid w:val="00843226"/>
    <w:rsid w:val="008436D1"/>
    <w:rsid w:val="00847979"/>
    <w:rsid w:val="00855115"/>
    <w:rsid w:val="008569A9"/>
    <w:rsid w:val="00871DAF"/>
    <w:rsid w:val="00872F14"/>
    <w:rsid w:val="008764FB"/>
    <w:rsid w:val="008827C3"/>
    <w:rsid w:val="00882D7C"/>
    <w:rsid w:val="00884BB0"/>
    <w:rsid w:val="00891247"/>
    <w:rsid w:val="00893F2A"/>
    <w:rsid w:val="00895096"/>
    <w:rsid w:val="00896500"/>
    <w:rsid w:val="008976EA"/>
    <w:rsid w:val="008A3180"/>
    <w:rsid w:val="008A4C25"/>
    <w:rsid w:val="008A65DF"/>
    <w:rsid w:val="008A6EFF"/>
    <w:rsid w:val="008B5909"/>
    <w:rsid w:val="008B6CC7"/>
    <w:rsid w:val="008B7C47"/>
    <w:rsid w:val="008C1087"/>
    <w:rsid w:val="008C5A1C"/>
    <w:rsid w:val="008D564E"/>
    <w:rsid w:val="008E1E64"/>
    <w:rsid w:val="008E7144"/>
    <w:rsid w:val="008F01BC"/>
    <w:rsid w:val="008F0C5F"/>
    <w:rsid w:val="008F12C8"/>
    <w:rsid w:val="008F2498"/>
    <w:rsid w:val="008F5D3F"/>
    <w:rsid w:val="009011B6"/>
    <w:rsid w:val="009037D5"/>
    <w:rsid w:val="009037E1"/>
    <w:rsid w:val="0090484F"/>
    <w:rsid w:val="009101C9"/>
    <w:rsid w:val="00910CB8"/>
    <w:rsid w:val="00911659"/>
    <w:rsid w:val="00912A39"/>
    <w:rsid w:val="009149E0"/>
    <w:rsid w:val="00915596"/>
    <w:rsid w:val="00915692"/>
    <w:rsid w:val="009232BB"/>
    <w:rsid w:val="00930569"/>
    <w:rsid w:val="009333AA"/>
    <w:rsid w:val="00942CE9"/>
    <w:rsid w:val="00942E25"/>
    <w:rsid w:val="009436DF"/>
    <w:rsid w:val="00950575"/>
    <w:rsid w:val="00950A32"/>
    <w:rsid w:val="009520E8"/>
    <w:rsid w:val="00957C92"/>
    <w:rsid w:val="009613DE"/>
    <w:rsid w:val="00963887"/>
    <w:rsid w:val="0097138B"/>
    <w:rsid w:val="009731AC"/>
    <w:rsid w:val="00975C60"/>
    <w:rsid w:val="009771A1"/>
    <w:rsid w:val="00985CCB"/>
    <w:rsid w:val="009A0134"/>
    <w:rsid w:val="009A15A3"/>
    <w:rsid w:val="009A2E07"/>
    <w:rsid w:val="009A4DC2"/>
    <w:rsid w:val="009A60F9"/>
    <w:rsid w:val="009A6765"/>
    <w:rsid w:val="009A7572"/>
    <w:rsid w:val="009A7E34"/>
    <w:rsid w:val="009B5602"/>
    <w:rsid w:val="009B6A74"/>
    <w:rsid w:val="009B6E3D"/>
    <w:rsid w:val="009B7B00"/>
    <w:rsid w:val="009B7E34"/>
    <w:rsid w:val="009C1A4B"/>
    <w:rsid w:val="009C3AD0"/>
    <w:rsid w:val="009C3D10"/>
    <w:rsid w:val="009C7F0D"/>
    <w:rsid w:val="009D0444"/>
    <w:rsid w:val="009D1879"/>
    <w:rsid w:val="009E540E"/>
    <w:rsid w:val="009E67E5"/>
    <w:rsid w:val="009F2811"/>
    <w:rsid w:val="009F5860"/>
    <w:rsid w:val="009F6313"/>
    <w:rsid w:val="009F695D"/>
    <w:rsid w:val="009F75F9"/>
    <w:rsid w:val="00A02BB0"/>
    <w:rsid w:val="00A12EB4"/>
    <w:rsid w:val="00A141E0"/>
    <w:rsid w:val="00A223F4"/>
    <w:rsid w:val="00A237E3"/>
    <w:rsid w:val="00A23C28"/>
    <w:rsid w:val="00A26390"/>
    <w:rsid w:val="00A30202"/>
    <w:rsid w:val="00A35260"/>
    <w:rsid w:val="00A447C8"/>
    <w:rsid w:val="00A45DDE"/>
    <w:rsid w:val="00A47A3F"/>
    <w:rsid w:val="00A54651"/>
    <w:rsid w:val="00A5682B"/>
    <w:rsid w:val="00A57C99"/>
    <w:rsid w:val="00A617CC"/>
    <w:rsid w:val="00A61FDA"/>
    <w:rsid w:val="00A650C3"/>
    <w:rsid w:val="00A707D0"/>
    <w:rsid w:val="00A70C12"/>
    <w:rsid w:val="00A71179"/>
    <w:rsid w:val="00A7442F"/>
    <w:rsid w:val="00A801A7"/>
    <w:rsid w:val="00A80A69"/>
    <w:rsid w:val="00A81581"/>
    <w:rsid w:val="00A830B5"/>
    <w:rsid w:val="00A87207"/>
    <w:rsid w:val="00A908B2"/>
    <w:rsid w:val="00A94F19"/>
    <w:rsid w:val="00A96429"/>
    <w:rsid w:val="00A971A1"/>
    <w:rsid w:val="00AA19B7"/>
    <w:rsid w:val="00AA2E9F"/>
    <w:rsid w:val="00AA42F6"/>
    <w:rsid w:val="00AA498A"/>
    <w:rsid w:val="00AA567F"/>
    <w:rsid w:val="00AA595E"/>
    <w:rsid w:val="00AA5BB8"/>
    <w:rsid w:val="00AA730A"/>
    <w:rsid w:val="00AB2F6A"/>
    <w:rsid w:val="00AB309B"/>
    <w:rsid w:val="00AB5DFC"/>
    <w:rsid w:val="00AB6AD4"/>
    <w:rsid w:val="00AB6C51"/>
    <w:rsid w:val="00AC77E9"/>
    <w:rsid w:val="00AC7A6E"/>
    <w:rsid w:val="00AD1C8F"/>
    <w:rsid w:val="00AD1DCB"/>
    <w:rsid w:val="00AD2DE8"/>
    <w:rsid w:val="00AD317B"/>
    <w:rsid w:val="00AD4331"/>
    <w:rsid w:val="00AE0221"/>
    <w:rsid w:val="00AE02C0"/>
    <w:rsid w:val="00AE77A2"/>
    <w:rsid w:val="00AE7CEF"/>
    <w:rsid w:val="00AF2126"/>
    <w:rsid w:val="00AF4C8A"/>
    <w:rsid w:val="00AF6AF5"/>
    <w:rsid w:val="00B002CE"/>
    <w:rsid w:val="00B00861"/>
    <w:rsid w:val="00B01D77"/>
    <w:rsid w:val="00B05176"/>
    <w:rsid w:val="00B105D0"/>
    <w:rsid w:val="00B1101E"/>
    <w:rsid w:val="00B11F91"/>
    <w:rsid w:val="00B1359B"/>
    <w:rsid w:val="00B15508"/>
    <w:rsid w:val="00B15D92"/>
    <w:rsid w:val="00B1793A"/>
    <w:rsid w:val="00B17C3E"/>
    <w:rsid w:val="00B22B92"/>
    <w:rsid w:val="00B262F7"/>
    <w:rsid w:val="00B308F7"/>
    <w:rsid w:val="00B3152D"/>
    <w:rsid w:val="00B3176C"/>
    <w:rsid w:val="00B33BA6"/>
    <w:rsid w:val="00B34949"/>
    <w:rsid w:val="00B36B8E"/>
    <w:rsid w:val="00B37D5D"/>
    <w:rsid w:val="00B407D1"/>
    <w:rsid w:val="00B46E1D"/>
    <w:rsid w:val="00B504B5"/>
    <w:rsid w:val="00B51AB6"/>
    <w:rsid w:val="00B51D44"/>
    <w:rsid w:val="00B53106"/>
    <w:rsid w:val="00B53EFF"/>
    <w:rsid w:val="00B564C9"/>
    <w:rsid w:val="00B61E80"/>
    <w:rsid w:val="00B704CE"/>
    <w:rsid w:val="00B71C21"/>
    <w:rsid w:val="00B723CA"/>
    <w:rsid w:val="00B74CC9"/>
    <w:rsid w:val="00B778AA"/>
    <w:rsid w:val="00B82619"/>
    <w:rsid w:val="00B8302B"/>
    <w:rsid w:val="00B8325C"/>
    <w:rsid w:val="00B855B9"/>
    <w:rsid w:val="00B85F71"/>
    <w:rsid w:val="00B86D8C"/>
    <w:rsid w:val="00B91D00"/>
    <w:rsid w:val="00B96624"/>
    <w:rsid w:val="00BA06B3"/>
    <w:rsid w:val="00BA2909"/>
    <w:rsid w:val="00BA4179"/>
    <w:rsid w:val="00BA67FD"/>
    <w:rsid w:val="00BA696D"/>
    <w:rsid w:val="00BA6E60"/>
    <w:rsid w:val="00BA71A7"/>
    <w:rsid w:val="00BB4D03"/>
    <w:rsid w:val="00BB5594"/>
    <w:rsid w:val="00BB5FF4"/>
    <w:rsid w:val="00BC2615"/>
    <w:rsid w:val="00BC32C2"/>
    <w:rsid w:val="00BC7338"/>
    <w:rsid w:val="00BD3055"/>
    <w:rsid w:val="00BD60E4"/>
    <w:rsid w:val="00BD6A9D"/>
    <w:rsid w:val="00BD6B3E"/>
    <w:rsid w:val="00BE0E09"/>
    <w:rsid w:val="00BE105C"/>
    <w:rsid w:val="00BE2894"/>
    <w:rsid w:val="00BE5728"/>
    <w:rsid w:val="00BE7454"/>
    <w:rsid w:val="00BF083E"/>
    <w:rsid w:val="00BF250E"/>
    <w:rsid w:val="00BF310C"/>
    <w:rsid w:val="00BF45C4"/>
    <w:rsid w:val="00BF483F"/>
    <w:rsid w:val="00BF5D28"/>
    <w:rsid w:val="00BF6A8C"/>
    <w:rsid w:val="00BF76C2"/>
    <w:rsid w:val="00C00FAB"/>
    <w:rsid w:val="00C03C14"/>
    <w:rsid w:val="00C06D99"/>
    <w:rsid w:val="00C06F2D"/>
    <w:rsid w:val="00C07422"/>
    <w:rsid w:val="00C10626"/>
    <w:rsid w:val="00C12A30"/>
    <w:rsid w:val="00C168C5"/>
    <w:rsid w:val="00C178DB"/>
    <w:rsid w:val="00C31A12"/>
    <w:rsid w:val="00C31E55"/>
    <w:rsid w:val="00C41320"/>
    <w:rsid w:val="00C43AA2"/>
    <w:rsid w:val="00C44223"/>
    <w:rsid w:val="00C530AF"/>
    <w:rsid w:val="00C53759"/>
    <w:rsid w:val="00C670B4"/>
    <w:rsid w:val="00C706AC"/>
    <w:rsid w:val="00C7151B"/>
    <w:rsid w:val="00C71748"/>
    <w:rsid w:val="00C74780"/>
    <w:rsid w:val="00C74CDD"/>
    <w:rsid w:val="00C810CA"/>
    <w:rsid w:val="00C91DDF"/>
    <w:rsid w:val="00C922A7"/>
    <w:rsid w:val="00CB0E5D"/>
    <w:rsid w:val="00CB1449"/>
    <w:rsid w:val="00CB1A07"/>
    <w:rsid w:val="00CB1D2B"/>
    <w:rsid w:val="00CB35A3"/>
    <w:rsid w:val="00CB507A"/>
    <w:rsid w:val="00CB641F"/>
    <w:rsid w:val="00CB68BD"/>
    <w:rsid w:val="00CC0D42"/>
    <w:rsid w:val="00CC0F37"/>
    <w:rsid w:val="00CC776B"/>
    <w:rsid w:val="00CD2AD0"/>
    <w:rsid w:val="00CD36D1"/>
    <w:rsid w:val="00CD4216"/>
    <w:rsid w:val="00CE3BCD"/>
    <w:rsid w:val="00CE586E"/>
    <w:rsid w:val="00CE598D"/>
    <w:rsid w:val="00CE60D3"/>
    <w:rsid w:val="00CE7542"/>
    <w:rsid w:val="00CF28E8"/>
    <w:rsid w:val="00CF3F30"/>
    <w:rsid w:val="00CF7C9B"/>
    <w:rsid w:val="00D011ED"/>
    <w:rsid w:val="00D02249"/>
    <w:rsid w:val="00D02B68"/>
    <w:rsid w:val="00D02D32"/>
    <w:rsid w:val="00D05C2C"/>
    <w:rsid w:val="00D11CBC"/>
    <w:rsid w:val="00D12B3C"/>
    <w:rsid w:val="00D1624B"/>
    <w:rsid w:val="00D16E18"/>
    <w:rsid w:val="00D21B5A"/>
    <w:rsid w:val="00D264E4"/>
    <w:rsid w:val="00D33FC3"/>
    <w:rsid w:val="00D36F04"/>
    <w:rsid w:val="00D37615"/>
    <w:rsid w:val="00D407CB"/>
    <w:rsid w:val="00D40A27"/>
    <w:rsid w:val="00D40DED"/>
    <w:rsid w:val="00D41BBA"/>
    <w:rsid w:val="00D43E54"/>
    <w:rsid w:val="00D44270"/>
    <w:rsid w:val="00D47914"/>
    <w:rsid w:val="00D53C8A"/>
    <w:rsid w:val="00D54ECB"/>
    <w:rsid w:val="00D55118"/>
    <w:rsid w:val="00D55534"/>
    <w:rsid w:val="00D56C11"/>
    <w:rsid w:val="00D576EF"/>
    <w:rsid w:val="00D63E18"/>
    <w:rsid w:val="00D674F3"/>
    <w:rsid w:val="00D71270"/>
    <w:rsid w:val="00D727F3"/>
    <w:rsid w:val="00D75BF8"/>
    <w:rsid w:val="00D86BB6"/>
    <w:rsid w:val="00D9111F"/>
    <w:rsid w:val="00D9339C"/>
    <w:rsid w:val="00D934FC"/>
    <w:rsid w:val="00D97358"/>
    <w:rsid w:val="00DA26FC"/>
    <w:rsid w:val="00DB07D0"/>
    <w:rsid w:val="00DB1CF9"/>
    <w:rsid w:val="00DB5890"/>
    <w:rsid w:val="00DC1C10"/>
    <w:rsid w:val="00DC4544"/>
    <w:rsid w:val="00DC4914"/>
    <w:rsid w:val="00DC56E7"/>
    <w:rsid w:val="00DD476E"/>
    <w:rsid w:val="00DD4F8B"/>
    <w:rsid w:val="00DD5A22"/>
    <w:rsid w:val="00DD66FF"/>
    <w:rsid w:val="00DD7441"/>
    <w:rsid w:val="00DE2A42"/>
    <w:rsid w:val="00DE2C29"/>
    <w:rsid w:val="00DE38CF"/>
    <w:rsid w:val="00DE455A"/>
    <w:rsid w:val="00DE4610"/>
    <w:rsid w:val="00DE593C"/>
    <w:rsid w:val="00DF25EB"/>
    <w:rsid w:val="00E01E63"/>
    <w:rsid w:val="00E05F69"/>
    <w:rsid w:val="00E06D09"/>
    <w:rsid w:val="00E12F21"/>
    <w:rsid w:val="00E1343E"/>
    <w:rsid w:val="00E14B2C"/>
    <w:rsid w:val="00E1530D"/>
    <w:rsid w:val="00E16AA6"/>
    <w:rsid w:val="00E20363"/>
    <w:rsid w:val="00E2184B"/>
    <w:rsid w:val="00E22777"/>
    <w:rsid w:val="00E238B0"/>
    <w:rsid w:val="00E24506"/>
    <w:rsid w:val="00E24DE5"/>
    <w:rsid w:val="00E25EC3"/>
    <w:rsid w:val="00E263E9"/>
    <w:rsid w:val="00E26C49"/>
    <w:rsid w:val="00E30441"/>
    <w:rsid w:val="00E305CE"/>
    <w:rsid w:val="00E30E02"/>
    <w:rsid w:val="00E33DD9"/>
    <w:rsid w:val="00E343EA"/>
    <w:rsid w:val="00E34983"/>
    <w:rsid w:val="00E36625"/>
    <w:rsid w:val="00E42FF8"/>
    <w:rsid w:val="00E4347F"/>
    <w:rsid w:val="00E435DE"/>
    <w:rsid w:val="00E50F7E"/>
    <w:rsid w:val="00E521D7"/>
    <w:rsid w:val="00E56D46"/>
    <w:rsid w:val="00E60E52"/>
    <w:rsid w:val="00E62193"/>
    <w:rsid w:val="00E6292A"/>
    <w:rsid w:val="00E70E20"/>
    <w:rsid w:val="00E74153"/>
    <w:rsid w:val="00E74716"/>
    <w:rsid w:val="00E755BD"/>
    <w:rsid w:val="00E82721"/>
    <w:rsid w:val="00E82DB0"/>
    <w:rsid w:val="00E84012"/>
    <w:rsid w:val="00E912F0"/>
    <w:rsid w:val="00E91EF6"/>
    <w:rsid w:val="00E93617"/>
    <w:rsid w:val="00E95D2A"/>
    <w:rsid w:val="00E95FAC"/>
    <w:rsid w:val="00E97133"/>
    <w:rsid w:val="00EA1B8E"/>
    <w:rsid w:val="00EB0AE2"/>
    <w:rsid w:val="00EB2449"/>
    <w:rsid w:val="00EB309A"/>
    <w:rsid w:val="00EB54B8"/>
    <w:rsid w:val="00EB707B"/>
    <w:rsid w:val="00EC30C5"/>
    <w:rsid w:val="00EC64EA"/>
    <w:rsid w:val="00ED18A6"/>
    <w:rsid w:val="00ED4029"/>
    <w:rsid w:val="00EE1D9E"/>
    <w:rsid w:val="00EE7346"/>
    <w:rsid w:val="00EF0033"/>
    <w:rsid w:val="00EF21DF"/>
    <w:rsid w:val="00EF3012"/>
    <w:rsid w:val="00EF66B3"/>
    <w:rsid w:val="00F000AD"/>
    <w:rsid w:val="00F04E78"/>
    <w:rsid w:val="00F12729"/>
    <w:rsid w:val="00F13023"/>
    <w:rsid w:val="00F143F9"/>
    <w:rsid w:val="00F156FF"/>
    <w:rsid w:val="00F22856"/>
    <w:rsid w:val="00F251D0"/>
    <w:rsid w:val="00F2556E"/>
    <w:rsid w:val="00F26592"/>
    <w:rsid w:val="00F273D0"/>
    <w:rsid w:val="00F31905"/>
    <w:rsid w:val="00F32EE8"/>
    <w:rsid w:val="00F34214"/>
    <w:rsid w:val="00F365D5"/>
    <w:rsid w:val="00F37E17"/>
    <w:rsid w:val="00F408C0"/>
    <w:rsid w:val="00F42F0B"/>
    <w:rsid w:val="00F44614"/>
    <w:rsid w:val="00F457FA"/>
    <w:rsid w:val="00F5030D"/>
    <w:rsid w:val="00F51217"/>
    <w:rsid w:val="00F54F7B"/>
    <w:rsid w:val="00F626D7"/>
    <w:rsid w:val="00F643F4"/>
    <w:rsid w:val="00F65CF8"/>
    <w:rsid w:val="00F668DA"/>
    <w:rsid w:val="00F675D5"/>
    <w:rsid w:val="00F73290"/>
    <w:rsid w:val="00F7346D"/>
    <w:rsid w:val="00F767BB"/>
    <w:rsid w:val="00F84881"/>
    <w:rsid w:val="00F85003"/>
    <w:rsid w:val="00F8597A"/>
    <w:rsid w:val="00F86145"/>
    <w:rsid w:val="00F87F2A"/>
    <w:rsid w:val="00F904FD"/>
    <w:rsid w:val="00F90F3D"/>
    <w:rsid w:val="00F945FD"/>
    <w:rsid w:val="00F9499D"/>
    <w:rsid w:val="00F952DD"/>
    <w:rsid w:val="00F953DC"/>
    <w:rsid w:val="00FA46C6"/>
    <w:rsid w:val="00FB65EC"/>
    <w:rsid w:val="00FB7CCC"/>
    <w:rsid w:val="00FC26AC"/>
    <w:rsid w:val="00FC378A"/>
    <w:rsid w:val="00FC68CD"/>
    <w:rsid w:val="00FE4E4E"/>
    <w:rsid w:val="00FE5BF8"/>
    <w:rsid w:val="00FE726D"/>
    <w:rsid w:val="00FF1037"/>
    <w:rsid w:val="00FF25C4"/>
    <w:rsid w:val="00FF312A"/>
    <w:rsid w:val="00FF7C9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A395E"/>
  <w15:docId w15:val="{4EFD6AB9-969C-4087-85BD-57E91480F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00AD"/>
  </w:style>
  <w:style w:type="paragraph" w:styleId="Titlu1">
    <w:name w:val="heading 1"/>
    <w:basedOn w:val="Normal"/>
    <w:next w:val="Normal"/>
    <w:link w:val="Titlu1Caracter"/>
    <w:uiPriority w:val="9"/>
    <w:qFormat/>
    <w:rsid w:val="004C7DC8"/>
    <w:pPr>
      <w:keepNext/>
      <w:numPr>
        <w:numId w:val="21"/>
      </w:numPr>
      <w:spacing w:before="360" w:after="120" w:line="240" w:lineRule="auto"/>
      <w:jc w:val="both"/>
      <w:outlineLvl w:val="0"/>
    </w:pPr>
    <w:rPr>
      <w:rFonts w:ascii="Times New Roman" w:eastAsia="Calibri" w:hAnsi="Times New Roman" w:cs="Arial"/>
      <w:b/>
      <w:smallCaps/>
      <w:sz w:val="24"/>
      <w:lang w:val="en-US"/>
    </w:rPr>
  </w:style>
  <w:style w:type="paragraph" w:styleId="Titlu2">
    <w:name w:val="heading 2"/>
    <w:basedOn w:val="Normal"/>
    <w:next w:val="Normal"/>
    <w:link w:val="Titlu2Caracter"/>
    <w:uiPriority w:val="9"/>
    <w:semiHidden/>
    <w:unhideWhenUsed/>
    <w:qFormat/>
    <w:rsid w:val="004C7DC8"/>
    <w:pPr>
      <w:keepNext/>
      <w:numPr>
        <w:ilvl w:val="1"/>
        <w:numId w:val="21"/>
      </w:numPr>
      <w:spacing w:before="120" w:after="120" w:line="240" w:lineRule="auto"/>
      <w:jc w:val="both"/>
      <w:outlineLvl w:val="1"/>
    </w:pPr>
    <w:rPr>
      <w:rFonts w:ascii="Times New Roman" w:eastAsia="Calibri" w:hAnsi="Times New Roman" w:cs="Arial"/>
      <w:b/>
      <w:sz w:val="24"/>
      <w:lang w:val="en-US"/>
    </w:rPr>
  </w:style>
  <w:style w:type="paragraph" w:styleId="Titlu3">
    <w:name w:val="heading 3"/>
    <w:basedOn w:val="Normal"/>
    <w:next w:val="Normal"/>
    <w:link w:val="Titlu3Caracter"/>
    <w:uiPriority w:val="9"/>
    <w:semiHidden/>
    <w:unhideWhenUsed/>
    <w:qFormat/>
    <w:rsid w:val="004C7DC8"/>
    <w:pPr>
      <w:keepNext/>
      <w:numPr>
        <w:ilvl w:val="2"/>
        <w:numId w:val="21"/>
      </w:numPr>
      <w:spacing w:before="120" w:after="120" w:line="240" w:lineRule="auto"/>
      <w:jc w:val="both"/>
      <w:outlineLvl w:val="2"/>
    </w:pPr>
    <w:rPr>
      <w:rFonts w:ascii="Times New Roman" w:eastAsia="Calibri" w:hAnsi="Times New Roman" w:cs="Arial"/>
      <w:i/>
      <w:sz w:val="24"/>
      <w:lang w:val="en-US"/>
    </w:rPr>
  </w:style>
  <w:style w:type="paragraph" w:styleId="Titlu4">
    <w:name w:val="heading 4"/>
    <w:basedOn w:val="Normal"/>
    <w:next w:val="Normal"/>
    <w:link w:val="Titlu4Caracter"/>
    <w:uiPriority w:val="9"/>
    <w:semiHidden/>
    <w:unhideWhenUsed/>
    <w:qFormat/>
    <w:rsid w:val="004C7DC8"/>
    <w:pPr>
      <w:keepNext/>
      <w:numPr>
        <w:ilvl w:val="3"/>
        <w:numId w:val="21"/>
      </w:numPr>
      <w:spacing w:before="120" w:after="120" w:line="240" w:lineRule="auto"/>
      <w:jc w:val="both"/>
      <w:outlineLvl w:val="3"/>
    </w:pPr>
    <w:rPr>
      <w:rFonts w:ascii="Times New Roman" w:eastAsia="Calibri" w:hAnsi="Times New Roman" w:cs="Arial"/>
      <w:sz w:val="24"/>
      <w:lang w:val="en-US"/>
    </w:rPr>
  </w:style>
  <w:style w:type="paragraph" w:styleId="Titlu5">
    <w:name w:val="heading 5"/>
    <w:basedOn w:val="Normal"/>
    <w:next w:val="Normal"/>
    <w:link w:val="Titlu5Caracter"/>
    <w:semiHidden/>
    <w:unhideWhenUsed/>
    <w:qFormat/>
    <w:rsid w:val="004C7DC8"/>
    <w:pPr>
      <w:spacing w:before="240" w:after="60" w:line="240" w:lineRule="auto"/>
      <w:jc w:val="both"/>
      <w:outlineLvl w:val="4"/>
    </w:pPr>
    <w:rPr>
      <w:rFonts w:ascii="Arial" w:eastAsia="Calibri" w:hAnsi="Arial" w:cs="Arial"/>
      <w:lang w:val="en-US"/>
    </w:rPr>
  </w:style>
  <w:style w:type="paragraph" w:styleId="Titlu6">
    <w:name w:val="heading 6"/>
    <w:basedOn w:val="Normal"/>
    <w:next w:val="Normal"/>
    <w:link w:val="Titlu6Caracter"/>
    <w:semiHidden/>
    <w:unhideWhenUsed/>
    <w:qFormat/>
    <w:rsid w:val="004C7DC8"/>
    <w:pPr>
      <w:spacing w:before="240" w:after="60" w:line="240" w:lineRule="auto"/>
      <w:jc w:val="both"/>
      <w:outlineLvl w:val="5"/>
    </w:pPr>
    <w:rPr>
      <w:rFonts w:ascii="Arial" w:eastAsia="Calibri" w:hAnsi="Arial" w:cs="Arial"/>
      <w:i/>
      <w:lang w:val="en-US"/>
    </w:rPr>
  </w:style>
  <w:style w:type="paragraph" w:styleId="Titlu7">
    <w:name w:val="heading 7"/>
    <w:basedOn w:val="Normal"/>
    <w:next w:val="Normal"/>
    <w:link w:val="Titlu7Caracter"/>
    <w:semiHidden/>
    <w:unhideWhenUsed/>
    <w:qFormat/>
    <w:rsid w:val="004C7DC8"/>
    <w:pPr>
      <w:spacing w:before="240" w:after="60" w:line="240" w:lineRule="auto"/>
      <w:jc w:val="both"/>
      <w:outlineLvl w:val="6"/>
    </w:pPr>
    <w:rPr>
      <w:rFonts w:ascii="Arial" w:eastAsia="Calibri" w:hAnsi="Arial" w:cs="Arial"/>
      <w:sz w:val="20"/>
      <w:lang w:val="en-US"/>
    </w:rPr>
  </w:style>
  <w:style w:type="paragraph" w:styleId="Titlu8">
    <w:name w:val="heading 8"/>
    <w:basedOn w:val="Normal"/>
    <w:next w:val="Normal"/>
    <w:link w:val="Titlu8Caracter"/>
    <w:semiHidden/>
    <w:unhideWhenUsed/>
    <w:qFormat/>
    <w:rsid w:val="004C7DC8"/>
    <w:pPr>
      <w:spacing w:before="240" w:after="60" w:line="240" w:lineRule="auto"/>
      <w:jc w:val="both"/>
      <w:outlineLvl w:val="7"/>
    </w:pPr>
    <w:rPr>
      <w:rFonts w:ascii="Arial" w:eastAsia="Calibri" w:hAnsi="Arial" w:cs="Arial"/>
      <w:i/>
      <w:sz w:val="20"/>
      <w:lang w:val="en-US"/>
    </w:rPr>
  </w:style>
  <w:style w:type="paragraph" w:styleId="Titlu9">
    <w:name w:val="heading 9"/>
    <w:basedOn w:val="Normal"/>
    <w:next w:val="Normal"/>
    <w:link w:val="Titlu9Caracter"/>
    <w:semiHidden/>
    <w:unhideWhenUsed/>
    <w:qFormat/>
    <w:rsid w:val="004C7DC8"/>
    <w:pPr>
      <w:spacing w:before="240" w:after="60" w:line="240" w:lineRule="auto"/>
      <w:jc w:val="both"/>
      <w:outlineLvl w:val="8"/>
    </w:pPr>
    <w:rPr>
      <w:rFonts w:ascii="Arial" w:eastAsia="Calibri" w:hAnsi="Arial" w:cs="Arial"/>
      <w:i/>
      <w:sz w:val="18"/>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otdesubsol">
    <w:name w:val="footnote text"/>
    <w:aliases w:val="Footnote Text Char1 Char Char,Footnote Text Char Char Char Char,Footnote Text Char Char Char Char Char Char Char Char,Footnote Text Char Char1,Schriftart: 9 pt,f,Schriftart: 10 pt,Schriftart: 8 pt,WB-Fußnotentext,FoodNote,ft,Fußnote"/>
    <w:basedOn w:val="Normal"/>
    <w:link w:val="TextnotdesubsolCaracter"/>
    <w:unhideWhenUsed/>
    <w:qFormat/>
    <w:rsid w:val="00F000AD"/>
    <w:pPr>
      <w:spacing w:after="0" w:line="240" w:lineRule="auto"/>
    </w:pPr>
    <w:rPr>
      <w:sz w:val="20"/>
      <w:szCs w:val="20"/>
    </w:rPr>
  </w:style>
  <w:style w:type="character" w:customStyle="1" w:styleId="TextnotdesubsolCaracter">
    <w:name w:val="Text notă de subsol Caracter"/>
    <w:aliases w:val="Footnote Text Char1 Char Char Caracter,Footnote Text Char Char Char Char Caracter,Footnote Text Char Char Char Char Char Char Char Char Caracter,Footnote Text Char Char1 Caracter,Schriftart: 9 pt Caracter,f Caracter"/>
    <w:basedOn w:val="Fontdeparagrafimplicit"/>
    <w:link w:val="Textnotdesubsol"/>
    <w:qFormat/>
    <w:rsid w:val="00F000AD"/>
    <w:rPr>
      <w:sz w:val="20"/>
      <w:szCs w:val="20"/>
    </w:rPr>
  </w:style>
  <w:style w:type="character" w:styleId="Referinnotdesubsol">
    <w:name w:val="footnote reference"/>
    <w:aliases w:val="Footnote call,BVI fnr,SUPERS,Footnote symbol,(Footnote Reference),Footnote,Voetnootverwijzing,Times 10 Point,Exposant 3 Point,Footnote reference number,note TESI,stylish,Ref,de nota al pie,Footnote Reference1,16 Point,fr,o,FR"/>
    <w:basedOn w:val="Fontdeparagrafimplicit"/>
    <w:link w:val="ftrefCaracterCaracterCaracter"/>
    <w:uiPriority w:val="99"/>
    <w:unhideWhenUsed/>
    <w:qFormat/>
    <w:rsid w:val="00F000AD"/>
    <w:rPr>
      <w:b/>
      <w:shd w:val="clear" w:color="auto" w:fill="auto"/>
      <w:vertAlign w:val="superscript"/>
    </w:rPr>
  </w:style>
  <w:style w:type="table" w:customStyle="1" w:styleId="TableGrid1">
    <w:name w:val="Table Grid1"/>
    <w:basedOn w:val="TabelNormal"/>
    <w:next w:val="Tabelgril"/>
    <w:uiPriority w:val="59"/>
    <w:unhideWhenUsed/>
    <w:rsid w:val="00F000A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
    <w:name w:val="Table Grid"/>
    <w:basedOn w:val="TabelNormal"/>
    <w:uiPriority w:val="59"/>
    <w:rsid w:val="00F000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basedOn w:val="Normal"/>
    <w:link w:val="AntetCaracter"/>
    <w:uiPriority w:val="99"/>
    <w:unhideWhenUsed/>
    <w:rsid w:val="00F000AD"/>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000AD"/>
  </w:style>
  <w:style w:type="paragraph" w:customStyle="1" w:styleId="FooterCouncil">
    <w:name w:val="Footer Council"/>
    <w:basedOn w:val="Normal"/>
    <w:link w:val="FooterCouncilChar"/>
    <w:rsid w:val="00F000AD"/>
    <w:pPr>
      <w:spacing w:after="0" w:line="240" w:lineRule="auto"/>
    </w:pPr>
    <w:rPr>
      <w:rFonts w:ascii="Times New Roman" w:hAnsi="Times New Roman" w:cs="Times New Roman"/>
      <w:sz w:val="2"/>
      <w:lang w:val="en-GB"/>
    </w:rPr>
  </w:style>
  <w:style w:type="character" w:customStyle="1" w:styleId="FooterCouncilChar">
    <w:name w:val="Footer Council Char"/>
    <w:link w:val="FooterCouncil"/>
    <w:locked/>
    <w:rsid w:val="00F000AD"/>
    <w:rPr>
      <w:rFonts w:ascii="Times New Roman" w:hAnsi="Times New Roman" w:cs="Times New Roman"/>
      <w:sz w:val="2"/>
      <w:lang w:val="en-GB"/>
    </w:rPr>
  </w:style>
  <w:style w:type="paragraph" w:customStyle="1" w:styleId="FooterText">
    <w:name w:val="Footer Text"/>
    <w:basedOn w:val="Normal"/>
    <w:rsid w:val="00F000AD"/>
    <w:pPr>
      <w:spacing w:after="0" w:line="240" w:lineRule="auto"/>
    </w:pPr>
    <w:rPr>
      <w:rFonts w:ascii="Times New Roman" w:eastAsia="Times New Roman" w:hAnsi="Times New Roman" w:cs="Times New Roman"/>
      <w:sz w:val="24"/>
      <w:szCs w:val="24"/>
      <w:lang w:val="en-GB"/>
    </w:rPr>
  </w:style>
  <w:style w:type="character" w:customStyle="1" w:styleId="Titlu1Caracter">
    <w:name w:val="Titlu 1 Caracter"/>
    <w:basedOn w:val="Fontdeparagrafimplicit"/>
    <w:link w:val="Titlu1"/>
    <w:uiPriority w:val="9"/>
    <w:rsid w:val="004C7DC8"/>
    <w:rPr>
      <w:rFonts w:ascii="Times New Roman" w:eastAsia="Calibri" w:hAnsi="Times New Roman" w:cs="Arial"/>
      <w:b/>
      <w:smallCaps/>
      <w:sz w:val="24"/>
      <w:lang w:val="en-US"/>
    </w:rPr>
  </w:style>
  <w:style w:type="character" w:customStyle="1" w:styleId="Titlu2Caracter">
    <w:name w:val="Titlu 2 Caracter"/>
    <w:basedOn w:val="Fontdeparagrafimplicit"/>
    <w:link w:val="Titlu2"/>
    <w:uiPriority w:val="9"/>
    <w:semiHidden/>
    <w:rsid w:val="004C7DC8"/>
    <w:rPr>
      <w:rFonts w:ascii="Times New Roman" w:eastAsia="Calibri" w:hAnsi="Times New Roman" w:cs="Arial"/>
      <w:b/>
      <w:sz w:val="24"/>
      <w:lang w:val="en-US"/>
    </w:rPr>
  </w:style>
  <w:style w:type="character" w:customStyle="1" w:styleId="Titlu3Caracter">
    <w:name w:val="Titlu 3 Caracter"/>
    <w:basedOn w:val="Fontdeparagrafimplicit"/>
    <w:link w:val="Titlu3"/>
    <w:uiPriority w:val="9"/>
    <w:semiHidden/>
    <w:rsid w:val="004C7DC8"/>
    <w:rPr>
      <w:rFonts w:ascii="Times New Roman" w:eastAsia="Calibri" w:hAnsi="Times New Roman" w:cs="Arial"/>
      <w:i/>
      <w:sz w:val="24"/>
      <w:lang w:val="en-US"/>
    </w:rPr>
  </w:style>
  <w:style w:type="character" w:customStyle="1" w:styleId="Titlu4Caracter">
    <w:name w:val="Titlu 4 Caracter"/>
    <w:basedOn w:val="Fontdeparagrafimplicit"/>
    <w:link w:val="Titlu4"/>
    <w:uiPriority w:val="9"/>
    <w:semiHidden/>
    <w:rsid w:val="004C7DC8"/>
    <w:rPr>
      <w:rFonts w:ascii="Times New Roman" w:eastAsia="Calibri" w:hAnsi="Times New Roman" w:cs="Arial"/>
      <w:sz w:val="24"/>
      <w:lang w:val="en-US"/>
    </w:rPr>
  </w:style>
  <w:style w:type="character" w:customStyle="1" w:styleId="Titlu5Caracter">
    <w:name w:val="Titlu 5 Caracter"/>
    <w:basedOn w:val="Fontdeparagrafimplicit"/>
    <w:link w:val="Titlu5"/>
    <w:semiHidden/>
    <w:rsid w:val="004C7DC8"/>
    <w:rPr>
      <w:rFonts w:ascii="Arial" w:eastAsia="Calibri" w:hAnsi="Arial" w:cs="Arial"/>
      <w:lang w:val="en-US"/>
    </w:rPr>
  </w:style>
  <w:style w:type="character" w:customStyle="1" w:styleId="Titlu6Caracter">
    <w:name w:val="Titlu 6 Caracter"/>
    <w:basedOn w:val="Fontdeparagrafimplicit"/>
    <w:link w:val="Titlu6"/>
    <w:semiHidden/>
    <w:rsid w:val="004C7DC8"/>
    <w:rPr>
      <w:rFonts w:ascii="Arial" w:eastAsia="Calibri" w:hAnsi="Arial" w:cs="Arial"/>
      <w:i/>
      <w:lang w:val="en-US"/>
    </w:rPr>
  </w:style>
  <w:style w:type="character" w:customStyle="1" w:styleId="Titlu7Caracter">
    <w:name w:val="Titlu 7 Caracter"/>
    <w:basedOn w:val="Fontdeparagrafimplicit"/>
    <w:link w:val="Titlu7"/>
    <w:semiHidden/>
    <w:rsid w:val="004C7DC8"/>
    <w:rPr>
      <w:rFonts w:ascii="Arial" w:eastAsia="Calibri" w:hAnsi="Arial" w:cs="Arial"/>
      <w:sz w:val="20"/>
      <w:lang w:val="en-US"/>
    </w:rPr>
  </w:style>
  <w:style w:type="character" w:customStyle="1" w:styleId="Titlu8Caracter">
    <w:name w:val="Titlu 8 Caracter"/>
    <w:basedOn w:val="Fontdeparagrafimplicit"/>
    <w:link w:val="Titlu8"/>
    <w:semiHidden/>
    <w:rsid w:val="004C7DC8"/>
    <w:rPr>
      <w:rFonts w:ascii="Arial" w:eastAsia="Calibri" w:hAnsi="Arial" w:cs="Arial"/>
      <w:i/>
      <w:sz w:val="20"/>
      <w:lang w:val="en-US"/>
    </w:rPr>
  </w:style>
  <w:style w:type="character" w:customStyle="1" w:styleId="Titlu9Caracter">
    <w:name w:val="Titlu 9 Caracter"/>
    <w:basedOn w:val="Fontdeparagrafimplicit"/>
    <w:link w:val="Titlu9"/>
    <w:semiHidden/>
    <w:rsid w:val="004C7DC8"/>
    <w:rPr>
      <w:rFonts w:ascii="Arial" w:eastAsia="Calibri" w:hAnsi="Arial" w:cs="Arial"/>
      <w:i/>
      <w:sz w:val="18"/>
      <w:lang w:val="en-US"/>
    </w:rPr>
  </w:style>
  <w:style w:type="numbering" w:customStyle="1" w:styleId="NoList1">
    <w:name w:val="No List1"/>
    <w:next w:val="FrListare"/>
    <w:uiPriority w:val="99"/>
    <w:semiHidden/>
    <w:unhideWhenUsed/>
    <w:rsid w:val="004C7DC8"/>
  </w:style>
  <w:style w:type="paragraph" w:styleId="Subsol">
    <w:name w:val="footer"/>
    <w:basedOn w:val="Normal"/>
    <w:link w:val="SubsolCaracter"/>
    <w:uiPriority w:val="99"/>
    <w:unhideWhenUsed/>
    <w:rsid w:val="004C7DC8"/>
    <w:pPr>
      <w:tabs>
        <w:tab w:val="center" w:pos="4819"/>
        <w:tab w:val="center" w:pos="7370"/>
        <w:tab w:val="right" w:pos="9638"/>
      </w:tabs>
      <w:spacing w:after="0" w:line="240" w:lineRule="auto"/>
    </w:pPr>
    <w:rPr>
      <w:rFonts w:ascii="Times New Roman" w:hAnsi="Times New Roman" w:cs="Times New Roman"/>
      <w:sz w:val="24"/>
      <w:lang w:val="en-GB"/>
    </w:rPr>
  </w:style>
  <w:style w:type="character" w:customStyle="1" w:styleId="SubsolCaracter">
    <w:name w:val="Subsol Caracter"/>
    <w:basedOn w:val="Fontdeparagrafimplicit"/>
    <w:link w:val="Subsol"/>
    <w:uiPriority w:val="99"/>
    <w:rsid w:val="004C7DC8"/>
    <w:rPr>
      <w:rFonts w:ascii="Times New Roman" w:hAnsi="Times New Roman" w:cs="Times New Roman"/>
      <w:sz w:val="24"/>
      <w:lang w:val="en-GB"/>
    </w:rPr>
  </w:style>
  <w:style w:type="paragraph" w:customStyle="1" w:styleId="NormalCentered">
    <w:name w:val="Normal Centered"/>
    <w:basedOn w:val="Normal"/>
    <w:rsid w:val="004C7DC8"/>
    <w:pPr>
      <w:spacing w:before="200" w:after="120" w:line="360" w:lineRule="auto"/>
      <w:jc w:val="center"/>
    </w:pPr>
    <w:rPr>
      <w:rFonts w:ascii="Times New Roman" w:hAnsi="Times New Roman" w:cs="Times New Roman"/>
      <w:sz w:val="24"/>
      <w:lang w:val="en-GB"/>
    </w:rPr>
  </w:style>
  <w:style w:type="paragraph" w:customStyle="1" w:styleId="NormalRight">
    <w:name w:val="Normal Right"/>
    <w:basedOn w:val="Normal"/>
    <w:rsid w:val="004C7DC8"/>
    <w:pPr>
      <w:spacing w:before="200" w:after="120" w:line="360" w:lineRule="auto"/>
      <w:jc w:val="right"/>
    </w:pPr>
    <w:rPr>
      <w:rFonts w:ascii="Times New Roman" w:hAnsi="Times New Roman" w:cs="Times New Roman"/>
      <w:sz w:val="24"/>
      <w:lang w:val="en-GB"/>
    </w:rPr>
  </w:style>
  <w:style w:type="paragraph" w:customStyle="1" w:styleId="NormalJustified">
    <w:name w:val="Normal Justified"/>
    <w:basedOn w:val="Normal"/>
    <w:rsid w:val="004C7DC8"/>
    <w:pPr>
      <w:spacing w:before="200" w:after="120" w:line="360" w:lineRule="auto"/>
      <w:jc w:val="both"/>
    </w:pPr>
    <w:rPr>
      <w:rFonts w:ascii="Times New Roman" w:hAnsi="Times New Roman" w:cs="Times New Roman"/>
      <w:sz w:val="24"/>
      <w:lang w:val="en-GB"/>
    </w:rPr>
  </w:style>
  <w:style w:type="paragraph" w:customStyle="1" w:styleId="HeaderLandscape">
    <w:name w:val="HeaderLandscape"/>
    <w:basedOn w:val="Normal"/>
    <w:rsid w:val="004C7DC8"/>
    <w:pPr>
      <w:tabs>
        <w:tab w:val="right" w:pos="14570"/>
      </w:tabs>
      <w:spacing w:before="120" w:after="120" w:line="360" w:lineRule="auto"/>
    </w:pPr>
    <w:rPr>
      <w:rFonts w:ascii="Times New Roman" w:hAnsi="Times New Roman" w:cs="Times New Roman"/>
      <w:sz w:val="24"/>
      <w:lang w:val="en-GB"/>
    </w:rPr>
  </w:style>
  <w:style w:type="paragraph" w:customStyle="1" w:styleId="FooterLandscape">
    <w:name w:val="FooterLandscape"/>
    <w:basedOn w:val="Normal"/>
    <w:rsid w:val="004C7DC8"/>
    <w:pPr>
      <w:tabs>
        <w:tab w:val="center" w:pos="7285"/>
        <w:tab w:val="center" w:pos="10930"/>
        <w:tab w:val="right" w:pos="14570"/>
      </w:tabs>
      <w:spacing w:after="0" w:line="240" w:lineRule="auto"/>
    </w:pPr>
    <w:rPr>
      <w:rFonts w:ascii="Times New Roman" w:hAnsi="Times New Roman" w:cs="Times New Roman"/>
      <w:sz w:val="24"/>
      <w:lang w:val="en-GB"/>
    </w:rPr>
  </w:style>
  <w:style w:type="paragraph" w:customStyle="1" w:styleId="HeaderCouncil">
    <w:name w:val="Header Council"/>
    <w:basedOn w:val="Normal"/>
    <w:link w:val="HeaderCouncilChar"/>
    <w:rsid w:val="004C7DC8"/>
    <w:pPr>
      <w:spacing w:after="0" w:line="240" w:lineRule="auto"/>
    </w:pPr>
    <w:rPr>
      <w:rFonts w:ascii="Times New Roman" w:hAnsi="Times New Roman" w:cs="Times New Roman"/>
      <w:sz w:val="2"/>
      <w:lang w:val="en-GB"/>
    </w:rPr>
  </w:style>
  <w:style w:type="character" w:customStyle="1" w:styleId="HeaderCouncilChar">
    <w:name w:val="Header Council Char"/>
    <w:link w:val="HeaderCouncil"/>
    <w:locked/>
    <w:rsid w:val="004C7DC8"/>
    <w:rPr>
      <w:rFonts w:ascii="Times New Roman" w:hAnsi="Times New Roman" w:cs="Times New Roman"/>
      <w:sz w:val="2"/>
      <w:lang w:val="en-GB"/>
    </w:rPr>
  </w:style>
  <w:style w:type="paragraph" w:customStyle="1" w:styleId="TechnicalBlock">
    <w:name w:val="Technical Block"/>
    <w:basedOn w:val="Normal"/>
    <w:next w:val="Normal"/>
    <w:link w:val="TechnicalBlockChar"/>
    <w:rsid w:val="004C7DC8"/>
    <w:pPr>
      <w:spacing w:after="240" w:line="240" w:lineRule="auto"/>
      <w:jc w:val="center"/>
    </w:pPr>
    <w:rPr>
      <w:rFonts w:ascii="Times New Roman" w:hAnsi="Times New Roman" w:cs="Times New Roman"/>
      <w:sz w:val="24"/>
      <w:lang w:val="en-GB"/>
    </w:rPr>
  </w:style>
  <w:style w:type="character" w:customStyle="1" w:styleId="TechnicalBlockChar">
    <w:name w:val="Technical Block Char"/>
    <w:basedOn w:val="Fontdeparagrafimplicit"/>
    <w:link w:val="TechnicalBlock"/>
    <w:rsid w:val="004C7DC8"/>
    <w:rPr>
      <w:rFonts w:ascii="Times New Roman" w:hAnsi="Times New Roman" w:cs="Times New Roman"/>
      <w:sz w:val="24"/>
      <w:lang w:val="en-GB"/>
    </w:rPr>
  </w:style>
  <w:style w:type="paragraph" w:customStyle="1" w:styleId="FinalLine">
    <w:name w:val="Final Line"/>
    <w:basedOn w:val="Normal"/>
    <w:next w:val="Normal"/>
    <w:rsid w:val="004C7DC8"/>
    <w:pPr>
      <w:pBdr>
        <w:bottom w:val="single" w:sz="4" w:space="0" w:color="000000"/>
      </w:pBdr>
      <w:spacing w:before="360" w:after="120" w:line="360" w:lineRule="auto"/>
      <w:ind w:left="3400" w:right="3400"/>
      <w:jc w:val="center"/>
    </w:pPr>
    <w:rPr>
      <w:rFonts w:ascii="Times New Roman" w:hAnsi="Times New Roman" w:cs="Times New Roman"/>
      <w:b/>
      <w:sz w:val="24"/>
      <w:lang w:val="en-GB"/>
    </w:rPr>
  </w:style>
  <w:style w:type="paragraph" w:customStyle="1" w:styleId="FinalLineLandscape">
    <w:name w:val="Final Line (Landscape)"/>
    <w:basedOn w:val="Normal"/>
    <w:next w:val="Normal"/>
    <w:rsid w:val="004C7DC8"/>
    <w:pPr>
      <w:pBdr>
        <w:bottom w:val="single" w:sz="4" w:space="0" w:color="000000"/>
      </w:pBdr>
      <w:spacing w:before="360" w:after="120" w:line="360" w:lineRule="auto"/>
      <w:ind w:left="5868" w:right="5868"/>
      <w:jc w:val="center"/>
    </w:pPr>
    <w:rPr>
      <w:rFonts w:ascii="Times New Roman" w:hAnsi="Times New Roman" w:cs="Times New Roman"/>
      <w:b/>
      <w:sz w:val="24"/>
      <w:lang w:val="en-GB"/>
    </w:rPr>
  </w:style>
  <w:style w:type="paragraph" w:customStyle="1" w:styleId="Text1">
    <w:name w:val="Text 1"/>
    <w:basedOn w:val="Normal"/>
    <w:link w:val="Text1Char"/>
    <w:rsid w:val="004C7DC8"/>
    <w:pPr>
      <w:spacing w:before="120" w:after="120" w:line="360" w:lineRule="auto"/>
      <w:ind w:left="567"/>
    </w:pPr>
    <w:rPr>
      <w:rFonts w:ascii="Times New Roman" w:hAnsi="Times New Roman" w:cs="Times New Roman"/>
      <w:sz w:val="24"/>
      <w:lang w:val="en-GB"/>
    </w:rPr>
  </w:style>
  <w:style w:type="character" w:customStyle="1" w:styleId="Text1Char">
    <w:name w:val="Text 1 Char"/>
    <w:link w:val="Text1"/>
    <w:locked/>
    <w:rsid w:val="004C7DC8"/>
    <w:rPr>
      <w:rFonts w:ascii="Times New Roman" w:hAnsi="Times New Roman" w:cs="Times New Roman"/>
      <w:sz w:val="24"/>
      <w:lang w:val="en-GB"/>
    </w:rPr>
  </w:style>
  <w:style w:type="paragraph" w:customStyle="1" w:styleId="Text2">
    <w:name w:val="Text 2"/>
    <w:basedOn w:val="Normal"/>
    <w:rsid w:val="004C7DC8"/>
    <w:pPr>
      <w:spacing w:before="120" w:after="120" w:line="360" w:lineRule="auto"/>
      <w:ind w:left="1134"/>
    </w:pPr>
    <w:rPr>
      <w:rFonts w:ascii="Times New Roman" w:hAnsi="Times New Roman" w:cs="Times New Roman"/>
      <w:sz w:val="24"/>
      <w:lang w:val="en-GB"/>
    </w:rPr>
  </w:style>
  <w:style w:type="paragraph" w:customStyle="1" w:styleId="Text3">
    <w:name w:val="Text 3"/>
    <w:basedOn w:val="Normal"/>
    <w:rsid w:val="004C7DC8"/>
    <w:pPr>
      <w:spacing w:before="120" w:after="120" w:line="360" w:lineRule="auto"/>
      <w:ind w:left="1701"/>
    </w:pPr>
    <w:rPr>
      <w:rFonts w:ascii="Times New Roman" w:hAnsi="Times New Roman" w:cs="Times New Roman"/>
      <w:sz w:val="24"/>
      <w:lang w:val="en-GB"/>
    </w:rPr>
  </w:style>
  <w:style w:type="paragraph" w:customStyle="1" w:styleId="Text4">
    <w:name w:val="Text 4"/>
    <w:basedOn w:val="Normal"/>
    <w:rsid w:val="004C7DC8"/>
    <w:pPr>
      <w:spacing w:before="120" w:after="120" w:line="360" w:lineRule="auto"/>
      <w:ind w:left="2268"/>
    </w:pPr>
    <w:rPr>
      <w:rFonts w:ascii="Times New Roman" w:hAnsi="Times New Roman" w:cs="Times New Roman"/>
      <w:sz w:val="24"/>
      <w:lang w:val="en-GB"/>
    </w:rPr>
  </w:style>
  <w:style w:type="paragraph" w:customStyle="1" w:styleId="Text5">
    <w:name w:val="Text 5"/>
    <w:basedOn w:val="Normal"/>
    <w:rsid w:val="004C7DC8"/>
    <w:pPr>
      <w:spacing w:before="120" w:after="120" w:line="360" w:lineRule="auto"/>
      <w:ind w:left="2835"/>
    </w:pPr>
    <w:rPr>
      <w:rFonts w:ascii="Times New Roman" w:hAnsi="Times New Roman" w:cs="Times New Roman"/>
      <w:sz w:val="24"/>
      <w:lang w:val="en-GB"/>
    </w:rPr>
  </w:style>
  <w:style w:type="paragraph" w:customStyle="1" w:styleId="Text6">
    <w:name w:val="Text 6"/>
    <w:basedOn w:val="Normal"/>
    <w:rsid w:val="004C7DC8"/>
    <w:pPr>
      <w:spacing w:before="120" w:after="120" w:line="360" w:lineRule="auto"/>
      <w:ind w:left="3402"/>
    </w:pPr>
    <w:rPr>
      <w:rFonts w:ascii="Times New Roman" w:hAnsi="Times New Roman" w:cs="Times New Roman"/>
      <w:sz w:val="24"/>
      <w:lang w:val="en-GB"/>
    </w:rPr>
  </w:style>
  <w:style w:type="paragraph" w:customStyle="1" w:styleId="PointManual">
    <w:name w:val="Point Manual"/>
    <w:basedOn w:val="Normal"/>
    <w:rsid w:val="004C7DC8"/>
    <w:pPr>
      <w:spacing w:before="120" w:after="120" w:line="360" w:lineRule="auto"/>
      <w:ind w:left="567" w:hanging="567"/>
    </w:pPr>
    <w:rPr>
      <w:rFonts w:ascii="Times New Roman" w:hAnsi="Times New Roman" w:cs="Times New Roman"/>
      <w:sz w:val="24"/>
      <w:lang w:val="en-GB"/>
    </w:rPr>
  </w:style>
  <w:style w:type="paragraph" w:customStyle="1" w:styleId="PointManual1">
    <w:name w:val="Point Manual (1)"/>
    <w:basedOn w:val="Normal"/>
    <w:rsid w:val="004C7DC8"/>
    <w:pPr>
      <w:spacing w:before="120" w:after="120" w:line="360" w:lineRule="auto"/>
      <w:ind w:left="1134" w:hanging="567"/>
    </w:pPr>
    <w:rPr>
      <w:rFonts w:ascii="Times New Roman" w:hAnsi="Times New Roman" w:cs="Times New Roman"/>
      <w:sz w:val="24"/>
      <w:lang w:val="en-GB"/>
    </w:rPr>
  </w:style>
  <w:style w:type="paragraph" w:customStyle="1" w:styleId="PointManual2">
    <w:name w:val="Point Manual (2)"/>
    <w:basedOn w:val="Normal"/>
    <w:rsid w:val="004C7DC8"/>
    <w:pPr>
      <w:spacing w:before="120" w:after="120" w:line="360" w:lineRule="auto"/>
      <w:ind w:left="1701" w:hanging="567"/>
    </w:pPr>
    <w:rPr>
      <w:rFonts w:ascii="Times New Roman" w:hAnsi="Times New Roman" w:cs="Times New Roman"/>
      <w:sz w:val="24"/>
      <w:lang w:val="en-GB"/>
    </w:rPr>
  </w:style>
  <w:style w:type="paragraph" w:customStyle="1" w:styleId="PointManual3">
    <w:name w:val="Point Manual (3)"/>
    <w:basedOn w:val="Normal"/>
    <w:rsid w:val="004C7DC8"/>
    <w:pPr>
      <w:spacing w:before="120" w:after="120" w:line="360" w:lineRule="auto"/>
      <w:ind w:left="2268" w:hanging="567"/>
    </w:pPr>
    <w:rPr>
      <w:rFonts w:ascii="Times New Roman" w:hAnsi="Times New Roman" w:cs="Times New Roman"/>
      <w:sz w:val="24"/>
      <w:lang w:val="en-GB"/>
    </w:rPr>
  </w:style>
  <w:style w:type="paragraph" w:customStyle="1" w:styleId="PointManual4">
    <w:name w:val="Point Manual (4)"/>
    <w:basedOn w:val="Normal"/>
    <w:rsid w:val="004C7DC8"/>
    <w:pPr>
      <w:spacing w:before="120" w:after="120" w:line="360" w:lineRule="auto"/>
      <w:ind w:left="2835" w:hanging="567"/>
    </w:pPr>
    <w:rPr>
      <w:rFonts w:ascii="Times New Roman" w:hAnsi="Times New Roman" w:cs="Times New Roman"/>
      <w:sz w:val="24"/>
      <w:lang w:val="en-GB"/>
    </w:rPr>
  </w:style>
  <w:style w:type="paragraph" w:customStyle="1" w:styleId="PointDoubleManual">
    <w:name w:val="Point Double Manual"/>
    <w:basedOn w:val="Normal"/>
    <w:rsid w:val="004C7DC8"/>
    <w:pPr>
      <w:tabs>
        <w:tab w:val="left" w:pos="567"/>
      </w:tabs>
      <w:spacing w:before="120" w:after="120" w:line="360" w:lineRule="auto"/>
      <w:ind w:left="1134" w:hanging="1134"/>
    </w:pPr>
    <w:rPr>
      <w:rFonts w:ascii="Times New Roman" w:hAnsi="Times New Roman" w:cs="Times New Roman"/>
      <w:sz w:val="24"/>
      <w:lang w:val="en-GB"/>
    </w:rPr>
  </w:style>
  <w:style w:type="paragraph" w:customStyle="1" w:styleId="PointDoubleManual1">
    <w:name w:val="Point Double Manual (1)"/>
    <w:basedOn w:val="Normal"/>
    <w:rsid w:val="004C7DC8"/>
    <w:pPr>
      <w:tabs>
        <w:tab w:val="left" w:pos="1134"/>
      </w:tabs>
      <w:spacing w:before="120" w:after="120" w:line="360" w:lineRule="auto"/>
      <w:ind w:left="1701" w:hanging="1134"/>
    </w:pPr>
    <w:rPr>
      <w:rFonts w:ascii="Times New Roman" w:hAnsi="Times New Roman" w:cs="Times New Roman"/>
      <w:sz w:val="24"/>
      <w:lang w:val="en-GB"/>
    </w:rPr>
  </w:style>
  <w:style w:type="paragraph" w:customStyle="1" w:styleId="PointDoubleManual2">
    <w:name w:val="Point Double Manual (2)"/>
    <w:basedOn w:val="Normal"/>
    <w:rsid w:val="004C7DC8"/>
    <w:pPr>
      <w:tabs>
        <w:tab w:val="left" w:pos="1701"/>
      </w:tabs>
      <w:spacing w:before="120" w:after="120" w:line="360" w:lineRule="auto"/>
      <w:ind w:left="2268" w:hanging="1134"/>
    </w:pPr>
    <w:rPr>
      <w:rFonts w:ascii="Times New Roman" w:hAnsi="Times New Roman" w:cs="Times New Roman"/>
      <w:sz w:val="24"/>
      <w:lang w:val="en-GB"/>
    </w:rPr>
  </w:style>
  <w:style w:type="paragraph" w:customStyle="1" w:styleId="PointDoubleManual3">
    <w:name w:val="Point Double Manual (3)"/>
    <w:basedOn w:val="Normal"/>
    <w:rsid w:val="004C7DC8"/>
    <w:pPr>
      <w:tabs>
        <w:tab w:val="left" w:pos="2268"/>
      </w:tabs>
      <w:spacing w:before="120" w:after="120" w:line="360" w:lineRule="auto"/>
      <w:ind w:left="2835" w:hanging="1134"/>
    </w:pPr>
    <w:rPr>
      <w:rFonts w:ascii="Times New Roman" w:hAnsi="Times New Roman" w:cs="Times New Roman"/>
      <w:sz w:val="24"/>
      <w:lang w:val="en-GB"/>
    </w:rPr>
  </w:style>
  <w:style w:type="paragraph" w:customStyle="1" w:styleId="PointDoubleManual4">
    <w:name w:val="Point Double Manual (4)"/>
    <w:basedOn w:val="Normal"/>
    <w:rsid w:val="004C7DC8"/>
    <w:pPr>
      <w:tabs>
        <w:tab w:val="left" w:pos="2835"/>
      </w:tabs>
      <w:spacing w:before="120" w:after="120" w:line="360" w:lineRule="auto"/>
      <w:ind w:left="3402" w:hanging="1134"/>
    </w:pPr>
    <w:rPr>
      <w:rFonts w:ascii="Times New Roman" w:hAnsi="Times New Roman" w:cs="Times New Roman"/>
      <w:sz w:val="24"/>
      <w:lang w:val="en-GB"/>
    </w:rPr>
  </w:style>
  <w:style w:type="paragraph" w:customStyle="1" w:styleId="Pointabc">
    <w:name w:val="Point abc"/>
    <w:basedOn w:val="Normal"/>
    <w:rsid w:val="004C7DC8"/>
    <w:pPr>
      <w:numPr>
        <w:ilvl w:val="6"/>
        <w:numId w:val="16"/>
      </w:numPr>
      <w:tabs>
        <w:tab w:val="clear" w:pos="2268"/>
        <w:tab w:val="num" w:pos="567"/>
      </w:tabs>
      <w:spacing w:before="120" w:after="120" w:line="360" w:lineRule="auto"/>
      <w:ind w:left="567"/>
    </w:pPr>
    <w:rPr>
      <w:rFonts w:ascii="Times New Roman" w:hAnsi="Times New Roman" w:cs="Times New Roman"/>
      <w:sz w:val="24"/>
      <w:lang w:val="en-GB"/>
    </w:rPr>
  </w:style>
  <w:style w:type="paragraph" w:customStyle="1" w:styleId="Pointabc1">
    <w:name w:val="Point abc (1)"/>
    <w:basedOn w:val="Normal"/>
    <w:rsid w:val="004C7DC8"/>
    <w:pPr>
      <w:numPr>
        <w:ilvl w:val="3"/>
        <w:numId w:val="16"/>
      </w:numPr>
      <w:spacing w:before="120" w:after="120" w:line="360" w:lineRule="auto"/>
    </w:pPr>
    <w:rPr>
      <w:rFonts w:ascii="Times New Roman" w:hAnsi="Times New Roman" w:cs="Times New Roman"/>
      <w:sz w:val="24"/>
      <w:lang w:val="en-GB"/>
    </w:rPr>
  </w:style>
  <w:style w:type="paragraph" w:customStyle="1" w:styleId="Pointabc2">
    <w:name w:val="Point abc (2)"/>
    <w:basedOn w:val="Normal"/>
    <w:rsid w:val="004C7DC8"/>
    <w:pPr>
      <w:numPr>
        <w:ilvl w:val="5"/>
        <w:numId w:val="16"/>
      </w:numPr>
      <w:spacing w:before="120" w:after="120" w:line="360" w:lineRule="auto"/>
    </w:pPr>
    <w:rPr>
      <w:rFonts w:ascii="Times New Roman" w:hAnsi="Times New Roman" w:cs="Times New Roman"/>
      <w:sz w:val="24"/>
      <w:lang w:val="en-GB"/>
    </w:rPr>
  </w:style>
  <w:style w:type="paragraph" w:customStyle="1" w:styleId="Pointabc3">
    <w:name w:val="Point abc (3)"/>
    <w:basedOn w:val="Normal"/>
    <w:rsid w:val="004C7DC8"/>
    <w:pPr>
      <w:numPr>
        <w:ilvl w:val="7"/>
        <w:numId w:val="16"/>
      </w:numPr>
      <w:spacing w:before="120" w:after="120" w:line="360" w:lineRule="auto"/>
    </w:pPr>
    <w:rPr>
      <w:rFonts w:ascii="Times New Roman" w:hAnsi="Times New Roman" w:cs="Times New Roman"/>
      <w:sz w:val="24"/>
      <w:lang w:val="en-GB"/>
    </w:rPr>
  </w:style>
  <w:style w:type="paragraph" w:customStyle="1" w:styleId="Pointabc4">
    <w:name w:val="Point abc (4)"/>
    <w:basedOn w:val="Normal"/>
    <w:rsid w:val="004C7DC8"/>
    <w:pPr>
      <w:numPr>
        <w:ilvl w:val="8"/>
        <w:numId w:val="16"/>
      </w:numPr>
      <w:spacing w:before="120" w:after="120" w:line="360" w:lineRule="auto"/>
    </w:pPr>
    <w:rPr>
      <w:rFonts w:ascii="Times New Roman" w:hAnsi="Times New Roman" w:cs="Times New Roman"/>
      <w:sz w:val="24"/>
      <w:lang w:val="en-GB"/>
    </w:rPr>
  </w:style>
  <w:style w:type="paragraph" w:customStyle="1" w:styleId="Point123">
    <w:name w:val="Point 123"/>
    <w:basedOn w:val="Normal"/>
    <w:rsid w:val="004C7DC8"/>
    <w:pPr>
      <w:numPr>
        <w:numId w:val="16"/>
      </w:numPr>
      <w:spacing w:before="120" w:after="120" w:line="360" w:lineRule="auto"/>
    </w:pPr>
    <w:rPr>
      <w:rFonts w:ascii="Times New Roman" w:hAnsi="Times New Roman" w:cs="Times New Roman"/>
      <w:sz w:val="24"/>
      <w:lang w:val="en-GB"/>
    </w:rPr>
  </w:style>
  <w:style w:type="paragraph" w:customStyle="1" w:styleId="Point1231">
    <w:name w:val="Point 123 (1)"/>
    <w:basedOn w:val="Normal"/>
    <w:rsid w:val="004C7DC8"/>
    <w:pPr>
      <w:numPr>
        <w:ilvl w:val="2"/>
        <w:numId w:val="16"/>
      </w:numPr>
      <w:spacing w:before="120" w:after="120" w:line="360" w:lineRule="auto"/>
    </w:pPr>
    <w:rPr>
      <w:rFonts w:ascii="Times New Roman" w:hAnsi="Times New Roman" w:cs="Times New Roman"/>
      <w:sz w:val="24"/>
      <w:lang w:val="en-GB"/>
    </w:rPr>
  </w:style>
  <w:style w:type="paragraph" w:customStyle="1" w:styleId="Point1232">
    <w:name w:val="Point 123 (2)"/>
    <w:basedOn w:val="Normal"/>
    <w:rsid w:val="004C7DC8"/>
    <w:pPr>
      <w:numPr>
        <w:ilvl w:val="4"/>
        <w:numId w:val="16"/>
      </w:numPr>
      <w:spacing w:before="120" w:after="120" w:line="360" w:lineRule="auto"/>
    </w:pPr>
    <w:rPr>
      <w:rFonts w:ascii="Times New Roman" w:hAnsi="Times New Roman" w:cs="Times New Roman"/>
      <w:sz w:val="24"/>
      <w:lang w:val="en-GB"/>
    </w:rPr>
  </w:style>
  <w:style w:type="paragraph" w:customStyle="1" w:styleId="Point1233">
    <w:name w:val="Point 123 (3)"/>
    <w:basedOn w:val="Normal"/>
    <w:rsid w:val="004C7DC8"/>
    <w:pPr>
      <w:tabs>
        <w:tab w:val="num" w:pos="2268"/>
      </w:tabs>
      <w:spacing w:before="120" w:after="120" w:line="360" w:lineRule="auto"/>
      <w:ind w:left="2268" w:hanging="567"/>
    </w:pPr>
    <w:rPr>
      <w:rFonts w:ascii="Times New Roman" w:hAnsi="Times New Roman" w:cs="Times New Roman"/>
      <w:sz w:val="24"/>
      <w:lang w:val="en-GB"/>
    </w:rPr>
  </w:style>
  <w:style w:type="paragraph" w:customStyle="1" w:styleId="Pointivx">
    <w:name w:val="Point ivx"/>
    <w:basedOn w:val="Normal"/>
    <w:rsid w:val="004C7DC8"/>
    <w:pPr>
      <w:numPr>
        <w:numId w:val="17"/>
      </w:numPr>
      <w:spacing w:before="120" w:after="120" w:line="360" w:lineRule="auto"/>
    </w:pPr>
    <w:rPr>
      <w:rFonts w:ascii="Times New Roman" w:hAnsi="Times New Roman" w:cs="Times New Roman"/>
      <w:sz w:val="24"/>
      <w:lang w:val="en-GB"/>
    </w:rPr>
  </w:style>
  <w:style w:type="paragraph" w:customStyle="1" w:styleId="Pointivx1">
    <w:name w:val="Point ivx (1)"/>
    <w:basedOn w:val="Normal"/>
    <w:rsid w:val="004C7DC8"/>
    <w:pPr>
      <w:numPr>
        <w:ilvl w:val="1"/>
        <w:numId w:val="17"/>
      </w:numPr>
      <w:spacing w:before="120" w:after="120" w:line="360" w:lineRule="auto"/>
    </w:pPr>
    <w:rPr>
      <w:rFonts w:ascii="Times New Roman" w:hAnsi="Times New Roman" w:cs="Times New Roman"/>
      <w:sz w:val="24"/>
      <w:lang w:val="en-GB"/>
    </w:rPr>
  </w:style>
  <w:style w:type="paragraph" w:customStyle="1" w:styleId="Pointivx2">
    <w:name w:val="Point ivx (2)"/>
    <w:basedOn w:val="Normal"/>
    <w:rsid w:val="004C7DC8"/>
    <w:pPr>
      <w:numPr>
        <w:ilvl w:val="2"/>
        <w:numId w:val="17"/>
      </w:numPr>
      <w:spacing w:before="120" w:after="120" w:line="360" w:lineRule="auto"/>
    </w:pPr>
    <w:rPr>
      <w:rFonts w:ascii="Times New Roman" w:hAnsi="Times New Roman" w:cs="Times New Roman"/>
      <w:sz w:val="24"/>
      <w:lang w:val="en-GB"/>
    </w:rPr>
  </w:style>
  <w:style w:type="paragraph" w:customStyle="1" w:styleId="Pointivx3">
    <w:name w:val="Point ivx (3)"/>
    <w:basedOn w:val="Normal"/>
    <w:rsid w:val="004C7DC8"/>
    <w:pPr>
      <w:numPr>
        <w:ilvl w:val="3"/>
        <w:numId w:val="17"/>
      </w:numPr>
      <w:spacing w:before="120" w:after="120" w:line="360" w:lineRule="auto"/>
    </w:pPr>
    <w:rPr>
      <w:rFonts w:ascii="Times New Roman" w:hAnsi="Times New Roman" w:cs="Times New Roman"/>
      <w:sz w:val="24"/>
      <w:lang w:val="en-GB"/>
    </w:rPr>
  </w:style>
  <w:style w:type="paragraph" w:customStyle="1" w:styleId="Pointivx4">
    <w:name w:val="Point ivx (4)"/>
    <w:basedOn w:val="Normal"/>
    <w:rsid w:val="004C7DC8"/>
    <w:pPr>
      <w:numPr>
        <w:ilvl w:val="4"/>
        <w:numId w:val="17"/>
      </w:numPr>
      <w:spacing w:before="120" w:after="120" w:line="360" w:lineRule="auto"/>
    </w:pPr>
    <w:rPr>
      <w:rFonts w:ascii="Times New Roman" w:hAnsi="Times New Roman" w:cs="Times New Roman"/>
      <w:sz w:val="24"/>
      <w:lang w:val="en-GB"/>
    </w:rPr>
  </w:style>
  <w:style w:type="paragraph" w:customStyle="1" w:styleId="Bullet">
    <w:name w:val="Bullet"/>
    <w:basedOn w:val="Normal"/>
    <w:link w:val="BulletChar"/>
    <w:qFormat/>
    <w:rsid w:val="004C7DC8"/>
    <w:pPr>
      <w:numPr>
        <w:numId w:val="11"/>
      </w:numPr>
      <w:spacing w:before="120" w:after="120" w:line="360" w:lineRule="auto"/>
    </w:pPr>
    <w:rPr>
      <w:rFonts w:ascii="Times New Roman" w:hAnsi="Times New Roman" w:cs="Times New Roman"/>
      <w:sz w:val="24"/>
      <w:lang w:val="en-GB"/>
    </w:rPr>
  </w:style>
  <w:style w:type="paragraph" w:customStyle="1" w:styleId="Bullet1">
    <w:name w:val="Bullet 1"/>
    <w:basedOn w:val="Normal"/>
    <w:rsid w:val="004C7DC8"/>
    <w:pPr>
      <w:numPr>
        <w:numId w:val="12"/>
      </w:numPr>
      <w:spacing w:before="120" w:after="120" w:line="360" w:lineRule="auto"/>
    </w:pPr>
    <w:rPr>
      <w:rFonts w:ascii="Times New Roman" w:hAnsi="Times New Roman" w:cs="Times New Roman"/>
      <w:sz w:val="24"/>
      <w:lang w:val="en-GB"/>
    </w:rPr>
  </w:style>
  <w:style w:type="paragraph" w:customStyle="1" w:styleId="Bullet2">
    <w:name w:val="Bullet 2"/>
    <w:basedOn w:val="Normal"/>
    <w:rsid w:val="004C7DC8"/>
    <w:pPr>
      <w:numPr>
        <w:numId w:val="13"/>
      </w:numPr>
      <w:spacing w:before="120" w:after="120" w:line="360" w:lineRule="auto"/>
    </w:pPr>
    <w:rPr>
      <w:rFonts w:ascii="Times New Roman" w:hAnsi="Times New Roman" w:cs="Times New Roman"/>
      <w:sz w:val="24"/>
      <w:lang w:val="en-GB"/>
    </w:rPr>
  </w:style>
  <w:style w:type="paragraph" w:customStyle="1" w:styleId="Bullet3">
    <w:name w:val="Bullet 3"/>
    <w:basedOn w:val="Normal"/>
    <w:rsid w:val="004C7DC8"/>
    <w:pPr>
      <w:numPr>
        <w:numId w:val="14"/>
      </w:numPr>
      <w:spacing w:before="120" w:after="120" w:line="360" w:lineRule="auto"/>
    </w:pPr>
    <w:rPr>
      <w:rFonts w:ascii="Times New Roman" w:hAnsi="Times New Roman" w:cs="Times New Roman"/>
      <w:sz w:val="24"/>
      <w:lang w:val="en-GB"/>
    </w:rPr>
  </w:style>
  <w:style w:type="paragraph" w:customStyle="1" w:styleId="Bullet4">
    <w:name w:val="Bullet 4"/>
    <w:basedOn w:val="Normal"/>
    <w:rsid w:val="004C7DC8"/>
    <w:pPr>
      <w:numPr>
        <w:numId w:val="15"/>
      </w:numPr>
      <w:spacing w:before="120" w:after="120" w:line="360" w:lineRule="auto"/>
    </w:pPr>
    <w:rPr>
      <w:rFonts w:ascii="Times New Roman" w:hAnsi="Times New Roman" w:cs="Times New Roman"/>
      <w:sz w:val="24"/>
      <w:lang w:val="en-GB"/>
    </w:rPr>
  </w:style>
  <w:style w:type="paragraph" w:customStyle="1" w:styleId="Dash">
    <w:name w:val="Dash"/>
    <w:basedOn w:val="Normal"/>
    <w:rsid w:val="004C7DC8"/>
    <w:pPr>
      <w:numPr>
        <w:numId w:val="1"/>
      </w:numPr>
      <w:spacing w:before="120" w:after="120" w:line="360" w:lineRule="auto"/>
    </w:pPr>
    <w:rPr>
      <w:rFonts w:ascii="Times New Roman" w:hAnsi="Times New Roman" w:cs="Times New Roman"/>
      <w:sz w:val="24"/>
      <w:lang w:val="en-GB"/>
    </w:rPr>
  </w:style>
  <w:style w:type="paragraph" w:customStyle="1" w:styleId="Dash1">
    <w:name w:val="Dash 1"/>
    <w:basedOn w:val="Normal"/>
    <w:rsid w:val="004C7DC8"/>
    <w:pPr>
      <w:numPr>
        <w:numId w:val="2"/>
      </w:numPr>
      <w:spacing w:before="120" w:after="120" w:line="360" w:lineRule="auto"/>
    </w:pPr>
    <w:rPr>
      <w:rFonts w:ascii="Times New Roman" w:hAnsi="Times New Roman" w:cs="Times New Roman"/>
      <w:sz w:val="24"/>
      <w:lang w:val="en-GB"/>
    </w:rPr>
  </w:style>
  <w:style w:type="paragraph" w:customStyle="1" w:styleId="Dash2">
    <w:name w:val="Dash 2"/>
    <w:basedOn w:val="Normal"/>
    <w:rsid w:val="004C7DC8"/>
    <w:pPr>
      <w:numPr>
        <w:numId w:val="3"/>
      </w:numPr>
      <w:spacing w:before="120" w:after="120" w:line="360" w:lineRule="auto"/>
    </w:pPr>
    <w:rPr>
      <w:rFonts w:ascii="Times New Roman" w:hAnsi="Times New Roman" w:cs="Times New Roman"/>
      <w:sz w:val="24"/>
      <w:lang w:val="en-GB"/>
    </w:rPr>
  </w:style>
  <w:style w:type="paragraph" w:customStyle="1" w:styleId="Dash3">
    <w:name w:val="Dash 3"/>
    <w:basedOn w:val="Normal"/>
    <w:rsid w:val="004C7DC8"/>
    <w:pPr>
      <w:numPr>
        <w:numId w:val="4"/>
      </w:numPr>
      <w:spacing w:before="120" w:after="120" w:line="360" w:lineRule="auto"/>
    </w:pPr>
    <w:rPr>
      <w:rFonts w:ascii="Times New Roman" w:hAnsi="Times New Roman" w:cs="Times New Roman"/>
      <w:sz w:val="24"/>
      <w:lang w:val="en-GB"/>
    </w:rPr>
  </w:style>
  <w:style w:type="paragraph" w:customStyle="1" w:styleId="Dash4">
    <w:name w:val="Dash 4"/>
    <w:basedOn w:val="Normal"/>
    <w:rsid w:val="004C7DC8"/>
    <w:pPr>
      <w:numPr>
        <w:numId w:val="5"/>
      </w:numPr>
      <w:spacing w:before="120" w:after="120" w:line="360" w:lineRule="auto"/>
    </w:pPr>
    <w:rPr>
      <w:rFonts w:ascii="Times New Roman" w:hAnsi="Times New Roman" w:cs="Times New Roman"/>
      <w:sz w:val="24"/>
      <w:lang w:val="en-GB"/>
    </w:rPr>
  </w:style>
  <w:style w:type="paragraph" w:customStyle="1" w:styleId="DashEqual">
    <w:name w:val="Dash Equal"/>
    <w:basedOn w:val="Dash"/>
    <w:rsid w:val="004C7DC8"/>
    <w:pPr>
      <w:numPr>
        <w:numId w:val="6"/>
      </w:numPr>
    </w:pPr>
  </w:style>
  <w:style w:type="paragraph" w:customStyle="1" w:styleId="DashEqual1">
    <w:name w:val="Dash Equal 1"/>
    <w:basedOn w:val="Dash1"/>
    <w:rsid w:val="004C7DC8"/>
    <w:pPr>
      <w:numPr>
        <w:numId w:val="7"/>
      </w:numPr>
    </w:pPr>
  </w:style>
  <w:style w:type="paragraph" w:customStyle="1" w:styleId="DashEqual2">
    <w:name w:val="Dash Equal 2"/>
    <w:basedOn w:val="Dash2"/>
    <w:rsid w:val="004C7DC8"/>
    <w:pPr>
      <w:numPr>
        <w:numId w:val="8"/>
      </w:numPr>
    </w:pPr>
  </w:style>
  <w:style w:type="paragraph" w:customStyle="1" w:styleId="DashEqual3">
    <w:name w:val="Dash Equal 3"/>
    <w:basedOn w:val="Dash3"/>
    <w:rsid w:val="004C7DC8"/>
    <w:pPr>
      <w:numPr>
        <w:numId w:val="9"/>
      </w:numPr>
    </w:pPr>
  </w:style>
  <w:style w:type="paragraph" w:customStyle="1" w:styleId="DashEqual4">
    <w:name w:val="Dash Equal 4"/>
    <w:basedOn w:val="Dash4"/>
    <w:rsid w:val="004C7DC8"/>
    <w:pPr>
      <w:numPr>
        <w:numId w:val="10"/>
      </w:numPr>
    </w:pPr>
  </w:style>
  <w:style w:type="character" w:customStyle="1" w:styleId="Marker">
    <w:name w:val="Marker"/>
    <w:basedOn w:val="Fontdeparagrafimplicit"/>
    <w:rsid w:val="004C7DC8"/>
    <w:rPr>
      <w:color w:val="0000FF"/>
      <w:shd w:val="clear" w:color="auto" w:fill="auto"/>
    </w:rPr>
  </w:style>
  <w:style w:type="character" w:customStyle="1" w:styleId="Marker1">
    <w:name w:val="Marker1"/>
    <w:basedOn w:val="Fontdeparagrafimplicit"/>
    <w:rsid w:val="004C7DC8"/>
    <w:rPr>
      <w:color w:val="008000"/>
      <w:shd w:val="clear" w:color="auto" w:fill="auto"/>
    </w:rPr>
  </w:style>
  <w:style w:type="paragraph" w:customStyle="1" w:styleId="HeadingLeft">
    <w:name w:val="Heading Left"/>
    <w:basedOn w:val="Normal"/>
    <w:next w:val="Normal"/>
    <w:rsid w:val="004C7DC8"/>
    <w:pPr>
      <w:spacing w:before="360" w:after="120" w:line="360" w:lineRule="auto"/>
      <w:outlineLvl w:val="0"/>
    </w:pPr>
    <w:rPr>
      <w:rFonts w:ascii="Times New Roman" w:hAnsi="Times New Roman" w:cs="Times New Roman"/>
      <w:b/>
      <w:caps/>
      <w:sz w:val="24"/>
      <w:u w:val="single"/>
      <w:lang w:val="en-GB"/>
    </w:rPr>
  </w:style>
  <w:style w:type="paragraph" w:customStyle="1" w:styleId="HeadingIVX">
    <w:name w:val="Heading IVX"/>
    <w:basedOn w:val="HeadingLeft"/>
    <w:next w:val="Normal"/>
    <w:rsid w:val="004C7DC8"/>
    <w:pPr>
      <w:numPr>
        <w:numId w:val="20"/>
      </w:numPr>
    </w:pPr>
  </w:style>
  <w:style w:type="paragraph" w:customStyle="1" w:styleId="Heading123">
    <w:name w:val="Heading 123"/>
    <w:basedOn w:val="HeadingLeft"/>
    <w:next w:val="Normal"/>
    <w:rsid w:val="004C7DC8"/>
    <w:pPr>
      <w:numPr>
        <w:numId w:val="19"/>
      </w:numPr>
    </w:pPr>
  </w:style>
  <w:style w:type="paragraph" w:customStyle="1" w:styleId="HeadingABC">
    <w:name w:val="Heading ABC"/>
    <w:basedOn w:val="HeadingLeft"/>
    <w:next w:val="Normal"/>
    <w:rsid w:val="004C7DC8"/>
    <w:pPr>
      <w:numPr>
        <w:numId w:val="18"/>
      </w:numPr>
    </w:pPr>
  </w:style>
  <w:style w:type="paragraph" w:customStyle="1" w:styleId="HeadingCentered">
    <w:name w:val="Heading Centered"/>
    <w:basedOn w:val="HeadingLeft"/>
    <w:next w:val="Normal"/>
    <w:rsid w:val="004C7DC8"/>
    <w:pPr>
      <w:jc w:val="center"/>
    </w:pPr>
  </w:style>
  <w:style w:type="paragraph" w:customStyle="1" w:styleId="Jardin">
    <w:name w:val="Jardin"/>
    <w:basedOn w:val="Normal"/>
    <w:rsid w:val="004C7DC8"/>
    <w:pPr>
      <w:spacing w:before="200" w:after="0" w:line="240" w:lineRule="auto"/>
      <w:jc w:val="center"/>
    </w:pPr>
    <w:rPr>
      <w:rFonts w:ascii="Times New Roman" w:hAnsi="Times New Roman" w:cs="Times New Roman"/>
      <w:sz w:val="24"/>
      <w:lang w:val="en-GB"/>
    </w:rPr>
  </w:style>
  <w:style w:type="paragraph" w:customStyle="1" w:styleId="Amendment">
    <w:name w:val="Amendment"/>
    <w:basedOn w:val="Normal"/>
    <w:next w:val="Normal"/>
    <w:rsid w:val="004C7DC8"/>
    <w:pPr>
      <w:spacing w:before="120" w:after="120" w:line="360" w:lineRule="auto"/>
    </w:pPr>
    <w:rPr>
      <w:rFonts w:ascii="Times New Roman" w:hAnsi="Times New Roman" w:cs="Times New Roman"/>
      <w:i/>
      <w:sz w:val="24"/>
      <w:u w:val="single"/>
      <w:lang w:val="en-GB"/>
    </w:rPr>
  </w:style>
  <w:style w:type="paragraph" w:customStyle="1" w:styleId="AmendmentList">
    <w:name w:val="Amendment List"/>
    <w:basedOn w:val="Normal"/>
    <w:rsid w:val="004C7DC8"/>
    <w:pPr>
      <w:spacing w:before="120" w:after="120" w:line="360" w:lineRule="auto"/>
      <w:ind w:left="2268" w:hanging="2268"/>
    </w:pPr>
    <w:rPr>
      <w:rFonts w:ascii="Times New Roman" w:hAnsi="Times New Roman" w:cs="Times New Roman"/>
      <w:sz w:val="24"/>
      <w:lang w:val="en-GB"/>
    </w:rPr>
  </w:style>
  <w:style w:type="paragraph" w:customStyle="1" w:styleId="ReplyRE">
    <w:name w:val="Reply RE"/>
    <w:basedOn w:val="Normal"/>
    <w:next w:val="Normal"/>
    <w:rsid w:val="004C7DC8"/>
    <w:pPr>
      <w:spacing w:before="120" w:after="480" w:line="240" w:lineRule="auto"/>
      <w:contextualSpacing/>
    </w:pPr>
    <w:rPr>
      <w:rFonts w:ascii="Times New Roman" w:hAnsi="Times New Roman" w:cs="Times New Roman"/>
      <w:sz w:val="24"/>
      <w:lang w:val="en-GB"/>
    </w:rPr>
  </w:style>
  <w:style w:type="paragraph" w:customStyle="1" w:styleId="ReplyBold">
    <w:name w:val="Reply Bold"/>
    <w:basedOn w:val="ReplyRE"/>
    <w:next w:val="Normal"/>
    <w:rsid w:val="004C7DC8"/>
    <w:rPr>
      <w:b/>
    </w:rPr>
  </w:style>
  <w:style w:type="paragraph" w:customStyle="1" w:styleId="Annex">
    <w:name w:val="Annex"/>
    <w:basedOn w:val="Normal"/>
    <w:next w:val="Normal"/>
    <w:rsid w:val="004C7DC8"/>
    <w:pPr>
      <w:spacing w:before="120" w:after="120" w:line="360" w:lineRule="auto"/>
      <w:jc w:val="right"/>
    </w:pPr>
    <w:rPr>
      <w:rFonts w:ascii="Times New Roman" w:hAnsi="Times New Roman" w:cs="Times New Roman"/>
      <w:b/>
      <w:sz w:val="24"/>
      <w:u w:val="single"/>
      <w:lang w:val="en-GB"/>
    </w:rPr>
  </w:style>
  <w:style w:type="paragraph" w:customStyle="1" w:styleId="Sign">
    <w:name w:val="Sign"/>
    <w:basedOn w:val="Normal"/>
    <w:rsid w:val="004C7DC8"/>
    <w:pPr>
      <w:tabs>
        <w:tab w:val="center" w:pos="7087"/>
      </w:tabs>
      <w:spacing w:before="120" w:after="120" w:line="360" w:lineRule="auto"/>
      <w:contextualSpacing/>
    </w:pPr>
    <w:rPr>
      <w:rFonts w:ascii="Times New Roman" w:hAnsi="Times New Roman" w:cs="Times New Roman"/>
      <w:sz w:val="24"/>
      <w:lang w:val="en-GB"/>
    </w:rPr>
  </w:style>
  <w:style w:type="paragraph" w:customStyle="1" w:styleId="NotDeclassified">
    <w:name w:val="Not Declassified"/>
    <w:basedOn w:val="Normal"/>
    <w:next w:val="Normal"/>
    <w:rsid w:val="004C7DC8"/>
    <w:pPr>
      <w:spacing w:before="120" w:after="120" w:line="360" w:lineRule="auto"/>
    </w:pPr>
    <w:rPr>
      <w:rFonts w:ascii="Times New Roman" w:hAnsi="Times New Roman" w:cs="Times New Roman"/>
      <w:b/>
      <w:sz w:val="24"/>
      <w:shd w:val="clear" w:color="auto" w:fill="CCCCCC"/>
      <w:lang w:val="en-GB"/>
    </w:rPr>
  </w:style>
  <w:style w:type="character" w:customStyle="1" w:styleId="NotDeclassifiedCharacter">
    <w:name w:val="Not Declassified Character"/>
    <w:basedOn w:val="Fontdeparagrafimplicit"/>
    <w:rsid w:val="004C7DC8"/>
    <w:rPr>
      <w:rFonts w:ascii="Times New Roman" w:hAnsi="Times New Roman" w:cs="Times New Roman"/>
      <w:b/>
      <w:sz w:val="24"/>
      <w:shd w:val="clear" w:color="auto" w:fill="CCCCCC"/>
    </w:rPr>
  </w:style>
  <w:style w:type="paragraph" w:customStyle="1" w:styleId="NormalCompact">
    <w:name w:val="Normal Compact"/>
    <w:basedOn w:val="Normal"/>
    <w:next w:val="Normal"/>
    <w:rsid w:val="004C7DC8"/>
    <w:pPr>
      <w:spacing w:before="120" w:after="120" w:line="240" w:lineRule="auto"/>
    </w:pPr>
    <w:rPr>
      <w:rFonts w:ascii="Times New Roman" w:hAnsi="Times New Roman" w:cs="Times New Roman"/>
      <w:sz w:val="24"/>
      <w:lang w:val="en-GB"/>
    </w:rPr>
  </w:style>
  <w:style w:type="paragraph" w:styleId="Textnotdefinal">
    <w:name w:val="endnote text"/>
    <w:basedOn w:val="Normal"/>
    <w:link w:val="TextnotdefinalCaracter"/>
    <w:semiHidden/>
    <w:unhideWhenUsed/>
    <w:rsid w:val="004C7DC8"/>
    <w:pPr>
      <w:spacing w:after="0" w:line="240" w:lineRule="auto"/>
    </w:pPr>
    <w:rPr>
      <w:rFonts w:ascii="Times New Roman" w:hAnsi="Times New Roman" w:cs="Times New Roman"/>
      <w:sz w:val="20"/>
      <w:szCs w:val="20"/>
      <w:lang w:val="en-GB"/>
    </w:rPr>
  </w:style>
  <w:style w:type="character" w:customStyle="1" w:styleId="TextnotdefinalCaracter">
    <w:name w:val="Text notă de final Caracter"/>
    <w:basedOn w:val="Fontdeparagrafimplicit"/>
    <w:link w:val="Textnotdefinal"/>
    <w:semiHidden/>
    <w:rsid w:val="004C7DC8"/>
    <w:rPr>
      <w:rFonts w:ascii="Times New Roman" w:hAnsi="Times New Roman" w:cs="Times New Roman"/>
      <w:sz w:val="20"/>
      <w:szCs w:val="20"/>
      <w:lang w:val="en-GB"/>
    </w:rPr>
  </w:style>
  <w:style w:type="character" w:styleId="Referinnotdefinal">
    <w:name w:val="endnote reference"/>
    <w:basedOn w:val="Fontdeparagrafimplicit"/>
    <w:semiHidden/>
    <w:unhideWhenUsed/>
    <w:rsid w:val="004C7DC8"/>
    <w:rPr>
      <w:vertAlign w:val="superscript"/>
    </w:rPr>
  </w:style>
  <w:style w:type="paragraph" w:customStyle="1" w:styleId="HeaderCouncilLarge">
    <w:name w:val="Header Council Large"/>
    <w:basedOn w:val="Normal"/>
    <w:link w:val="HeaderCouncilLargeChar"/>
    <w:rsid w:val="004C7DC8"/>
    <w:pPr>
      <w:spacing w:after="440" w:line="360" w:lineRule="auto"/>
      <w:ind w:left="-1134" w:right="-1134"/>
    </w:pPr>
    <w:rPr>
      <w:rFonts w:ascii="Times New Roman" w:hAnsi="Times New Roman" w:cs="Times New Roman"/>
      <w:sz w:val="2"/>
      <w:lang w:val="en-GB"/>
    </w:rPr>
  </w:style>
  <w:style w:type="character" w:customStyle="1" w:styleId="HeaderCouncilLargeChar">
    <w:name w:val="Header Council Large Char"/>
    <w:basedOn w:val="TechnicalBlockChar"/>
    <w:link w:val="HeaderCouncilLarge"/>
    <w:rsid w:val="004C7DC8"/>
    <w:rPr>
      <w:rFonts w:ascii="Times New Roman" w:hAnsi="Times New Roman" w:cs="Times New Roman"/>
      <w:sz w:val="2"/>
      <w:lang w:val="en-GB"/>
    </w:rPr>
  </w:style>
  <w:style w:type="character" w:styleId="Textsubstituent">
    <w:name w:val="Placeholder Text"/>
    <w:basedOn w:val="Fontdeparagrafimplicit"/>
    <w:uiPriority w:val="99"/>
    <w:semiHidden/>
    <w:rsid w:val="004C7DC8"/>
    <w:rPr>
      <w:color w:val="808080"/>
    </w:rPr>
  </w:style>
  <w:style w:type="paragraph" w:customStyle="1" w:styleId="Par-numberI0">
    <w:name w:val="Par-number I."/>
    <w:basedOn w:val="Normal"/>
    <w:next w:val="Normal"/>
    <w:rsid w:val="004C7DC8"/>
    <w:pPr>
      <w:widowControl w:val="0"/>
      <w:tabs>
        <w:tab w:val="num" w:pos="1701"/>
      </w:tabs>
      <w:spacing w:after="0" w:line="360" w:lineRule="auto"/>
      <w:ind w:left="1701" w:hanging="567"/>
    </w:pPr>
    <w:rPr>
      <w:rFonts w:ascii="Times New Roman" w:eastAsia="Times New Roman" w:hAnsi="Times New Roman" w:cs="Times New Roman"/>
      <w:sz w:val="24"/>
      <w:szCs w:val="20"/>
      <w:lang w:val="en-GB" w:eastAsia="fr-BE"/>
    </w:rPr>
  </w:style>
  <w:style w:type="paragraph" w:styleId="Listparagraf">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fCaracter"/>
    <w:uiPriority w:val="34"/>
    <w:qFormat/>
    <w:rsid w:val="004C7DC8"/>
    <w:pPr>
      <w:spacing w:before="120" w:after="120" w:line="360" w:lineRule="auto"/>
      <w:ind w:left="720"/>
      <w:contextualSpacing/>
    </w:pPr>
    <w:rPr>
      <w:rFonts w:ascii="Times New Roman" w:hAnsi="Times New Roman" w:cs="Times New Roman"/>
      <w:sz w:val="24"/>
      <w:lang w:val="en-GB"/>
    </w:rPr>
  </w:style>
  <w:style w:type="character" w:customStyle="1" w:styleId="ListparagrafCaracter">
    <w:name w:val="Listă paragraf Caracter"/>
    <w:aliases w:val="List Paragraph compact Caracter,Normal bullet 2 Caracter,Paragraphe de liste 2 Caracter,Reference list Caracter,Bullet list Caracter,Numbered List Caracter,List Paragraph1 Caracter,1st level - Bullet List Paragraph Caracter"/>
    <w:link w:val="Listparagraf"/>
    <w:uiPriority w:val="34"/>
    <w:qFormat/>
    <w:locked/>
    <w:rsid w:val="004C7DC8"/>
    <w:rPr>
      <w:rFonts w:ascii="Times New Roman" w:hAnsi="Times New Roman" w:cs="Times New Roman"/>
      <w:sz w:val="24"/>
      <w:lang w:val="en-GB"/>
    </w:rPr>
  </w:style>
  <w:style w:type="character" w:styleId="Hyperlink">
    <w:name w:val="Hyperlink"/>
    <w:uiPriority w:val="99"/>
    <w:unhideWhenUsed/>
    <w:rsid w:val="004C7DC8"/>
    <w:rPr>
      <w:color w:val="0000FF"/>
      <w:u w:val="single"/>
    </w:rPr>
  </w:style>
  <w:style w:type="character" w:styleId="Robust">
    <w:name w:val="Strong"/>
    <w:uiPriority w:val="22"/>
    <w:qFormat/>
    <w:rsid w:val="004C7DC8"/>
    <w:rPr>
      <w:rFonts w:ascii="Times New Roman" w:hAnsi="Times New Roman" w:cs="Times New Roman" w:hint="default"/>
      <w:b/>
      <w:bCs/>
    </w:rPr>
  </w:style>
  <w:style w:type="paragraph" w:customStyle="1" w:styleId="msonormal0">
    <w:name w:val="msonormal"/>
    <w:basedOn w:val="Normal"/>
    <w:rsid w:val="004C7DC8"/>
    <w:pPr>
      <w:suppressAutoHyphens/>
      <w:spacing w:before="100" w:after="100" w:line="240" w:lineRule="auto"/>
    </w:pPr>
    <w:rPr>
      <w:rFonts w:ascii="Times New Roman" w:eastAsia="Times New Roman" w:hAnsi="Times New Roman" w:cs="Times New Roman"/>
      <w:sz w:val="24"/>
      <w:szCs w:val="24"/>
      <w:lang w:val="en-GB" w:eastAsia="ar-SA"/>
    </w:rPr>
  </w:style>
  <w:style w:type="paragraph" w:styleId="Cuprins6">
    <w:name w:val="toc 6"/>
    <w:basedOn w:val="Normal"/>
    <w:next w:val="Normal"/>
    <w:autoRedefine/>
    <w:uiPriority w:val="39"/>
    <w:semiHidden/>
    <w:unhideWhenUsed/>
    <w:rsid w:val="004C7DC8"/>
    <w:pPr>
      <w:tabs>
        <w:tab w:val="left" w:pos="3402"/>
        <w:tab w:val="right" w:leader="dot" w:pos="9639"/>
      </w:tabs>
      <w:spacing w:after="0" w:line="360" w:lineRule="auto"/>
      <w:ind w:left="3402" w:right="567" w:hanging="567"/>
    </w:pPr>
    <w:rPr>
      <w:rFonts w:ascii="Times New Roman" w:eastAsia="Calibri" w:hAnsi="Times New Roman" w:cs="Arial"/>
      <w:sz w:val="24"/>
      <w:lang w:val="en-US"/>
    </w:rPr>
  </w:style>
  <w:style w:type="paragraph" w:styleId="Indentnormal">
    <w:name w:val="Normal Indent"/>
    <w:basedOn w:val="Normal"/>
    <w:semiHidden/>
    <w:unhideWhenUsed/>
    <w:rsid w:val="004C7DC8"/>
    <w:pPr>
      <w:spacing w:after="240" w:line="240" w:lineRule="auto"/>
      <w:ind w:left="720"/>
      <w:jc w:val="both"/>
    </w:pPr>
    <w:rPr>
      <w:rFonts w:ascii="Times New Roman" w:eastAsia="Times New Roman" w:hAnsi="Times New Roman" w:cs="Times New Roman"/>
      <w:sz w:val="24"/>
      <w:lang w:val="en-GB" w:eastAsia="en-GB"/>
    </w:rPr>
  </w:style>
  <w:style w:type="paragraph" w:styleId="Textcomentariu">
    <w:name w:val="annotation text"/>
    <w:basedOn w:val="Normal"/>
    <w:link w:val="TextcomentariuCaracter"/>
    <w:uiPriority w:val="99"/>
    <w:semiHidden/>
    <w:unhideWhenUsed/>
    <w:qFormat/>
    <w:rsid w:val="004C7DC8"/>
    <w:pPr>
      <w:spacing w:after="0" w:line="360" w:lineRule="auto"/>
    </w:pPr>
    <w:rPr>
      <w:rFonts w:ascii="Times New Roman" w:eastAsia="Calibri" w:hAnsi="Times New Roman" w:cs="Arial"/>
      <w:sz w:val="20"/>
      <w:szCs w:val="20"/>
      <w:lang w:val="en-US"/>
    </w:rPr>
  </w:style>
  <w:style w:type="character" w:customStyle="1" w:styleId="TextcomentariuCaracter">
    <w:name w:val="Text comentariu Caracter"/>
    <w:basedOn w:val="Fontdeparagrafimplicit"/>
    <w:link w:val="Textcomentariu"/>
    <w:uiPriority w:val="99"/>
    <w:semiHidden/>
    <w:qFormat/>
    <w:rsid w:val="004C7DC8"/>
    <w:rPr>
      <w:rFonts w:ascii="Times New Roman" w:eastAsia="Calibri" w:hAnsi="Times New Roman" w:cs="Arial"/>
      <w:sz w:val="20"/>
      <w:szCs w:val="20"/>
      <w:lang w:val="en-US"/>
    </w:rPr>
  </w:style>
  <w:style w:type="character" w:customStyle="1" w:styleId="TextmacrocomandCaracter">
    <w:name w:val="Text macrocomandă Caracter"/>
    <w:basedOn w:val="Fontdeparagrafimplicit"/>
    <w:link w:val="Textmacrocomand"/>
    <w:semiHidden/>
    <w:rsid w:val="004C7DC8"/>
    <w:rPr>
      <w:rFonts w:ascii="Courier New" w:eastAsia="Times New Roman" w:hAnsi="Courier New" w:cs="Times New Roman"/>
      <w:lang w:val="en-GB"/>
    </w:rPr>
  </w:style>
  <w:style w:type="paragraph" w:styleId="Textmacrocomand">
    <w:name w:val="macro"/>
    <w:link w:val="TextmacrocomandCaracter"/>
    <w:semiHidden/>
    <w:unhideWhenUsed/>
    <w:rsid w:val="004C7DC8"/>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cs="Times New Roman"/>
      <w:lang w:val="en-GB"/>
    </w:rPr>
  </w:style>
  <w:style w:type="character" w:customStyle="1" w:styleId="MacroTextChar1">
    <w:name w:val="Macro Text Char1"/>
    <w:basedOn w:val="Fontdeparagrafimplicit"/>
    <w:uiPriority w:val="99"/>
    <w:semiHidden/>
    <w:rsid w:val="004C7DC8"/>
    <w:rPr>
      <w:rFonts w:ascii="Consolas" w:hAnsi="Consolas" w:cs="Consolas"/>
      <w:sz w:val="20"/>
      <w:szCs w:val="20"/>
    </w:rPr>
  </w:style>
  <w:style w:type="paragraph" w:styleId="Listcumarcatori">
    <w:name w:val="List Bullet"/>
    <w:basedOn w:val="Normal"/>
    <w:semiHidden/>
    <w:unhideWhenUsed/>
    <w:rsid w:val="004C7DC8"/>
    <w:pPr>
      <w:numPr>
        <w:numId w:val="22"/>
      </w:numPr>
      <w:spacing w:after="0" w:line="360" w:lineRule="auto"/>
      <w:contextualSpacing/>
    </w:pPr>
    <w:rPr>
      <w:rFonts w:ascii="Times New Roman" w:eastAsia="Calibri" w:hAnsi="Times New Roman" w:cs="Arial"/>
      <w:sz w:val="24"/>
      <w:lang w:val="en-US"/>
    </w:rPr>
  </w:style>
  <w:style w:type="paragraph" w:styleId="Listnumerotat">
    <w:name w:val="List Number"/>
    <w:basedOn w:val="Normal"/>
    <w:semiHidden/>
    <w:unhideWhenUsed/>
    <w:rsid w:val="004C7DC8"/>
    <w:pPr>
      <w:numPr>
        <w:numId w:val="23"/>
      </w:numPr>
      <w:spacing w:after="240" w:line="240" w:lineRule="auto"/>
      <w:jc w:val="both"/>
    </w:pPr>
    <w:rPr>
      <w:rFonts w:ascii="Times New Roman" w:eastAsia="Times New Roman" w:hAnsi="Times New Roman" w:cs="Times New Roman"/>
      <w:sz w:val="24"/>
      <w:lang w:val="en-GB" w:eastAsia="en-GB"/>
    </w:rPr>
  </w:style>
  <w:style w:type="paragraph" w:styleId="Lista2">
    <w:name w:val="List 2"/>
    <w:basedOn w:val="Normal"/>
    <w:semiHidden/>
    <w:unhideWhenUsed/>
    <w:rsid w:val="004C7DC8"/>
    <w:pPr>
      <w:spacing w:after="240" w:line="240" w:lineRule="auto"/>
      <w:ind w:left="566" w:hanging="283"/>
      <w:jc w:val="both"/>
    </w:pPr>
    <w:rPr>
      <w:rFonts w:ascii="Times New Roman" w:eastAsia="Times New Roman" w:hAnsi="Times New Roman" w:cs="Times New Roman"/>
      <w:sz w:val="24"/>
      <w:lang w:val="en-GB" w:eastAsia="en-GB"/>
    </w:rPr>
  </w:style>
  <w:style w:type="paragraph" w:styleId="Listacumarcatori2">
    <w:name w:val="List Bullet 2"/>
    <w:basedOn w:val="Normal"/>
    <w:semiHidden/>
    <w:unhideWhenUsed/>
    <w:rsid w:val="004C7DC8"/>
    <w:pPr>
      <w:numPr>
        <w:numId w:val="24"/>
      </w:numPr>
      <w:spacing w:before="120" w:after="120" w:line="240" w:lineRule="auto"/>
      <w:contextualSpacing/>
      <w:jc w:val="both"/>
    </w:pPr>
    <w:rPr>
      <w:rFonts w:ascii="Times New Roman" w:eastAsia="Calibri" w:hAnsi="Times New Roman" w:cs="Times New Roman"/>
      <w:sz w:val="24"/>
      <w:lang w:val="en-GB" w:eastAsia="en-GB"/>
    </w:rPr>
  </w:style>
  <w:style w:type="paragraph" w:styleId="Listacumarcatori3">
    <w:name w:val="List Bullet 3"/>
    <w:basedOn w:val="Normal"/>
    <w:semiHidden/>
    <w:unhideWhenUsed/>
    <w:rsid w:val="004C7DC8"/>
    <w:pPr>
      <w:numPr>
        <w:numId w:val="25"/>
      </w:numPr>
      <w:spacing w:before="120" w:after="120" w:line="240" w:lineRule="auto"/>
      <w:contextualSpacing/>
      <w:jc w:val="both"/>
    </w:pPr>
    <w:rPr>
      <w:rFonts w:ascii="Times New Roman" w:eastAsia="Calibri" w:hAnsi="Times New Roman" w:cs="Times New Roman"/>
      <w:sz w:val="24"/>
      <w:lang w:val="en-GB" w:eastAsia="en-GB"/>
    </w:rPr>
  </w:style>
  <w:style w:type="paragraph" w:styleId="Listacumarcatori4">
    <w:name w:val="List Bullet 4"/>
    <w:basedOn w:val="Normal"/>
    <w:semiHidden/>
    <w:unhideWhenUsed/>
    <w:rsid w:val="004C7DC8"/>
    <w:pPr>
      <w:numPr>
        <w:numId w:val="26"/>
      </w:numPr>
      <w:spacing w:before="120" w:after="120" w:line="240" w:lineRule="auto"/>
      <w:contextualSpacing/>
      <w:jc w:val="both"/>
    </w:pPr>
    <w:rPr>
      <w:rFonts w:ascii="Times New Roman" w:eastAsia="Calibri" w:hAnsi="Times New Roman" w:cs="Times New Roman"/>
      <w:sz w:val="24"/>
      <w:lang w:val="en-GB" w:eastAsia="en-GB"/>
    </w:rPr>
  </w:style>
  <w:style w:type="paragraph" w:styleId="Listacumarcatori5">
    <w:name w:val="List Bullet 5"/>
    <w:basedOn w:val="Normal"/>
    <w:autoRedefine/>
    <w:semiHidden/>
    <w:unhideWhenUsed/>
    <w:rsid w:val="004C7DC8"/>
    <w:pPr>
      <w:numPr>
        <w:numId w:val="27"/>
      </w:numPr>
      <w:spacing w:after="240" w:line="240" w:lineRule="auto"/>
      <w:jc w:val="both"/>
    </w:pPr>
    <w:rPr>
      <w:rFonts w:ascii="Times New Roman" w:eastAsia="Times New Roman" w:hAnsi="Times New Roman" w:cs="Times New Roman"/>
      <w:sz w:val="24"/>
      <w:lang w:val="en-GB" w:eastAsia="en-GB"/>
    </w:rPr>
  </w:style>
  <w:style w:type="paragraph" w:styleId="Listanumerotat5">
    <w:name w:val="List Number 5"/>
    <w:basedOn w:val="Normal"/>
    <w:semiHidden/>
    <w:unhideWhenUsed/>
    <w:rsid w:val="004C7DC8"/>
    <w:pPr>
      <w:numPr>
        <w:numId w:val="28"/>
      </w:numPr>
      <w:spacing w:after="240" w:line="240" w:lineRule="auto"/>
      <w:jc w:val="both"/>
    </w:pPr>
    <w:rPr>
      <w:rFonts w:ascii="Times New Roman" w:eastAsia="Times New Roman" w:hAnsi="Times New Roman" w:cs="Times New Roman"/>
      <w:sz w:val="24"/>
      <w:lang w:val="en-GB" w:eastAsia="en-GB"/>
    </w:rPr>
  </w:style>
  <w:style w:type="paragraph" w:styleId="Titlu">
    <w:name w:val="Title"/>
    <w:basedOn w:val="Normal"/>
    <w:link w:val="TitluCaracter"/>
    <w:qFormat/>
    <w:rsid w:val="004C7DC8"/>
    <w:pPr>
      <w:spacing w:before="240" w:after="60" w:line="240" w:lineRule="auto"/>
      <w:jc w:val="center"/>
      <w:outlineLvl w:val="0"/>
    </w:pPr>
    <w:rPr>
      <w:rFonts w:ascii="Arial" w:eastAsia="Times New Roman" w:hAnsi="Arial" w:cs="Times New Roman"/>
      <w:b/>
      <w:kern w:val="28"/>
      <w:sz w:val="32"/>
      <w:lang w:val="en-GB" w:eastAsia="en-GB"/>
    </w:rPr>
  </w:style>
  <w:style w:type="character" w:customStyle="1" w:styleId="TitluCaracter">
    <w:name w:val="Titlu Caracter"/>
    <w:basedOn w:val="Fontdeparagrafimplicit"/>
    <w:link w:val="Titlu"/>
    <w:rsid w:val="004C7DC8"/>
    <w:rPr>
      <w:rFonts w:ascii="Arial" w:eastAsia="Times New Roman" w:hAnsi="Arial" w:cs="Times New Roman"/>
      <w:b/>
      <w:kern w:val="28"/>
      <w:sz w:val="32"/>
      <w:lang w:val="en-GB" w:eastAsia="en-GB"/>
    </w:rPr>
  </w:style>
  <w:style w:type="character" w:customStyle="1" w:styleId="SemnturCaracter">
    <w:name w:val="Semnătură Caracter"/>
    <w:basedOn w:val="Fontdeparagrafimplicit"/>
    <w:link w:val="Semntur"/>
    <w:uiPriority w:val="99"/>
    <w:semiHidden/>
    <w:rsid w:val="004C7DC8"/>
    <w:rPr>
      <w:rFonts w:ascii="Times New Roman" w:eastAsia="Times New Roman" w:hAnsi="Times New Roman" w:cs="Times New Roman"/>
      <w:sz w:val="24"/>
      <w:lang w:val="en-GB" w:eastAsia="en-GB"/>
    </w:rPr>
  </w:style>
  <w:style w:type="paragraph" w:styleId="Semntur">
    <w:name w:val="Signature"/>
    <w:basedOn w:val="Normal"/>
    <w:next w:val="Contact"/>
    <w:link w:val="SemnturCaracter"/>
    <w:uiPriority w:val="99"/>
    <w:semiHidden/>
    <w:unhideWhenUsed/>
    <w:rsid w:val="004C7DC8"/>
    <w:pPr>
      <w:tabs>
        <w:tab w:val="left" w:pos="5103"/>
      </w:tabs>
      <w:spacing w:before="1200" w:after="0" w:line="240" w:lineRule="auto"/>
      <w:ind w:left="5103"/>
      <w:jc w:val="center"/>
    </w:pPr>
    <w:rPr>
      <w:rFonts w:ascii="Times New Roman" w:eastAsia="Times New Roman" w:hAnsi="Times New Roman" w:cs="Times New Roman"/>
      <w:sz w:val="24"/>
      <w:lang w:val="en-GB" w:eastAsia="en-GB"/>
    </w:rPr>
  </w:style>
  <w:style w:type="character" w:customStyle="1" w:styleId="SignatureChar1">
    <w:name w:val="Signature Char1"/>
    <w:basedOn w:val="Fontdeparagrafimplicit"/>
    <w:uiPriority w:val="99"/>
    <w:semiHidden/>
    <w:rsid w:val="004C7DC8"/>
  </w:style>
  <w:style w:type="paragraph" w:customStyle="1" w:styleId="Contact">
    <w:name w:val="Contact"/>
    <w:basedOn w:val="Normal"/>
    <w:next w:val="Enclosures"/>
    <w:rsid w:val="004C7DC8"/>
    <w:pPr>
      <w:spacing w:before="480" w:after="0" w:line="240" w:lineRule="auto"/>
      <w:ind w:left="567" w:hanging="567"/>
    </w:pPr>
    <w:rPr>
      <w:rFonts w:ascii="Times New Roman" w:eastAsia="Times New Roman" w:hAnsi="Times New Roman" w:cs="Times New Roman"/>
      <w:sz w:val="24"/>
      <w:lang w:val="en-GB" w:eastAsia="en-GB"/>
    </w:rPr>
  </w:style>
  <w:style w:type="paragraph" w:customStyle="1" w:styleId="Enclosures">
    <w:name w:val="Enclosures"/>
    <w:basedOn w:val="Normal"/>
    <w:next w:val="Participants"/>
    <w:rsid w:val="004C7DC8"/>
    <w:pPr>
      <w:keepNext/>
      <w:keepLines/>
      <w:tabs>
        <w:tab w:val="left" w:pos="5670"/>
      </w:tabs>
      <w:spacing w:before="480" w:after="0" w:line="240" w:lineRule="auto"/>
      <w:ind w:left="1985" w:hanging="1985"/>
    </w:pPr>
    <w:rPr>
      <w:rFonts w:ascii="Times New Roman" w:eastAsia="Times New Roman" w:hAnsi="Times New Roman" w:cs="Times New Roman"/>
      <w:sz w:val="24"/>
      <w:lang w:val="en-GB" w:eastAsia="en-GB"/>
    </w:rPr>
  </w:style>
  <w:style w:type="paragraph" w:customStyle="1" w:styleId="Participants">
    <w:name w:val="Participants"/>
    <w:basedOn w:val="Normal"/>
    <w:next w:val="Copies"/>
    <w:rsid w:val="004C7DC8"/>
    <w:pPr>
      <w:tabs>
        <w:tab w:val="left" w:pos="2552"/>
        <w:tab w:val="left" w:pos="2835"/>
        <w:tab w:val="left" w:pos="5670"/>
        <w:tab w:val="left" w:pos="6379"/>
        <w:tab w:val="left" w:pos="6804"/>
      </w:tabs>
      <w:spacing w:before="480" w:after="0" w:line="240" w:lineRule="auto"/>
      <w:ind w:left="1985" w:hanging="1985"/>
    </w:pPr>
    <w:rPr>
      <w:rFonts w:ascii="Times New Roman" w:eastAsia="Times New Roman" w:hAnsi="Times New Roman" w:cs="Times New Roman"/>
      <w:sz w:val="24"/>
      <w:lang w:val="en-GB" w:eastAsia="en-GB"/>
    </w:rPr>
  </w:style>
  <w:style w:type="paragraph" w:customStyle="1" w:styleId="Copies">
    <w:name w:val="Copies"/>
    <w:basedOn w:val="Normal"/>
    <w:next w:val="Normal"/>
    <w:rsid w:val="004C7DC8"/>
    <w:pPr>
      <w:tabs>
        <w:tab w:val="left" w:pos="2552"/>
        <w:tab w:val="left" w:pos="2835"/>
        <w:tab w:val="left" w:pos="5670"/>
        <w:tab w:val="left" w:pos="6379"/>
        <w:tab w:val="left" w:pos="6804"/>
      </w:tabs>
      <w:spacing w:before="480" w:after="0" w:line="240" w:lineRule="auto"/>
      <w:ind w:left="1985" w:hanging="1985"/>
    </w:pPr>
    <w:rPr>
      <w:rFonts w:ascii="Times New Roman" w:eastAsia="Times New Roman" w:hAnsi="Times New Roman" w:cs="Times New Roman"/>
      <w:sz w:val="24"/>
      <w:lang w:val="en-GB" w:eastAsia="en-GB"/>
    </w:rPr>
  </w:style>
  <w:style w:type="character" w:customStyle="1" w:styleId="FormuledencheiereCaracter">
    <w:name w:val="Formule de încheiere Caracter"/>
    <w:basedOn w:val="Fontdeparagrafimplicit"/>
    <w:link w:val="Formuledencheiere"/>
    <w:semiHidden/>
    <w:rsid w:val="004C7DC8"/>
    <w:rPr>
      <w:rFonts w:ascii="Times New Roman" w:eastAsia="Times New Roman" w:hAnsi="Times New Roman" w:cs="Times New Roman"/>
      <w:sz w:val="24"/>
      <w:lang w:val="en-GB" w:eastAsia="en-GB"/>
    </w:rPr>
  </w:style>
  <w:style w:type="paragraph" w:styleId="Formuledencheiere">
    <w:name w:val="Closing"/>
    <w:basedOn w:val="Normal"/>
    <w:next w:val="Semntur"/>
    <w:link w:val="FormuledencheiereCaracter"/>
    <w:semiHidden/>
    <w:unhideWhenUsed/>
    <w:rsid w:val="004C7DC8"/>
    <w:pPr>
      <w:tabs>
        <w:tab w:val="left" w:pos="5103"/>
      </w:tabs>
      <w:spacing w:before="240" w:after="240" w:line="240" w:lineRule="auto"/>
      <w:ind w:left="5103"/>
    </w:pPr>
    <w:rPr>
      <w:rFonts w:ascii="Times New Roman" w:eastAsia="Times New Roman" w:hAnsi="Times New Roman" w:cs="Times New Roman"/>
      <w:sz w:val="24"/>
      <w:lang w:val="en-GB" w:eastAsia="en-GB"/>
    </w:rPr>
  </w:style>
  <w:style w:type="character" w:customStyle="1" w:styleId="ClosingChar1">
    <w:name w:val="Closing Char1"/>
    <w:basedOn w:val="Fontdeparagrafimplicit"/>
    <w:uiPriority w:val="99"/>
    <w:semiHidden/>
    <w:rsid w:val="004C7DC8"/>
  </w:style>
  <w:style w:type="character" w:customStyle="1" w:styleId="CorptextCaracter">
    <w:name w:val="Corp text Caracter"/>
    <w:aliases w:val="Document Caracter,Doc Caracter,Body Text2 Caracter,doc Caracter,Standard paragraph Caracter,BodyText Caracter,(Norm) Caracter,Body Text 12 Caracter,bt Caracter,gl Caracter,uvlaka 2 Caracter,heading3 Caracter,1body Caracter,b. Caracter"/>
    <w:basedOn w:val="Fontdeparagrafimplicit"/>
    <w:link w:val="Corptext"/>
    <w:semiHidden/>
    <w:locked/>
    <w:rsid w:val="004C7DC8"/>
    <w:rPr>
      <w:rFonts w:ascii="Times New Roman" w:eastAsia="Times New Roman" w:hAnsi="Times New Roman" w:cs="Times New Roman"/>
      <w:sz w:val="24"/>
      <w:lang w:val="en-GB" w:eastAsia="en-GB"/>
    </w:rPr>
  </w:style>
  <w:style w:type="paragraph" w:styleId="Corptext">
    <w:name w:val="Body Text"/>
    <w:aliases w:val="Document,Doc,Body Text2,doc,Standard paragraph,BodyText,(Norm),Body Text 12,bt,gl,uvlaka 2,heading3,Body Text - Level 2,1body,BodText,body text,Body Txt,Body Text-10,Body Text Char2,Text Char1,Τίτλος Μελέτης,- TF,b.,b"/>
    <w:basedOn w:val="Normal"/>
    <w:link w:val="CorptextCaracter"/>
    <w:semiHidden/>
    <w:unhideWhenUsed/>
    <w:qFormat/>
    <w:rsid w:val="004C7DC8"/>
    <w:pPr>
      <w:spacing w:after="120" w:line="240" w:lineRule="auto"/>
      <w:jc w:val="both"/>
    </w:pPr>
    <w:rPr>
      <w:rFonts w:ascii="Times New Roman" w:eastAsia="Times New Roman" w:hAnsi="Times New Roman" w:cs="Times New Roman"/>
      <w:sz w:val="24"/>
      <w:lang w:val="en-GB" w:eastAsia="en-GB"/>
    </w:rPr>
  </w:style>
  <w:style w:type="character" w:customStyle="1" w:styleId="BodyTextChar1">
    <w:name w:val="Body Text Char1"/>
    <w:aliases w:val="Document Char,Doc Char,Body Text2 Char,doc Char,Standard paragraph Char,BodyText Char,(Norm) Char,Body Text 12 Char,bt Char,gl Char,uvlaka 2 Char,heading3 Char,Body Text - Level 2 Char,1body Char,BodText Char,body text Char,Body Txt Char"/>
    <w:basedOn w:val="Fontdeparagrafimplicit"/>
    <w:semiHidden/>
    <w:rsid w:val="004C7DC8"/>
  </w:style>
  <w:style w:type="character" w:customStyle="1" w:styleId="IndentcorptextCaracter">
    <w:name w:val="Indent corp text Caracter"/>
    <w:basedOn w:val="Fontdeparagrafimplicit"/>
    <w:link w:val="Indentcorptext"/>
    <w:semiHidden/>
    <w:rsid w:val="004C7DC8"/>
    <w:rPr>
      <w:rFonts w:ascii="Times New Roman" w:eastAsia="Times New Roman" w:hAnsi="Times New Roman" w:cs="Times New Roman"/>
      <w:sz w:val="24"/>
      <w:lang w:val="en-GB" w:eastAsia="en-GB"/>
    </w:rPr>
  </w:style>
  <w:style w:type="paragraph" w:styleId="Indentcorptext">
    <w:name w:val="Body Text Indent"/>
    <w:basedOn w:val="Normal"/>
    <w:link w:val="IndentcorptextCaracter"/>
    <w:semiHidden/>
    <w:unhideWhenUsed/>
    <w:rsid w:val="004C7DC8"/>
    <w:pPr>
      <w:spacing w:after="120" w:line="240" w:lineRule="auto"/>
      <w:ind w:left="283"/>
      <w:jc w:val="both"/>
    </w:pPr>
    <w:rPr>
      <w:rFonts w:ascii="Times New Roman" w:eastAsia="Times New Roman" w:hAnsi="Times New Roman" w:cs="Times New Roman"/>
      <w:sz w:val="24"/>
      <w:lang w:val="en-GB" w:eastAsia="en-GB"/>
    </w:rPr>
  </w:style>
  <w:style w:type="character" w:customStyle="1" w:styleId="BodyTextIndentChar1">
    <w:name w:val="Body Text Indent Char1"/>
    <w:basedOn w:val="Fontdeparagrafimplicit"/>
    <w:uiPriority w:val="99"/>
    <w:semiHidden/>
    <w:rsid w:val="004C7DC8"/>
  </w:style>
  <w:style w:type="character" w:customStyle="1" w:styleId="AntetmesajCaracter">
    <w:name w:val="Antet mesaj Caracter"/>
    <w:basedOn w:val="Fontdeparagrafimplicit"/>
    <w:link w:val="Antetmesaj"/>
    <w:semiHidden/>
    <w:rsid w:val="004C7DC8"/>
    <w:rPr>
      <w:rFonts w:ascii="Arial" w:eastAsia="Times New Roman" w:hAnsi="Arial" w:cs="Times New Roman"/>
      <w:sz w:val="24"/>
      <w:shd w:val="pct20" w:color="auto" w:fill="auto"/>
      <w:lang w:val="en-GB" w:eastAsia="en-GB"/>
    </w:rPr>
  </w:style>
  <w:style w:type="paragraph" w:styleId="Antetmesaj">
    <w:name w:val="Message Header"/>
    <w:basedOn w:val="Normal"/>
    <w:link w:val="AntetmesajCaracter"/>
    <w:semiHidden/>
    <w:unhideWhenUsed/>
    <w:rsid w:val="004C7DC8"/>
    <w:pPr>
      <w:pBdr>
        <w:top w:val="single" w:sz="6" w:space="1" w:color="auto"/>
        <w:left w:val="single" w:sz="6" w:space="1" w:color="auto"/>
        <w:bottom w:val="single" w:sz="6" w:space="1" w:color="auto"/>
        <w:right w:val="single" w:sz="6" w:space="1" w:color="auto"/>
      </w:pBdr>
      <w:shd w:val="pct20" w:color="auto" w:fill="auto"/>
      <w:spacing w:after="240" w:line="240" w:lineRule="auto"/>
      <w:ind w:left="1134" w:hanging="1134"/>
      <w:jc w:val="both"/>
    </w:pPr>
    <w:rPr>
      <w:rFonts w:ascii="Arial" w:eastAsia="Times New Roman" w:hAnsi="Arial" w:cs="Times New Roman"/>
      <w:sz w:val="24"/>
      <w:lang w:val="en-GB" w:eastAsia="en-GB"/>
    </w:rPr>
  </w:style>
  <w:style w:type="character" w:customStyle="1" w:styleId="MessageHeaderChar1">
    <w:name w:val="Message Header Char1"/>
    <w:basedOn w:val="Fontdeparagrafimplicit"/>
    <w:uiPriority w:val="99"/>
    <w:semiHidden/>
    <w:rsid w:val="004C7DC8"/>
    <w:rPr>
      <w:rFonts w:asciiTheme="majorHAnsi" w:eastAsiaTheme="majorEastAsia" w:hAnsiTheme="majorHAnsi" w:cstheme="majorBidi"/>
      <w:sz w:val="24"/>
      <w:szCs w:val="24"/>
      <w:shd w:val="pct20" w:color="auto" w:fill="auto"/>
    </w:rPr>
  </w:style>
  <w:style w:type="paragraph" w:styleId="Subtitlu">
    <w:name w:val="Subtitle"/>
    <w:basedOn w:val="Normal"/>
    <w:link w:val="SubtitluCaracter"/>
    <w:qFormat/>
    <w:rsid w:val="004C7DC8"/>
    <w:pPr>
      <w:spacing w:after="60" w:line="240" w:lineRule="auto"/>
      <w:jc w:val="center"/>
      <w:outlineLvl w:val="1"/>
    </w:pPr>
    <w:rPr>
      <w:rFonts w:ascii="Arial" w:eastAsia="Times New Roman" w:hAnsi="Arial" w:cs="Times New Roman"/>
      <w:sz w:val="24"/>
      <w:lang w:val="en-GB" w:eastAsia="en-GB"/>
    </w:rPr>
  </w:style>
  <w:style w:type="character" w:customStyle="1" w:styleId="SubtitluCaracter">
    <w:name w:val="Subtitlu Caracter"/>
    <w:basedOn w:val="Fontdeparagrafimplicit"/>
    <w:link w:val="Subtitlu"/>
    <w:rsid w:val="004C7DC8"/>
    <w:rPr>
      <w:rFonts w:ascii="Arial" w:eastAsia="Times New Roman" w:hAnsi="Arial" w:cs="Times New Roman"/>
      <w:sz w:val="24"/>
      <w:lang w:val="en-GB" w:eastAsia="en-GB"/>
    </w:rPr>
  </w:style>
  <w:style w:type="character" w:customStyle="1" w:styleId="FormuldesalutCaracter">
    <w:name w:val="Formulă de salut Caracter"/>
    <w:basedOn w:val="Fontdeparagrafimplicit"/>
    <w:link w:val="Formuldesalut"/>
    <w:semiHidden/>
    <w:rsid w:val="004C7DC8"/>
    <w:rPr>
      <w:rFonts w:ascii="Times New Roman" w:eastAsia="Times New Roman" w:hAnsi="Times New Roman" w:cs="Times New Roman"/>
      <w:sz w:val="24"/>
      <w:lang w:val="en-GB" w:eastAsia="en-GB"/>
    </w:rPr>
  </w:style>
  <w:style w:type="paragraph" w:styleId="Formuldesalut">
    <w:name w:val="Salutation"/>
    <w:basedOn w:val="Normal"/>
    <w:next w:val="Normal"/>
    <w:link w:val="FormuldesalutCaracter"/>
    <w:semiHidden/>
    <w:unhideWhenUsed/>
    <w:rsid w:val="004C7DC8"/>
    <w:pPr>
      <w:spacing w:after="240" w:line="240" w:lineRule="auto"/>
      <w:jc w:val="both"/>
    </w:pPr>
    <w:rPr>
      <w:rFonts w:ascii="Times New Roman" w:eastAsia="Times New Roman" w:hAnsi="Times New Roman" w:cs="Times New Roman"/>
      <w:sz w:val="24"/>
      <w:lang w:val="en-GB" w:eastAsia="en-GB"/>
    </w:rPr>
  </w:style>
  <w:style w:type="character" w:customStyle="1" w:styleId="SalutationChar1">
    <w:name w:val="Salutation Char1"/>
    <w:basedOn w:val="Fontdeparagrafimplicit"/>
    <w:uiPriority w:val="99"/>
    <w:semiHidden/>
    <w:rsid w:val="004C7DC8"/>
  </w:style>
  <w:style w:type="paragraph" w:customStyle="1" w:styleId="References">
    <w:name w:val="References"/>
    <w:basedOn w:val="Normal"/>
    <w:next w:val="AddressTR"/>
    <w:rsid w:val="004C7DC8"/>
    <w:pPr>
      <w:spacing w:after="240" w:line="240" w:lineRule="auto"/>
      <w:ind w:left="5103"/>
    </w:pPr>
    <w:rPr>
      <w:rFonts w:ascii="Times New Roman" w:eastAsia="Times New Roman" w:hAnsi="Times New Roman" w:cs="Times New Roman"/>
      <w:sz w:val="20"/>
      <w:lang w:val="en-GB" w:eastAsia="en-GB"/>
    </w:rPr>
  </w:style>
  <w:style w:type="paragraph" w:customStyle="1" w:styleId="AddressTR">
    <w:name w:val="AddressTR"/>
    <w:basedOn w:val="Normal"/>
    <w:next w:val="Normal"/>
    <w:rsid w:val="004C7DC8"/>
    <w:pPr>
      <w:spacing w:after="720" w:line="240" w:lineRule="auto"/>
      <w:ind w:left="5103"/>
    </w:pPr>
    <w:rPr>
      <w:rFonts w:ascii="Times New Roman" w:eastAsia="Times New Roman" w:hAnsi="Times New Roman" w:cs="Times New Roman"/>
      <w:sz w:val="24"/>
      <w:lang w:val="en-GB" w:eastAsia="en-GB"/>
    </w:rPr>
  </w:style>
  <w:style w:type="character" w:customStyle="1" w:styleId="DatCaracter">
    <w:name w:val="Dată Caracter"/>
    <w:basedOn w:val="Fontdeparagrafimplicit"/>
    <w:link w:val="Dat"/>
    <w:semiHidden/>
    <w:rsid w:val="004C7DC8"/>
    <w:rPr>
      <w:rFonts w:ascii="Times New Roman" w:eastAsia="Times New Roman" w:hAnsi="Times New Roman" w:cs="Times New Roman"/>
      <w:sz w:val="24"/>
      <w:lang w:val="en-GB" w:eastAsia="en-GB"/>
    </w:rPr>
  </w:style>
  <w:style w:type="paragraph" w:styleId="Dat">
    <w:name w:val="Date"/>
    <w:basedOn w:val="Normal"/>
    <w:next w:val="References"/>
    <w:link w:val="DatCaracter"/>
    <w:semiHidden/>
    <w:unhideWhenUsed/>
    <w:rsid w:val="004C7DC8"/>
    <w:pPr>
      <w:spacing w:after="0" w:line="240" w:lineRule="auto"/>
      <w:ind w:left="5103" w:right="-567"/>
    </w:pPr>
    <w:rPr>
      <w:rFonts w:ascii="Times New Roman" w:eastAsia="Times New Roman" w:hAnsi="Times New Roman" w:cs="Times New Roman"/>
      <w:sz w:val="24"/>
      <w:lang w:val="en-GB" w:eastAsia="en-GB"/>
    </w:rPr>
  </w:style>
  <w:style w:type="character" w:customStyle="1" w:styleId="DateChar1">
    <w:name w:val="Date Char1"/>
    <w:basedOn w:val="Fontdeparagrafimplicit"/>
    <w:uiPriority w:val="99"/>
    <w:semiHidden/>
    <w:rsid w:val="004C7DC8"/>
  </w:style>
  <w:style w:type="paragraph" w:styleId="Primindentpentrucorptext">
    <w:name w:val="Body Text First Indent"/>
    <w:basedOn w:val="Corptext"/>
    <w:link w:val="PrimindentpentrucorptextCaracter"/>
    <w:semiHidden/>
    <w:unhideWhenUsed/>
    <w:rsid w:val="004C7DC8"/>
    <w:pPr>
      <w:ind w:firstLine="210"/>
    </w:pPr>
  </w:style>
  <w:style w:type="character" w:customStyle="1" w:styleId="PrimindentpentrucorptextCaracter">
    <w:name w:val="Prim indent pentru corp text Caracter"/>
    <w:basedOn w:val="BodyTextChar1"/>
    <w:link w:val="Primindentpentrucorptext"/>
    <w:semiHidden/>
    <w:rsid w:val="004C7DC8"/>
    <w:rPr>
      <w:rFonts w:ascii="Times New Roman" w:eastAsia="Times New Roman" w:hAnsi="Times New Roman" w:cs="Times New Roman"/>
      <w:sz w:val="24"/>
      <w:lang w:val="en-GB" w:eastAsia="en-GB"/>
    </w:rPr>
  </w:style>
  <w:style w:type="character" w:customStyle="1" w:styleId="Primindentpentrucorptext2Caracter">
    <w:name w:val="Prim indent pentru corp text 2 Caracter"/>
    <w:basedOn w:val="IndentcorptextCaracter"/>
    <w:link w:val="Primindentpentrucorptext2"/>
    <w:semiHidden/>
    <w:rsid w:val="004C7DC8"/>
    <w:rPr>
      <w:rFonts w:ascii="Times New Roman" w:eastAsia="Times New Roman" w:hAnsi="Times New Roman" w:cs="Times New Roman"/>
      <w:sz w:val="24"/>
      <w:lang w:val="en-GB" w:eastAsia="en-GB"/>
    </w:rPr>
  </w:style>
  <w:style w:type="paragraph" w:styleId="Primindentpentrucorptext2">
    <w:name w:val="Body Text First Indent 2"/>
    <w:basedOn w:val="Indentcorptext"/>
    <w:link w:val="Primindentpentrucorptext2Caracter"/>
    <w:semiHidden/>
    <w:unhideWhenUsed/>
    <w:rsid w:val="004C7DC8"/>
    <w:pPr>
      <w:ind w:firstLine="210"/>
    </w:pPr>
  </w:style>
  <w:style w:type="character" w:customStyle="1" w:styleId="BodyTextFirstIndent2Char1">
    <w:name w:val="Body Text First Indent 2 Char1"/>
    <w:basedOn w:val="BodyTextIndentChar1"/>
    <w:uiPriority w:val="99"/>
    <w:semiHidden/>
    <w:rsid w:val="004C7DC8"/>
  </w:style>
  <w:style w:type="character" w:customStyle="1" w:styleId="TitlunotCaracter">
    <w:name w:val="Titlu notă Caracter"/>
    <w:basedOn w:val="Fontdeparagrafimplicit"/>
    <w:link w:val="Titlunot"/>
    <w:semiHidden/>
    <w:rsid w:val="004C7DC8"/>
    <w:rPr>
      <w:rFonts w:ascii="Times New Roman" w:eastAsia="Times New Roman" w:hAnsi="Times New Roman" w:cs="Times New Roman"/>
      <w:sz w:val="24"/>
      <w:lang w:val="en-GB" w:eastAsia="en-GB"/>
    </w:rPr>
  </w:style>
  <w:style w:type="paragraph" w:styleId="Titlunot">
    <w:name w:val="Note Heading"/>
    <w:basedOn w:val="Normal"/>
    <w:next w:val="Normal"/>
    <w:link w:val="TitlunotCaracter"/>
    <w:semiHidden/>
    <w:unhideWhenUsed/>
    <w:rsid w:val="004C7DC8"/>
    <w:pPr>
      <w:spacing w:after="240" w:line="240" w:lineRule="auto"/>
      <w:jc w:val="both"/>
    </w:pPr>
    <w:rPr>
      <w:rFonts w:ascii="Times New Roman" w:eastAsia="Times New Roman" w:hAnsi="Times New Roman" w:cs="Times New Roman"/>
      <w:sz w:val="24"/>
      <w:lang w:val="en-GB" w:eastAsia="en-GB"/>
    </w:rPr>
  </w:style>
  <w:style w:type="character" w:customStyle="1" w:styleId="NoteHeadingChar1">
    <w:name w:val="Note Heading Char1"/>
    <w:basedOn w:val="Fontdeparagrafimplicit"/>
    <w:uiPriority w:val="99"/>
    <w:semiHidden/>
    <w:rsid w:val="004C7DC8"/>
  </w:style>
  <w:style w:type="character" w:customStyle="1" w:styleId="Corptext2Caracter">
    <w:name w:val="Corp text 2 Caracter"/>
    <w:basedOn w:val="Fontdeparagrafimplicit"/>
    <w:link w:val="Corptext2"/>
    <w:semiHidden/>
    <w:rsid w:val="004C7DC8"/>
    <w:rPr>
      <w:rFonts w:ascii="Times New Roman" w:eastAsia="Times New Roman" w:hAnsi="Times New Roman" w:cs="Times New Roman"/>
      <w:sz w:val="24"/>
      <w:lang w:val="en-GB" w:eastAsia="en-GB"/>
    </w:rPr>
  </w:style>
  <w:style w:type="paragraph" w:styleId="Corptext2">
    <w:name w:val="Body Text 2"/>
    <w:basedOn w:val="Normal"/>
    <w:link w:val="Corptext2Caracter"/>
    <w:semiHidden/>
    <w:unhideWhenUsed/>
    <w:rsid w:val="004C7DC8"/>
    <w:pPr>
      <w:spacing w:after="120" w:line="480" w:lineRule="auto"/>
      <w:jc w:val="both"/>
    </w:pPr>
    <w:rPr>
      <w:rFonts w:ascii="Times New Roman" w:eastAsia="Times New Roman" w:hAnsi="Times New Roman" w:cs="Times New Roman"/>
      <w:sz w:val="24"/>
      <w:lang w:val="en-GB" w:eastAsia="en-GB"/>
    </w:rPr>
  </w:style>
  <w:style w:type="character" w:customStyle="1" w:styleId="BodyText2Char1">
    <w:name w:val="Body Text 2 Char1"/>
    <w:basedOn w:val="Fontdeparagrafimplicit"/>
    <w:uiPriority w:val="99"/>
    <w:semiHidden/>
    <w:rsid w:val="004C7DC8"/>
  </w:style>
  <w:style w:type="character" w:customStyle="1" w:styleId="Corptext3Caracter">
    <w:name w:val="Corp text 3 Caracter"/>
    <w:basedOn w:val="Fontdeparagrafimplicit"/>
    <w:link w:val="Corptext3"/>
    <w:semiHidden/>
    <w:rsid w:val="004C7DC8"/>
    <w:rPr>
      <w:rFonts w:ascii="Times New Roman" w:eastAsia="Times New Roman" w:hAnsi="Times New Roman" w:cs="Times New Roman"/>
      <w:sz w:val="16"/>
      <w:lang w:val="en-GB" w:eastAsia="en-GB"/>
    </w:rPr>
  </w:style>
  <w:style w:type="paragraph" w:styleId="Corptext3">
    <w:name w:val="Body Text 3"/>
    <w:basedOn w:val="Normal"/>
    <w:link w:val="Corptext3Caracter"/>
    <w:semiHidden/>
    <w:unhideWhenUsed/>
    <w:rsid w:val="004C7DC8"/>
    <w:pPr>
      <w:spacing w:after="120" w:line="240" w:lineRule="auto"/>
      <w:jc w:val="both"/>
    </w:pPr>
    <w:rPr>
      <w:rFonts w:ascii="Times New Roman" w:eastAsia="Times New Roman" w:hAnsi="Times New Roman" w:cs="Times New Roman"/>
      <w:sz w:val="16"/>
      <w:lang w:val="en-GB" w:eastAsia="en-GB"/>
    </w:rPr>
  </w:style>
  <w:style w:type="character" w:customStyle="1" w:styleId="BodyText3Char1">
    <w:name w:val="Body Text 3 Char1"/>
    <w:basedOn w:val="Fontdeparagrafimplicit"/>
    <w:uiPriority w:val="99"/>
    <w:semiHidden/>
    <w:rsid w:val="004C7DC8"/>
    <w:rPr>
      <w:sz w:val="16"/>
      <w:szCs w:val="16"/>
    </w:rPr>
  </w:style>
  <w:style w:type="character" w:customStyle="1" w:styleId="Indentcorptext2Caracter">
    <w:name w:val="Indent corp text 2 Caracter"/>
    <w:basedOn w:val="Fontdeparagrafimplicit"/>
    <w:link w:val="Indentcorptext2"/>
    <w:semiHidden/>
    <w:rsid w:val="004C7DC8"/>
    <w:rPr>
      <w:rFonts w:ascii="Times New Roman" w:eastAsia="Times New Roman" w:hAnsi="Times New Roman" w:cs="Times New Roman"/>
      <w:sz w:val="24"/>
      <w:lang w:val="en-GB" w:eastAsia="en-GB"/>
    </w:rPr>
  </w:style>
  <w:style w:type="paragraph" w:styleId="Indentcorptext2">
    <w:name w:val="Body Text Indent 2"/>
    <w:basedOn w:val="Normal"/>
    <w:link w:val="Indentcorptext2Caracter"/>
    <w:semiHidden/>
    <w:unhideWhenUsed/>
    <w:rsid w:val="004C7DC8"/>
    <w:pPr>
      <w:spacing w:after="120" w:line="480" w:lineRule="auto"/>
      <w:ind w:left="283"/>
      <w:jc w:val="both"/>
    </w:pPr>
    <w:rPr>
      <w:rFonts w:ascii="Times New Roman" w:eastAsia="Times New Roman" w:hAnsi="Times New Roman" w:cs="Times New Roman"/>
      <w:sz w:val="24"/>
      <w:lang w:val="en-GB" w:eastAsia="en-GB"/>
    </w:rPr>
  </w:style>
  <w:style w:type="character" w:customStyle="1" w:styleId="BodyTextIndent2Char1">
    <w:name w:val="Body Text Indent 2 Char1"/>
    <w:basedOn w:val="Fontdeparagrafimplicit"/>
    <w:uiPriority w:val="99"/>
    <w:semiHidden/>
    <w:rsid w:val="004C7DC8"/>
  </w:style>
  <w:style w:type="character" w:customStyle="1" w:styleId="Indentcorptext3Caracter">
    <w:name w:val="Indent corp text 3 Caracter"/>
    <w:basedOn w:val="Fontdeparagrafimplicit"/>
    <w:link w:val="Indentcorptext3"/>
    <w:semiHidden/>
    <w:rsid w:val="004C7DC8"/>
    <w:rPr>
      <w:rFonts w:ascii="Times New Roman" w:eastAsia="Times New Roman" w:hAnsi="Times New Roman" w:cs="Times New Roman"/>
      <w:sz w:val="16"/>
      <w:lang w:val="en-GB" w:eastAsia="en-GB"/>
    </w:rPr>
  </w:style>
  <w:style w:type="paragraph" w:styleId="Indentcorptext3">
    <w:name w:val="Body Text Indent 3"/>
    <w:basedOn w:val="Normal"/>
    <w:link w:val="Indentcorptext3Caracter"/>
    <w:semiHidden/>
    <w:unhideWhenUsed/>
    <w:rsid w:val="004C7DC8"/>
    <w:pPr>
      <w:spacing w:after="120" w:line="240" w:lineRule="auto"/>
      <w:ind w:left="283"/>
      <w:jc w:val="both"/>
    </w:pPr>
    <w:rPr>
      <w:rFonts w:ascii="Times New Roman" w:eastAsia="Times New Roman" w:hAnsi="Times New Roman" w:cs="Times New Roman"/>
      <w:sz w:val="16"/>
      <w:lang w:val="en-GB" w:eastAsia="en-GB"/>
    </w:rPr>
  </w:style>
  <w:style w:type="character" w:customStyle="1" w:styleId="BodyTextIndent3Char1">
    <w:name w:val="Body Text Indent 3 Char1"/>
    <w:basedOn w:val="Fontdeparagrafimplicit"/>
    <w:uiPriority w:val="99"/>
    <w:semiHidden/>
    <w:rsid w:val="004C7DC8"/>
    <w:rPr>
      <w:sz w:val="16"/>
      <w:szCs w:val="16"/>
    </w:rPr>
  </w:style>
  <w:style w:type="character" w:customStyle="1" w:styleId="PlandocumentCaracter">
    <w:name w:val="Plan document Caracter"/>
    <w:basedOn w:val="Fontdeparagrafimplicit"/>
    <w:link w:val="Plandocument"/>
    <w:semiHidden/>
    <w:rsid w:val="004C7DC8"/>
    <w:rPr>
      <w:rFonts w:ascii="Tahoma" w:eastAsia="Times New Roman" w:hAnsi="Tahoma" w:cs="Times New Roman"/>
      <w:sz w:val="24"/>
      <w:shd w:val="clear" w:color="auto" w:fill="000080"/>
      <w:lang w:val="en-GB" w:eastAsia="en-GB"/>
    </w:rPr>
  </w:style>
  <w:style w:type="paragraph" w:styleId="Plandocument">
    <w:name w:val="Document Map"/>
    <w:basedOn w:val="Normal"/>
    <w:link w:val="PlandocumentCaracter"/>
    <w:semiHidden/>
    <w:unhideWhenUsed/>
    <w:rsid w:val="004C7DC8"/>
    <w:pPr>
      <w:shd w:val="clear" w:color="auto" w:fill="000080"/>
      <w:spacing w:after="240" w:line="240" w:lineRule="auto"/>
      <w:jc w:val="both"/>
    </w:pPr>
    <w:rPr>
      <w:rFonts w:ascii="Tahoma" w:eastAsia="Times New Roman" w:hAnsi="Tahoma" w:cs="Times New Roman"/>
      <w:sz w:val="24"/>
      <w:lang w:val="en-GB" w:eastAsia="en-GB"/>
    </w:rPr>
  </w:style>
  <w:style w:type="character" w:customStyle="1" w:styleId="DocumentMapChar1">
    <w:name w:val="Document Map Char1"/>
    <w:basedOn w:val="Fontdeparagrafimplicit"/>
    <w:uiPriority w:val="99"/>
    <w:semiHidden/>
    <w:rsid w:val="004C7DC8"/>
    <w:rPr>
      <w:rFonts w:ascii="Segoe UI" w:hAnsi="Segoe UI" w:cs="Segoe UI"/>
      <w:sz w:val="16"/>
      <w:szCs w:val="16"/>
    </w:rPr>
  </w:style>
  <w:style w:type="character" w:customStyle="1" w:styleId="TextsimpluCaracter">
    <w:name w:val="Text simplu Caracter"/>
    <w:basedOn w:val="Fontdeparagrafimplicit"/>
    <w:link w:val="Textsimplu"/>
    <w:semiHidden/>
    <w:rsid w:val="004C7DC8"/>
    <w:rPr>
      <w:rFonts w:ascii="Courier New" w:eastAsia="Times New Roman" w:hAnsi="Courier New" w:cs="Times New Roman"/>
      <w:sz w:val="20"/>
      <w:lang w:val="en-GB" w:eastAsia="en-GB"/>
    </w:rPr>
  </w:style>
  <w:style w:type="paragraph" w:styleId="Textsimplu">
    <w:name w:val="Plain Text"/>
    <w:basedOn w:val="Normal"/>
    <w:link w:val="TextsimpluCaracter"/>
    <w:semiHidden/>
    <w:unhideWhenUsed/>
    <w:rsid w:val="004C7DC8"/>
    <w:pPr>
      <w:spacing w:after="240" w:line="240" w:lineRule="auto"/>
      <w:jc w:val="both"/>
    </w:pPr>
    <w:rPr>
      <w:rFonts w:ascii="Courier New" w:eastAsia="Times New Roman" w:hAnsi="Courier New" w:cs="Times New Roman"/>
      <w:sz w:val="20"/>
      <w:lang w:val="en-GB" w:eastAsia="en-GB"/>
    </w:rPr>
  </w:style>
  <w:style w:type="character" w:customStyle="1" w:styleId="PlainTextChar1">
    <w:name w:val="Plain Text Char1"/>
    <w:basedOn w:val="Fontdeparagrafimplicit"/>
    <w:uiPriority w:val="99"/>
    <w:semiHidden/>
    <w:rsid w:val="004C7DC8"/>
    <w:rPr>
      <w:rFonts w:ascii="Consolas" w:hAnsi="Consolas" w:cs="Consolas"/>
      <w:sz w:val="21"/>
      <w:szCs w:val="21"/>
    </w:rPr>
  </w:style>
  <w:style w:type="character" w:customStyle="1" w:styleId="SubiectComentariuCaracter">
    <w:name w:val="Subiect Comentariu Caracter"/>
    <w:basedOn w:val="TextcomentariuCaracter"/>
    <w:link w:val="SubiectComentariu"/>
    <w:semiHidden/>
    <w:rsid w:val="004C7DC8"/>
    <w:rPr>
      <w:rFonts w:ascii="Times New Roman" w:eastAsia="Calibri" w:hAnsi="Times New Roman" w:cs="Arial"/>
      <w:b/>
      <w:bCs/>
      <w:sz w:val="20"/>
      <w:szCs w:val="20"/>
      <w:lang w:val="en-US"/>
    </w:rPr>
  </w:style>
  <w:style w:type="paragraph" w:styleId="SubiectComentariu">
    <w:name w:val="annotation subject"/>
    <w:basedOn w:val="Textcomentariu"/>
    <w:next w:val="Textcomentariu"/>
    <w:link w:val="SubiectComentariuCaracter"/>
    <w:semiHidden/>
    <w:unhideWhenUsed/>
    <w:rsid w:val="004C7DC8"/>
    <w:rPr>
      <w:b/>
      <w:bCs/>
    </w:rPr>
  </w:style>
  <w:style w:type="character" w:customStyle="1" w:styleId="CommentSubjectChar1">
    <w:name w:val="Comment Subject Char1"/>
    <w:basedOn w:val="TextcomentariuCaracter"/>
    <w:uiPriority w:val="99"/>
    <w:semiHidden/>
    <w:rsid w:val="004C7DC8"/>
    <w:rPr>
      <w:rFonts w:ascii="Times New Roman" w:eastAsia="Calibri" w:hAnsi="Times New Roman" w:cs="Arial"/>
      <w:b/>
      <w:bCs/>
      <w:sz w:val="20"/>
      <w:szCs w:val="20"/>
      <w:lang w:val="en-US"/>
    </w:rPr>
  </w:style>
  <w:style w:type="character" w:customStyle="1" w:styleId="TextnBalonCaracter">
    <w:name w:val="Text în Balon Caracter"/>
    <w:basedOn w:val="Fontdeparagrafimplicit"/>
    <w:link w:val="TextnBalon"/>
    <w:semiHidden/>
    <w:rsid w:val="004C7DC8"/>
    <w:rPr>
      <w:rFonts w:ascii="Tahoma" w:eastAsia="Calibri" w:hAnsi="Tahoma" w:cs="Tahoma"/>
      <w:sz w:val="16"/>
      <w:szCs w:val="16"/>
    </w:rPr>
  </w:style>
  <w:style w:type="paragraph" w:styleId="TextnBalon">
    <w:name w:val="Balloon Text"/>
    <w:basedOn w:val="Normal"/>
    <w:link w:val="TextnBalonCaracter"/>
    <w:semiHidden/>
    <w:unhideWhenUsed/>
    <w:rsid w:val="004C7DC8"/>
    <w:pPr>
      <w:spacing w:after="0" w:line="360" w:lineRule="auto"/>
    </w:pPr>
    <w:rPr>
      <w:rFonts w:ascii="Tahoma" w:eastAsia="Calibri" w:hAnsi="Tahoma" w:cs="Tahoma"/>
      <w:sz w:val="16"/>
      <w:szCs w:val="16"/>
    </w:rPr>
  </w:style>
  <w:style w:type="character" w:customStyle="1" w:styleId="BalloonTextChar1">
    <w:name w:val="Balloon Text Char1"/>
    <w:basedOn w:val="Fontdeparagrafimplicit"/>
    <w:uiPriority w:val="99"/>
    <w:semiHidden/>
    <w:rsid w:val="004C7DC8"/>
    <w:rPr>
      <w:rFonts w:ascii="Segoe UI" w:hAnsi="Segoe UI" w:cs="Segoe UI"/>
      <w:sz w:val="18"/>
      <w:szCs w:val="18"/>
    </w:rPr>
  </w:style>
  <w:style w:type="paragraph" w:styleId="Frspaiere">
    <w:name w:val="No Spacing"/>
    <w:uiPriority w:val="1"/>
    <w:qFormat/>
    <w:rsid w:val="004C7DC8"/>
    <w:pPr>
      <w:spacing w:after="0" w:line="240" w:lineRule="auto"/>
    </w:pPr>
    <w:rPr>
      <w:lang w:val="en-GB"/>
    </w:rPr>
  </w:style>
  <w:style w:type="paragraph" w:styleId="Citat">
    <w:name w:val="Quote"/>
    <w:basedOn w:val="Normal"/>
    <w:next w:val="Normal"/>
    <w:link w:val="CitatCaracter"/>
    <w:uiPriority w:val="29"/>
    <w:qFormat/>
    <w:rsid w:val="004C7DC8"/>
    <w:pPr>
      <w:spacing w:after="240" w:line="240" w:lineRule="auto"/>
      <w:jc w:val="both"/>
    </w:pPr>
    <w:rPr>
      <w:rFonts w:ascii="Times New Roman" w:eastAsia="Times New Roman" w:hAnsi="Times New Roman" w:cs="Times New Roman"/>
      <w:i/>
      <w:iCs/>
      <w:color w:val="000000"/>
      <w:sz w:val="24"/>
      <w:szCs w:val="20"/>
      <w:lang w:val="en-GB" w:eastAsia="en-GB"/>
    </w:rPr>
  </w:style>
  <w:style w:type="character" w:customStyle="1" w:styleId="CitatCaracter">
    <w:name w:val="Citat Caracter"/>
    <w:basedOn w:val="Fontdeparagrafimplicit"/>
    <w:link w:val="Citat"/>
    <w:uiPriority w:val="29"/>
    <w:rsid w:val="004C7DC8"/>
    <w:rPr>
      <w:rFonts w:ascii="Times New Roman" w:eastAsia="Times New Roman" w:hAnsi="Times New Roman" w:cs="Times New Roman"/>
      <w:i/>
      <w:iCs/>
      <w:color w:val="000000"/>
      <w:sz w:val="24"/>
      <w:szCs w:val="20"/>
      <w:lang w:val="en-GB" w:eastAsia="en-GB"/>
    </w:rPr>
  </w:style>
  <w:style w:type="paragraph" w:customStyle="1" w:styleId="EntInstit">
    <w:name w:val="EntInstit"/>
    <w:basedOn w:val="Normal"/>
    <w:rsid w:val="004C7DC8"/>
    <w:pPr>
      <w:spacing w:after="0" w:line="240" w:lineRule="auto"/>
      <w:jc w:val="right"/>
    </w:pPr>
    <w:rPr>
      <w:rFonts w:ascii="Times New Roman" w:eastAsia="Calibri" w:hAnsi="Times New Roman" w:cs="Arial"/>
      <w:b/>
      <w:sz w:val="24"/>
      <w:lang w:val="en-US"/>
    </w:rPr>
  </w:style>
  <w:style w:type="paragraph" w:customStyle="1" w:styleId="EntRefer">
    <w:name w:val="EntRefer"/>
    <w:basedOn w:val="Normal"/>
    <w:rsid w:val="004C7DC8"/>
    <w:pPr>
      <w:spacing w:after="0" w:line="240" w:lineRule="auto"/>
    </w:pPr>
    <w:rPr>
      <w:rFonts w:ascii="Times New Roman" w:eastAsia="Calibri" w:hAnsi="Times New Roman" w:cs="Arial"/>
      <w:b/>
      <w:sz w:val="24"/>
      <w:lang w:val="en-US"/>
    </w:rPr>
  </w:style>
  <w:style w:type="paragraph" w:customStyle="1" w:styleId="Par-number10">
    <w:name w:val="Par-number 1)"/>
    <w:basedOn w:val="Normal"/>
    <w:next w:val="Normal"/>
    <w:rsid w:val="004C7DC8"/>
    <w:pPr>
      <w:numPr>
        <w:numId w:val="29"/>
      </w:numPr>
      <w:spacing w:after="0" w:line="360" w:lineRule="auto"/>
    </w:pPr>
    <w:rPr>
      <w:rFonts w:ascii="Times New Roman" w:eastAsia="Calibri" w:hAnsi="Times New Roman" w:cs="Arial"/>
      <w:sz w:val="24"/>
      <w:lang w:val="en-US"/>
    </w:rPr>
  </w:style>
  <w:style w:type="paragraph" w:customStyle="1" w:styleId="EntEmet">
    <w:name w:val="EntEmet"/>
    <w:basedOn w:val="Normal"/>
    <w:rsid w:val="004C7DC8"/>
    <w:pPr>
      <w:tabs>
        <w:tab w:val="left" w:pos="284"/>
        <w:tab w:val="left" w:pos="567"/>
        <w:tab w:val="left" w:pos="851"/>
        <w:tab w:val="left" w:pos="1134"/>
        <w:tab w:val="left" w:pos="1418"/>
      </w:tabs>
      <w:spacing w:before="40" w:after="0" w:line="240" w:lineRule="auto"/>
    </w:pPr>
    <w:rPr>
      <w:rFonts w:ascii="Times New Roman" w:eastAsia="Calibri" w:hAnsi="Times New Roman" w:cs="Arial"/>
      <w:sz w:val="24"/>
      <w:lang w:val="en-US"/>
    </w:rPr>
  </w:style>
  <w:style w:type="paragraph" w:customStyle="1" w:styleId="Par-bullet">
    <w:name w:val="Par-bullet"/>
    <w:basedOn w:val="Normal"/>
    <w:next w:val="Normal"/>
    <w:rsid w:val="004C7DC8"/>
    <w:pPr>
      <w:numPr>
        <w:numId w:val="30"/>
      </w:numPr>
      <w:spacing w:after="0" w:line="360" w:lineRule="auto"/>
    </w:pPr>
    <w:rPr>
      <w:rFonts w:ascii="Times New Roman" w:eastAsia="Calibri" w:hAnsi="Times New Roman" w:cs="Arial"/>
      <w:sz w:val="24"/>
      <w:lang w:val="en-US"/>
    </w:rPr>
  </w:style>
  <w:style w:type="paragraph" w:customStyle="1" w:styleId="Par-equal">
    <w:name w:val="Par-equal"/>
    <w:basedOn w:val="Normal"/>
    <w:next w:val="Normal"/>
    <w:rsid w:val="004C7DC8"/>
    <w:pPr>
      <w:numPr>
        <w:numId w:val="31"/>
      </w:numPr>
      <w:spacing w:after="0" w:line="360" w:lineRule="auto"/>
    </w:pPr>
    <w:rPr>
      <w:rFonts w:ascii="Times New Roman" w:eastAsia="Calibri" w:hAnsi="Times New Roman" w:cs="Arial"/>
      <w:sz w:val="24"/>
      <w:lang w:val="en-US"/>
    </w:rPr>
  </w:style>
  <w:style w:type="paragraph" w:customStyle="1" w:styleId="Par-number1">
    <w:name w:val="Par-number (1)"/>
    <w:basedOn w:val="Normal"/>
    <w:next w:val="Normal"/>
    <w:rsid w:val="004C7DC8"/>
    <w:pPr>
      <w:numPr>
        <w:numId w:val="32"/>
      </w:numPr>
      <w:spacing w:after="0" w:line="360" w:lineRule="auto"/>
    </w:pPr>
    <w:rPr>
      <w:rFonts w:ascii="Times New Roman" w:eastAsia="Calibri" w:hAnsi="Times New Roman" w:cs="Arial"/>
      <w:sz w:val="24"/>
      <w:lang w:val="en-US"/>
    </w:rPr>
  </w:style>
  <w:style w:type="paragraph" w:customStyle="1" w:styleId="Par-number11">
    <w:name w:val="Par-number 1."/>
    <w:basedOn w:val="Normal"/>
    <w:next w:val="Normal"/>
    <w:rsid w:val="004C7DC8"/>
    <w:pPr>
      <w:numPr>
        <w:numId w:val="33"/>
      </w:numPr>
      <w:spacing w:after="0" w:line="360" w:lineRule="auto"/>
    </w:pPr>
    <w:rPr>
      <w:rFonts w:ascii="Times New Roman" w:eastAsia="Calibri" w:hAnsi="Times New Roman" w:cs="Arial"/>
      <w:sz w:val="24"/>
      <w:lang w:val="en-US"/>
    </w:rPr>
  </w:style>
  <w:style w:type="paragraph" w:customStyle="1" w:styleId="Par-dash">
    <w:name w:val="Par-dash"/>
    <w:basedOn w:val="Normal"/>
    <w:next w:val="Normal"/>
    <w:rsid w:val="004C7DC8"/>
    <w:pPr>
      <w:numPr>
        <w:numId w:val="34"/>
      </w:numPr>
      <w:spacing w:after="0" w:line="360" w:lineRule="auto"/>
    </w:pPr>
    <w:rPr>
      <w:rFonts w:ascii="Times New Roman" w:eastAsia="Calibri" w:hAnsi="Times New Roman" w:cs="Arial"/>
      <w:sz w:val="24"/>
      <w:lang w:val="en-US"/>
    </w:rPr>
  </w:style>
  <w:style w:type="paragraph" w:customStyle="1" w:styleId="EntLogo">
    <w:name w:val="EntLogo"/>
    <w:basedOn w:val="Normal"/>
    <w:next w:val="EntInstit"/>
    <w:rsid w:val="004C7DC8"/>
    <w:pPr>
      <w:spacing w:after="0" w:line="360" w:lineRule="auto"/>
    </w:pPr>
    <w:rPr>
      <w:rFonts w:ascii="Times New Roman" w:eastAsia="Calibri" w:hAnsi="Times New Roman" w:cs="Arial"/>
      <w:b/>
      <w:sz w:val="24"/>
      <w:lang w:val="en-US"/>
    </w:rPr>
  </w:style>
  <w:style w:type="paragraph" w:customStyle="1" w:styleId="Par-numberA">
    <w:name w:val="Par-number A."/>
    <w:basedOn w:val="Normal"/>
    <w:next w:val="Normal"/>
    <w:rsid w:val="004C7DC8"/>
    <w:pPr>
      <w:numPr>
        <w:numId w:val="35"/>
      </w:numPr>
      <w:spacing w:after="0" w:line="360" w:lineRule="auto"/>
    </w:pPr>
    <w:rPr>
      <w:rFonts w:ascii="Times New Roman" w:eastAsia="Calibri" w:hAnsi="Times New Roman" w:cs="Arial"/>
      <w:sz w:val="24"/>
      <w:lang w:val="en-US"/>
    </w:rPr>
  </w:style>
  <w:style w:type="paragraph" w:customStyle="1" w:styleId="AC">
    <w:name w:val="AC"/>
    <w:basedOn w:val="Normal"/>
    <w:next w:val="Normal"/>
    <w:rsid w:val="004C7DC8"/>
    <w:pPr>
      <w:spacing w:after="0" w:line="360" w:lineRule="auto"/>
    </w:pPr>
    <w:rPr>
      <w:rFonts w:ascii="Times New Roman" w:eastAsia="Calibri" w:hAnsi="Times New Roman" w:cs="Arial"/>
      <w:b/>
      <w:sz w:val="40"/>
      <w:lang w:val="en-US"/>
    </w:rPr>
  </w:style>
  <w:style w:type="paragraph" w:customStyle="1" w:styleId="Par-numberi">
    <w:name w:val="Par-number (i)"/>
    <w:basedOn w:val="Normal"/>
    <w:next w:val="Normal"/>
    <w:rsid w:val="004C7DC8"/>
    <w:pPr>
      <w:numPr>
        <w:numId w:val="36"/>
      </w:numPr>
      <w:tabs>
        <w:tab w:val="left" w:pos="567"/>
      </w:tabs>
      <w:spacing w:after="0" w:line="360" w:lineRule="auto"/>
    </w:pPr>
    <w:rPr>
      <w:rFonts w:ascii="Times New Roman" w:eastAsia="Calibri" w:hAnsi="Times New Roman" w:cs="Arial"/>
      <w:sz w:val="24"/>
      <w:lang w:val="en-US"/>
    </w:rPr>
  </w:style>
  <w:style w:type="paragraph" w:customStyle="1" w:styleId="Par-numbera0">
    <w:name w:val="Par-number (a)"/>
    <w:basedOn w:val="Normal"/>
    <w:next w:val="Normal"/>
    <w:rsid w:val="004C7DC8"/>
    <w:pPr>
      <w:numPr>
        <w:numId w:val="37"/>
      </w:numPr>
      <w:spacing w:after="0" w:line="360" w:lineRule="auto"/>
    </w:pPr>
    <w:rPr>
      <w:rFonts w:ascii="Times New Roman" w:eastAsia="Calibri" w:hAnsi="Times New Roman" w:cs="Arial"/>
      <w:sz w:val="24"/>
      <w:lang w:val="en-US"/>
    </w:rPr>
  </w:style>
  <w:style w:type="paragraph" w:customStyle="1" w:styleId="AddReference">
    <w:name w:val="Add Reference"/>
    <w:basedOn w:val="Normal"/>
    <w:rsid w:val="004C7DC8"/>
    <w:pPr>
      <w:pBdr>
        <w:top w:val="single" w:sz="4" w:space="1" w:color="auto"/>
        <w:left w:val="single" w:sz="4" w:space="4" w:color="auto"/>
        <w:bottom w:val="single" w:sz="4" w:space="1" w:color="auto"/>
        <w:right w:val="single" w:sz="4" w:space="4" w:color="auto"/>
      </w:pBdr>
      <w:spacing w:after="0" w:line="240" w:lineRule="auto"/>
      <w:ind w:left="7655" w:right="-454"/>
    </w:pPr>
    <w:rPr>
      <w:rFonts w:ascii="Times New Roman" w:eastAsia="Calibri" w:hAnsi="Times New Roman" w:cs="Arial"/>
      <w:i/>
      <w:sz w:val="20"/>
      <w:lang w:val="en-US"/>
    </w:rPr>
  </w:style>
  <w:style w:type="paragraph" w:customStyle="1" w:styleId="ChapterTitle">
    <w:name w:val="ChapterTitle"/>
    <w:basedOn w:val="Normal"/>
    <w:next w:val="Normal"/>
    <w:rsid w:val="004C7DC8"/>
    <w:pPr>
      <w:keepNext/>
      <w:spacing w:before="120" w:after="360" w:line="240" w:lineRule="auto"/>
      <w:jc w:val="center"/>
    </w:pPr>
    <w:rPr>
      <w:rFonts w:ascii="Times New Roman" w:eastAsia="Calibri" w:hAnsi="Times New Roman" w:cs="Times New Roman"/>
      <w:b/>
      <w:sz w:val="32"/>
      <w:lang w:val="en-GB"/>
    </w:rPr>
  </w:style>
  <w:style w:type="paragraph" w:customStyle="1" w:styleId="SectionTitle">
    <w:name w:val="SectionTitle"/>
    <w:basedOn w:val="Normal"/>
    <w:next w:val="Titlu1"/>
    <w:rsid w:val="004C7DC8"/>
    <w:pPr>
      <w:keepNext/>
      <w:spacing w:before="120" w:after="360" w:line="240" w:lineRule="auto"/>
      <w:jc w:val="center"/>
    </w:pPr>
    <w:rPr>
      <w:rFonts w:ascii="Times New Roman" w:eastAsia="Calibri" w:hAnsi="Times New Roman" w:cs="Times New Roman"/>
      <w:b/>
      <w:smallCaps/>
      <w:sz w:val="28"/>
      <w:lang w:val="en-GB"/>
    </w:rPr>
  </w:style>
  <w:style w:type="paragraph" w:customStyle="1" w:styleId="ManualNumPar1">
    <w:name w:val="Manual NumPar 1"/>
    <w:basedOn w:val="Normal"/>
    <w:next w:val="Normal"/>
    <w:rsid w:val="004C7DC8"/>
    <w:pPr>
      <w:spacing w:before="120" w:after="120" w:line="240" w:lineRule="auto"/>
      <w:ind w:left="850" w:hanging="850"/>
      <w:jc w:val="both"/>
    </w:pPr>
    <w:rPr>
      <w:rFonts w:ascii="Times New Roman" w:eastAsia="Calibri" w:hAnsi="Times New Roman" w:cs="Times New Roman"/>
      <w:sz w:val="24"/>
      <w:lang w:val="en-GB"/>
    </w:rPr>
  </w:style>
  <w:style w:type="paragraph" w:customStyle="1" w:styleId="Titrearticle">
    <w:name w:val="Titre article"/>
    <w:basedOn w:val="Normal"/>
    <w:next w:val="Normal"/>
    <w:rsid w:val="004C7DC8"/>
    <w:pPr>
      <w:keepNext/>
      <w:spacing w:before="360" w:after="120" w:line="240" w:lineRule="auto"/>
      <w:jc w:val="center"/>
    </w:pPr>
    <w:rPr>
      <w:rFonts w:ascii="Times New Roman" w:eastAsia="Calibri" w:hAnsi="Times New Roman" w:cs="Times New Roman"/>
      <w:i/>
      <w:sz w:val="24"/>
      <w:lang w:val="en-GB"/>
    </w:rPr>
  </w:style>
  <w:style w:type="paragraph" w:customStyle="1" w:styleId="Point2">
    <w:name w:val="Point 2"/>
    <w:basedOn w:val="Normal"/>
    <w:rsid w:val="004C7DC8"/>
    <w:pPr>
      <w:spacing w:before="120" w:after="120" w:line="240" w:lineRule="auto"/>
      <w:ind w:left="1984" w:hanging="567"/>
      <w:jc w:val="both"/>
    </w:pPr>
    <w:rPr>
      <w:rFonts w:ascii="Times New Roman" w:eastAsia="Calibri" w:hAnsi="Times New Roman" w:cs="Times New Roman"/>
      <w:sz w:val="24"/>
      <w:lang w:val="en-GB"/>
    </w:rPr>
  </w:style>
  <w:style w:type="paragraph" w:customStyle="1" w:styleId="Point0number">
    <w:name w:val="Point 0 (number)"/>
    <w:basedOn w:val="Normal"/>
    <w:rsid w:val="004C7DC8"/>
    <w:pPr>
      <w:numPr>
        <w:numId w:val="38"/>
      </w:numPr>
      <w:tabs>
        <w:tab w:val="num" w:pos="360"/>
      </w:tabs>
      <w:spacing w:before="120" w:after="120" w:line="240" w:lineRule="auto"/>
      <w:ind w:left="0" w:firstLine="0"/>
      <w:jc w:val="both"/>
    </w:pPr>
    <w:rPr>
      <w:rFonts w:ascii="Times New Roman" w:eastAsia="Calibri" w:hAnsi="Times New Roman" w:cs="Times New Roman"/>
      <w:sz w:val="24"/>
      <w:lang w:val="en-GB"/>
    </w:rPr>
  </w:style>
  <w:style w:type="paragraph" w:customStyle="1" w:styleId="Point1number">
    <w:name w:val="Point 1 (number)"/>
    <w:basedOn w:val="Normal"/>
    <w:rsid w:val="004C7DC8"/>
    <w:pPr>
      <w:numPr>
        <w:ilvl w:val="2"/>
        <w:numId w:val="38"/>
      </w:numPr>
      <w:tabs>
        <w:tab w:val="num" w:pos="360"/>
      </w:tabs>
      <w:spacing w:before="120" w:after="120" w:line="240" w:lineRule="auto"/>
      <w:ind w:left="0" w:firstLine="0"/>
      <w:jc w:val="both"/>
    </w:pPr>
    <w:rPr>
      <w:rFonts w:ascii="Times New Roman" w:eastAsia="Calibri" w:hAnsi="Times New Roman" w:cs="Times New Roman"/>
      <w:sz w:val="24"/>
      <w:lang w:val="en-GB"/>
    </w:rPr>
  </w:style>
  <w:style w:type="paragraph" w:customStyle="1" w:styleId="Point2number">
    <w:name w:val="Point 2 (number)"/>
    <w:basedOn w:val="Normal"/>
    <w:rsid w:val="004C7DC8"/>
    <w:pPr>
      <w:numPr>
        <w:ilvl w:val="4"/>
        <w:numId w:val="38"/>
      </w:numPr>
      <w:tabs>
        <w:tab w:val="num" w:pos="360"/>
      </w:tabs>
      <w:spacing w:before="120" w:after="120" w:line="240" w:lineRule="auto"/>
      <w:ind w:left="0" w:firstLine="0"/>
      <w:jc w:val="both"/>
    </w:pPr>
    <w:rPr>
      <w:rFonts w:ascii="Times New Roman" w:eastAsia="Calibri" w:hAnsi="Times New Roman" w:cs="Times New Roman"/>
      <w:sz w:val="24"/>
      <w:lang w:val="en-GB"/>
    </w:rPr>
  </w:style>
  <w:style w:type="paragraph" w:customStyle="1" w:styleId="Point3number">
    <w:name w:val="Point 3 (number)"/>
    <w:basedOn w:val="Normal"/>
    <w:rsid w:val="004C7DC8"/>
    <w:pPr>
      <w:numPr>
        <w:ilvl w:val="6"/>
        <w:numId w:val="38"/>
      </w:numPr>
      <w:tabs>
        <w:tab w:val="num" w:pos="360"/>
      </w:tabs>
      <w:spacing w:before="120" w:after="120" w:line="240" w:lineRule="auto"/>
      <w:ind w:left="0" w:firstLine="0"/>
      <w:jc w:val="both"/>
    </w:pPr>
    <w:rPr>
      <w:rFonts w:ascii="Times New Roman" w:eastAsia="Calibri" w:hAnsi="Times New Roman" w:cs="Times New Roman"/>
      <w:sz w:val="24"/>
      <w:lang w:val="en-GB"/>
    </w:rPr>
  </w:style>
  <w:style w:type="paragraph" w:customStyle="1" w:styleId="Point0letter">
    <w:name w:val="Point 0 (letter)"/>
    <w:basedOn w:val="Normal"/>
    <w:rsid w:val="004C7DC8"/>
    <w:pPr>
      <w:numPr>
        <w:ilvl w:val="1"/>
        <w:numId w:val="38"/>
      </w:numPr>
      <w:tabs>
        <w:tab w:val="num" w:pos="360"/>
      </w:tabs>
      <w:spacing w:before="120" w:after="120" w:line="240" w:lineRule="auto"/>
      <w:ind w:left="0" w:firstLine="0"/>
      <w:jc w:val="both"/>
    </w:pPr>
    <w:rPr>
      <w:rFonts w:ascii="Times New Roman" w:eastAsia="Calibri" w:hAnsi="Times New Roman" w:cs="Times New Roman"/>
      <w:sz w:val="24"/>
      <w:lang w:val="en-GB"/>
    </w:rPr>
  </w:style>
  <w:style w:type="paragraph" w:customStyle="1" w:styleId="Point1letter">
    <w:name w:val="Point 1 (letter)"/>
    <w:basedOn w:val="Normal"/>
    <w:rsid w:val="004C7DC8"/>
    <w:pPr>
      <w:spacing w:before="120" w:after="120" w:line="240" w:lineRule="auto"/>
      <w:jc w:val="both"/>
    </w:pPr>
    <w:rPr>
      <w:rFonts w:ascii="Times New Roman" w:eastAsia="Calibri" w:hAnsi="Times New Roman" w:cs="Times New Roman"/>
      <w:sz w:val="24"/>
      <w:lang w:val="en-GB"/>
    </w:rPr>
  </w:style>
  <w:style w:type="paragraph" w:customStyle="1" w:styleId="Point2letter">
    <w:name w:val="Point 2 (letter)"/>
    <w:basedOn w:val="Normal"/>
    <w:rsid w:val="004C7DC8"/>
    <w:pPr>
      <w:numPr>
        <w:ilvl w:val="5"/>
        <w:numId w:val="38"/>
      </w:numPr>
      <w:tabs>
        <w:tab w:val="num" w:pos="360"/>
      </w:tabs>
      <w:spacing w:before="120" w:after="120" w:line="240" w:lineRule="auto"/>
      <w:ind w:left="0" w:firstLine="0"/>
      <w:jc w:val="both"/>
    </w:pPr>
    <w:rPr>
      <w:rFonts w:ascii="Times New Roman" w:eastAsia="Calibri" w:hAnsi="Times New Roman" w:cs="Times New Roman"/>
      <w:sz w:val="24"/>
      <w:lang w:val="en-GB"/>
    </w:rPr>
  </w:style>
  <w:style w:type="paragraph" w:customStyle="1" w:styleId="Point3letter">
    <w:name w:val="Point 3 (letter)"/>
    <w:basedOn w:val="Normal"/>
    <w:rsid w:val="004C7DC8"/>
    <w:pPr>
      <w:numPr>
        <w:ilvl w:val="7"/>
        <w:numId w:val="38"/>
      </w:numPr>
      <w:tabs>
        <w:tab w:val="num" w:pos="360"/>
      </w:tabs>
      <w:spacing w:before="120" w:after="120" w:line="240" w:lineRule="auto"/>
      <w:ind w:left="0" w:firstLine="0"/>
      <w:jc w:val="both"/>
    </w:pPr>
    <w:rPr>
      <w:rFonts w:ascii="Times New Roman" w:eastAsia="Calibri" w:hAnsi="Times New Roman" w:cs="Times New Roman"/>
      <w:sz w:val="24"/>
      <w:lang w:val="en-GB"/>
    </w:rPr>
  </w:style>
  <w:style w:type="paragraph" w:customStyle="1" w:styleId="Point4letter">
    <w:name w:val="Point 4 (letter)"/>
    <w:basedOn w:val="Normal"/>
    <w:rsid w:val="004C7DC8"/>
    <w:pPr>
      <w:numPr>
        <w:ilvl w:val="8"/>
        <w:numId w:val="38"/>
      </w:numPr>
      <w:tabs>
        <w:tab w:val="num" w:pos="360"/>
      </w:tabs>
      <w:spacing w:before="120" w:after="120" w:line="240" w:lineRule="auto"/>
      <w:ind w:left="0" w:firstLine="0"/>
      <w:jc w:val="both"/>
    </w:pPr>
    <w:rPr>
      <w:rFonts w:ascii="Times New Roman" w:eastAsia="Calibri" w:hAnsi="Times New Roman" w:cs="Times New Roman"/>
      <w:sz w:val="24"/>
      <w:lang w:val="en-GB"/>
    </w:rPr>
  </w:style>
  <w:style w:type="paragraph" w:customStyle="1" w:styleId="Considerant">
    <w:name w:val="Considerant"/>
    <w:basedOn w:val="Listparagraf"/>
    <w:rsid w:val="004C7DC8"/>
    <w:pPr>
      <w:numPr>
        <w:numId w:val="39"/>
      </w:numPr>
      <w:tabs>
        <w:tab w:val="num" w:pos="567"/>
      </w:tabs>
      <w:spacing w:before="0" w:after="200" w:line="276" w:lineRule="auto"/>
      <w:ind w:left="567" w:hanging="567"/>
    </w:pPr>
    <w:rPr>
      <w:rFonts w:eastAsia="Times New Roman"/>
      <w:sz w:val="22"/>
      <w:lang w:eastAsia="en-GB"/>
    </w:rPr>
  </w:style>
  <w:style w:type="paragraph" w:customStyle="1" w:styleId="ManualConsidrant">
    <w:name w:val="Manual Considérant"/>
    <w:basedOn w:val="Normal"/>
    <w:rsid w:val="004C7DC8"/>
    <w:pPr>
      <w:spacing w:before="120" w:after="120" w:line="240" w:lineRule="auto"/>
      <w:ind w:left="709" w:hanging="709"/>
      <w:jc w:val="both"/>
    </w:pPr>
    <w:rPr>
      <w:rFonts w:ascii="Times New Roman" w:eastAsia="Calibri" w:hAnsi="Times New Roman" w:cs="Times New Roman"/>
      <w:sz w:val="24"/>
      <w:lang w:val="en-GB"/>
    </w:rPr>
  </w:style>
  <w:style w:type="paragraph" w:customStyle="1" w:styleId="Default">
    <w:name w:val="Default"/>
    <w:rsid w:val="004C7DC8"/>
    <w:pPr>
      <w:autoSpaceDE w:val="0"/>
      <w:autoSpaceDN w:val="0"/>
      <w:adjustRightInd w:val="0"/>
      <w:spacing w:after="0" w:line="240" w:lineRule="auto"/>
    </w:pPr>
    <w:rPr>
      <w:rFonts w:ascii="Arial" w:eastAsia="Times New Roman" w:hAnsi="Arial" w:cs="Arial"/>
      <w:color w:val="000000"/>
      <w:sz w:val="24"/>
      <w:szCs w:val="24"/>
      <w:lang w:val="en-GB" w:eastAsia="en-GB"/>
    </w:rPr>
  </w:style>
  <w:style w:type="paragraph" w:customStyle="1" w:styleId="CM3">
    <w:name w:val="CM3"/>
    <w:basedOn w:val="Normal"/>
    <w:next w:val="Normal"/>
    <w:uiPriority w:val="99"/>
    <w:rsid w:val="004C7DC8"/>
    <w:pPr>
      <w:autoSpaceDE w:val="0"/>
      <w:autoSpaceDN w:val="0"/>
      <w:adjustRightInd w:val="0"/>
      <w:spacing w:after="0" w:line="240" w:lineRule="auto"/>
    </w:pPr>
    <w:rPr>
      <w:rFonts w:ascii="EUAlbertina" w:eastAsia="Times New Roman" w:hAnsi="EUAlbertina" w:cs="Times New Roman"/>
      <w:sz w:val="24"/>
      <w:szCs w:val="24"/>
      <w:lang w:val="en-GB" w:eastAsia="en-GB"/>
    </w:rPr>
  </w:style>
  <w:style w:type="character" w:customStyle="1" w:styleId="AnnexetitreChar">
    <w:name w:val="Annexe titre Char"/>
    <w:link w:val="Annexetitre"/>
    <w:locked/>
    <w:rsid w:val="004C7DC8"/>
    <w:rPr>
      <w:rFonts w:ascii="Times New Roman" w:eastAsia="Calibri" w:hAnsi="Times New Roman" w:cs="Times New Roman"/>
      <w:b/>
      <w:sz w:val="24"/>
      <w:szCs w:val="20"/>
      <w:u w:val="single"/>
      <w:lang w:val="en-GB" w:eastAsia="en-GB"/>
    </w:rPr>
  </w:style>
  <w:style w:type="paragraph" w:customStyle="1" w:styleId="Annexetitre">
    <w:name w:val="Annexe titre"/>
    <w:basedOn w:val="Normal"/>
    <w:next w:val="Normal"/>
    <w:link w:val="AnnexetitreChar"/>
    <w:rsid w:val="004C7DC8"/>
    <w:pPr>
      <w:spacing w:before="120" w:after="120" w:line="240" w:lineRule="auto"/>
      <w:jc w:val="center"/>
    </w:pPr>
    <w:rPr>
      <w:rFonts w:ascii="Times New Roman" w:eastAsia="Calibri" w:hAnsi="Times New Roman" w:cs="Times New Roman"/>
      <w:b/>
      <w:sz w:val="24"/>
      <w:szCs w:val="20"/>
      <w:u w:val="single"/>
      <w:lang w:val="en-GB" w:eastAsia="en-GB"/>
    </w:rPr>
  </w:style>
  <w:style w:type="paragraph" w:customStyle="1" w:styleId="Pagedecouverture">
    <w:name w:val="Page de couverture"/>
    <w:basedOn w:val="Normal"/>
    <w:next w:val="Normal"/>
    <w:rsid w:val="004C7DC8"/>
    <w:pPr>
      <w:spacing w:after="0" w:line="240" w:lineRule="auto"/>
      <w:jc w:val="both"/>
    </w:pPr>
    <w:rPr>
      <w:rFonts w:ascii="Times New Roman" w:eastAsia="Calibri" w:hAnsi="Times New Roman" w:cs="Times New Roman"/>
      <w:sz w:val="24"/>
      <w:szCs w:val="20"/>
      <w:lang w:val="en-GB" w:eastAsia="en-GB"/>
    </w:rPr>
  </w:style>
  <w:style w:type="character" w:customStyle="1" w:styleId="FooterCoverPageChar">
    <w:name w:val="Footer Cover Page Char"/>
    <w:basedOn w:val="AnnexetitreChar"/>
    <w:link w:val="FooterCoverPage"/>
    <w:locked/>
    <w:rsid w:val="004C7DC8"/>
    <w:rPr>
      <w:rFonts w:ascii="Times New Roman" w:eastAsia="Calibri" w:hAnsi="Times New Roman" w:cs="Times New Roman"/>
      <w:b w:val="0"/>
      <w:sz w:val="24"/>
      <w:szCs w:val="20"/>
      <w:u w:val="single"/>
      <w:lang w:val="en-GB" w:eastAsia="en-GB"/>
    </w:rPr>
  </w:style>
  <w:style w:type="paragraph" w:customStyle="1" w:styleId="FooterCoverPage">
    <w:name w:val="Footer Cover Page"/>
    <w:basedOn w:val="Normal"/>
    <w:link w:val="FooterCoverPageChar"/>
    <w:rsid w:val="004C7DC8"/>
    <w:pPr>
      <w:tabs>
        <w:tab w:val="center" w:pos="4535"/>
        <w:tab w:val="right" w:pos="9071"/>
        <w:tab w:val="right" w:pos="9921"/>
      </w:tabs>
      <w:spacing w:before="360" w:after="0" w:line="240" w:lineRule="auto"/>
      <w:ind w:left="-850" w:right="-850"/>
    </w:pPr>
    <w:rPr>
      <w:rFonts w:ascii="Times New Roman" w:eastAsia="Calibri" w:hAnsi="Times New Roman" w:cs="Times New Roman"/>
      <w:sz w:val="24"/>
      <w:szCs w:val="20"/>
      <w:u w:val="single"/>
      <w:lang w:val="en-GB" w:eastAsia="en-GB"/>
    </w:rPr>
  </w:style>
  <w:style w:type="character" w:customStyle="1" w:styleId="FooterSensitivityChar">
    <w:name w:val="Footer Sensitivity Char"/>
    <w:basedOn w:val="AnnexetitreChar"/>
    <w:link w:val="FooterSensitivity"/>
    <w:locked/>
    <w:rsid w:val="004C7DC8"/>
    <w:rPr>
      <w:rFonts w:ascii="Times New Roman" w:eastAsia="Calibri" w:hAnsi="Times New Roman" w:cs="Times New Roman"/>
      <w:b/>
      <w:sz w:val="32"/>
      <w:szCs w:val="20"/>
      <w:u w:val="single"/>
      <w:lang w:val="en-GB" w:eastAsia="en-GB"/>
    </w:rPr>
  </w:style>
  <w:style w:type="paragraph" w:customStyle="1" w:styleId="FooterSensitivity">
    <w:name w:val="Footer Sensitivity"/>
    <w:basedOn w:val="Normal"/>
    <w:link w:val="FooterSensitivityChar"/>
    <w:rsid w:val="004C7DC8"/>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eastAsia="Calibri" w:hAnsi="Times New Roman" w:cs="Times New Roman"/>
      <w:b/>
      <w:sz w:val="32"/>
      <w:szCs w:val="20"/>
      <w:u w:val="single"/>
      <w:lang w:val="en-GB" w:eastAsia="en-GB"/>
    </w:rPr>
  </w:style>
  <w:style w:type="character" w:customStyle="1" w:styleId="HeaderCoverPageChar">
    <w:name w:val="Header Cover Page Char"/>
    <w:basedOn w:val="AnnexetitreChar"/>
    <w:link w:val="HeaderCoverPage"/>
    <w:locked/>
    <w:rsid w:val="004C7DC8"/>
    <w:rPr>
      <w:rFonts w:ascii="Times New Roman" w:eastAsia="Calibri" w:hAnsi="Times New Roman" w:cs="Times New Roman"/>
      <w:b w:val="0"/>
      <w:sz w:val="24"/>
      <w:szCs w:val="20"/>
      <w:u w:val="single"/>
      <w:lang w:val="en-GB" w:eastAsia="en-GB"/>
    </w:rPr>
  </w:style>
  <w:style w:type="paragraph" w:customStyle="1" w:styleId="HeaderCoverPage">
    <w:name w:val="Header Cover Page"/>
    <w:basedOn w:val="Normal"/>
    <w:link w:val="HeaderCoverPageChar"/>
    <w:rsid w:val="004C7DC8"/>
    <w:pPr>
      <w:tabs>
        <w:tab w:val="center" w:pos="4535"/>
        <w:tab w:val="right" w:pos="9071"/>
      </w:tabs>
      <w:spacing w:after="120" w:line="240" w:lineRule="auto"/>
      <w:jc w:val="both"/>
    </w:pPr>
    <w:rPr>
      <w:rFonts w:ascii="Times New Roman" w:eastAsia="Calibri" w:hAnsi="Times New Roman" w:cs="Times New Roman"/>
      <w:sz w:val="24"/>
      <w:szCs w:val="20"/>
      <w:u w:val="single"/>
      <w:lang w:val="en-GB" w:eastAsia="en-GB"/>
    </w:rPr>
  </w:style>
  <w:style w:type="character" w:customStyle="1" w:styleId="HeaderSensitivityChar">
    <w:name w:val="Header Sensitivity Char"/>
    <w:basedOn w:val="AnnexetitreChar"/>
    <w:link w:val="HeaderSensitivity"/>
    <w:locked/>
    <w:rsid w:val="004C7DC8"/>
    <w:rPr>
      <w:rFonts w:ascii="Times New Roman" w:eastAsia="Calibri" w:hAnsi="Times New Roman" w:cs="Times New Roman"/>
      <w:b/>
      <w:sz w:val="32"/>
      <w:szCs w:val="20"/>
      <w:u w:val="single"/>
      <w:lang w:val="en-GB" w:eastAsia="en-GB"/>
    </w:rPr>
  </w:style>
  <w:style w:type="paragraph" w:customStyle="1" w:styleId="HeaderSensitivity">
    <w:name w:val="Header Sensitivity"/>
    <w:basedOn w:val="Normal"/>
    <w:link w:val="HeaderSensitivityChar"/>
    <w:rsid w:val="004C7DC8"/>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eastAsia="Calibri" w:hAnsi="Times New Roman" w:cs="Times New Roman"/>
      <w:b/>
      <w:sz w:val="32"/>
      <w:szCs w:val="20"/>
      <w:u w:val="single"/>
      <w:lang w:val="en-GB" w:eastAsia="en-GB"/>
    </w:rPr>
  </w:style>
  <w:style w:type="paragraph" w:customStyle="1" w:styleId="CM4">
    <w:name w:val="CM4"/>
    <w:basedOn w:val="Normal"/>
    <w:next w:val="Normal"/>
    <w:uiPriority w:val="99"/>
    <w:rsid w:val="004C7DC8"/>
    <w:pPr>
      <w:autoSpaceDE w:val="0"/>
      <w:autoSpaceDN w:val="0"/>
      <w:adjustRightInd w:val="0"/>
      <w:spacing w:after="0" w:line="240" w:lineRule="auto"/>
    </w:pPr>
    <w:rPr>
      <w:rFonts w:ascii="EUAlbertina" w:eastAsia="Times New Roman" w:hAnsi="EUAlbertina" w:cs="Times New Roman"/>
      <w:sz w:val="24"/>
      <w:szCs w:val="24"/>
      <w:lang w:val="en-GB" w:eastAsia="en-GB"/>
    </w:rPr>
  </w:style>
  <w:style w:type="paragraph" w:customStyle="1" w:styleId="NumPar1">
    <w:name w:val="NumPar 1"/>
    <w:basedOn w:val="Normal"/>
    <w:next w:val="Normal"/>
    <w:rsid w:val="004C7DC8"/>
    <w:pPr>
      <w:spacing w:before="120" w:after="120" w:line="240" w:lineRule="auto"/>
      <w:ind w:left="850"/>
      <w:jc w:val="both"/>
    </w:pPr>
    <w:rPr>
      <w:rFonts w:ascii="Times New Roman" w:hAnsi="Times New Roman" w:cs="Times New Roman"/>
      <w:sz w:val="24"/>
      <w:lang w:val="en-GB" w:eastAsia="en-GB"/>
    </w:rPr>
  </w:style>
  <w:style w:type="paragraph" w:customStyle="1" w:styleId="AddressTL">
    <w:name w:val="AddressTL"/>
    <w:basedOn w:val="Normal"/>
    <w:next w:val="Normal"/>
    <w:rsid w:val="004C7DC8"/>
    <w:pPr>
      <w:spacing w:after="720" w:line="240" w:lineRule="auto"/>
    </w:pPr>
    <w:rPr>
      <w:rFonts w:ascii="Times New Roman" w:eastAsia="Times New Roman" w:hAnsi="Times New Roman" w:cs="Times New Roman"/>
      <w:sz w:val="24"/>
      <w:lang w:val="en-GB" w:eastAsia="en-GB"/>
    </w:rPr>
  </w:style>
  <w:style w:type="paragraph" w:customStyle="1" w:styleId="DoubSign">
    <w:name w:val="DoubSign"/>
    <w:basedOn w:val="Normal"/>
    <w:next w:val="Contact"/>
    <w:rsid w:val="004C7DC8"/>
    <w:pPr>
      <w:tabs>
        <w:tab w:val="left" w:pos="5103"/>
      </w:tabs>
      <w:spacing w:before="1200" w:after="0" w:line="240" w:lineRule="auto"/>
    </w:pPr>
    <w:rPr>
      <w:rFonts w:ascii="Times New Roman" w:eastAsia="Times New Roman" w:hAnsi="Times New Roman" w:cs="Times New Roman"/>
      <w:sz w:val="24"/>
      <w:lang w:val="en-GB" w:eastAsia="en-GB"/>
    </w:rPr>
  </w:style>
  <w:style w:type="paragraph" w:customStyle="1" w:styleId="Subject">
    <w:name w:val="Subject"/>
    <w:basedOn w:val="Normal"/>
    <w:next w:val="Normal"/>
    <w:rsid w:val="004C7DC8"/>
    <w:pPr>
      <w:spacing w:after="480" w:line="240" w:lineRule="auto"/>
      <w:ind w:left="1531" w:hanging="1531"/>
    </w:pPr>
    <w:rPr>
      <w:rFonts w:ascii="Times New Roman" w:eastAsia="Times New Roman" w:hAnsi="Times New Roman" w:cs="Times New Roman"/>
      <w:b/>
      <w:sz w:val="24"/>
      <w:lang w:val="en-GB" w:eastAsia="en-GB"/>
    </w:rPr>
  </w:style>
  <w:style w:type="paragraph" w:customStyle="1" w:styleId="NoteHead">
    <w:name w:val="NoteHead"/>
    <w:basedOn w:val="Normal"/>
    <w:next w:val="Subject"/>
    <w:rsid w:val="004C7DC8"/>
    <w:pPr>
      <w:spacing w:before="720" w:after="720" w:line="240" w:lineRule="auto"/>
      <w:jc w:val="center"/>
    </w:pPr>
    <w:rPr>
      <w:rFonts w:ascii="Times New Roman" w:eastAsia="Times New Roman" w:hAnsi="Times New Roman" w:cs="Times New Roman"/>
      <w:b/>
      <w:smallCaps/>
      <w:sz w:val="24"/>
      <w:lang w:val="en-GB" w:eastAsia="en-GB"/>
    </w:rPr>
  </w:style>
  <w:style w:type="paragraph" w:customStyle="1" w:styleId="NoteList">
    <w:name w:val="NoteList"/>
    <w:basedOn w:val="Normal"/>
    <w:next w:val="Subject"/>
    <w:rsid w:val="004C7DC8"/>
    <w:pPr>
      <w:tabs>
        <w:tab w:val="left" w:pos="5823"/>
      </w:tabs>
      <w:spacing w:before="720" w:after="720" w:line="240" w:lineRule="auto"/>
      <w:ind w:left="5104" w:hanging="3119"/>
    </w:pPr>
    <w:rPr>
      <w:rFonts w:ascii="Times New Roman" w:eastAsia="Times New Roman" w:hAnsi="Times New Roman" w:cs="Times New Roman"/>
      <w:b/>
      <w:smallCaps/>
      <w:sz w:val="24"/>
      <w:lang w:val="en-GB" w:eastAsia="en-GB"/>
    </w:rPr>
  </w:style>
  <w:style w:type="paragraph" w:customStyle="1" w:styleId="YReferences">
    <w:name w:val="YReferences"/>
    <w:basedOn w:val="Normal"/>
    <w:next w:val="Normal"/>
    <w:rsid w:val="004C7DC8"/>
    <w:pPr>
      <w:spacing w:after="480" w:line="240" w:lineRule="auto"/>
      <w:ind w:left="1531" w:hanging="1531"/>
      <w:jc w:val="both"/>
    </w:pPr>
    <w:rPr>
      <w:rFonts w:ascii="Times New Roman" w:eastAsia="Times New Roman" w:hAnsi="Times New Roman" w:cs="Times New Roman"/>
      <w:sz w:val="24"/>
      <w:lang w:val="en-GB" w:eastAsia="en-GB"/>
    </w:rPr>
  </w:style>
  <w:style w:type="paragraph" w:customStyle="1" w:styleId="ListBullet1">
    <w:name w:val="List Bullet 1"/>
    <w:basedOn w:val="Text1"/>
    <w:rsid w:val="004C7DC8"/>
    <w:pPr>
      <w:tabs>
        <w:tab w:val="num" w:pos="765"/>
      </w:tabs>
      <w:spacing w:before="0" w:after="240" w:line="240" w:lineRule="auto"/>
      <w:ind w:left="765" w:hanging="283"/>
      <w:jc w:val="both"/>
    </w:pPr>
    <w:rPr>
      <w:rFonts w:eastAsia="Times New Roman"/>
      <w:lang w:val="en-US" w:eastAsia="en-GB"/>
    </w:rPr>
  </w:style>
  <w:style w:type="paragraph" w:customStyle="1" w:styleId="ListDash">
    <w:name w:val="List Dash"/>
    <w:basedOn w:val="Normal"/>
    <w:rsid w:val="004C7DC8"/>
    <w:pPr>
      <w:numPr>
        <w:numId w:val="40"/>
      </w:numPr>
      <w:spacing w:after="240" w:line="240" w:lineRule="auto"/>
      <w:jc w:val="both"/>
    </w:pPr>
    <w:rPr>
      <w:rFonts w:ascii="Times New Roman" w:eastAsia="Times New Roman" w:hAnsi="Times New Roman" w:cs="Times New Roman"/>
      <w:sz w:val="24"/>
      <w:lang w:val="en-GB" w:eastAsia="en-GB"/>
    </w:rPr>
  </w:style>
  <w:style w:type="paragraph" w:customStyle="1" w:styleId="ListDash1">
    <w:name w:val="List Dash 1"/>
    <w:basedOn w:val="Text1"/>
    <w:rsid w:val="004C7DC8"/>
    <w:pPr>
      <w:numPr>
        <w:numId w:val="41"/>
      </w:numPr>
      <w:tabs>
        <w:tab w:val="clear" w:pos="765"/>
      </w:tabs>
      <w:spacing w:before="0" w:after="240" w:line="240" w:lineRule="auto"/>
      <w:ind w:left="928" w:hanging="360"/>
      <w:jc w:val="both"/>
    </w:pPr>
    <w:rPr>
      <w:rFonts w:eastAsia="Times New Roman"/>
      <w:lang w:val="en-US" w:eastAsia="en-GB"/>
    </w:rPr>
  </w:style>
  <w:style w:type="paragraph" w:customStyle="1" w:styleId="ListDash2">
    <w:name w:val="List Dash 2"/>
    <w:basedOn w:val="Text2"/>
    <w:rsid w:val="004C7DC8"/>
    <w:pPr>
      <w:numPr>
        <w:numId w:val="42"/>
      </w:numPr>
      <w:spacing w:before="0" w:after="240" w:line="240" w:lineRule="auto"/>
      <w:jc w:val="both"/>
    </w:pPr>
    <w:rPr>
      <w:rFonts w:eastAsia="Times New Roman"/>
      <w:lang w:eastAsia="en-GB"/>
    </w:rPr>
  </w:style>
  <w:style w:type="paragraph" w:customStyle="1" w:styleId="ListDash3">
    <w:name w:val="List Dash 3"/>
    <w:basedOn w:val="Text3"/>
    <w:rsid w:val="004C7DC8"/>
    <w:pPr>
      <w:numPr>
        <w:numId w:val="43"/>
      </w:numPr>
      <w:spacing w:before="0" w:after="240" w:line="240" w:lineRule="auto"/>
      <w:jc w:val="both"/>
    </w:pPr>
    <w:rPr>
      <w:rFonts w:eastAsia="Times New Roman"/>
      <w:lang w:eastAsia="en-GB"/>
    </w:rPr>
  </w:style>
  <w:style w:type="paragraph" w:customStyle="1" w:styleId="ListDash4">
    <w:name w:val="List Dash 4"/>
    <w:basedOn w:val="Text4"/>
    <w:rsid w:val="004C7DC8"/>
    <w:pPr>
      <w:numPr>
        <w:numId w:val="44"/>
      </w:numPr>
      <w:spacing w:before="0" w:after="240" w:line="240" w:lineRule="auto"/>
      <w:jc w:val="both"/>
    </w:pPr>
    <w:rPr>
      <w:rFonts w:eastAsia="Times New Roman"/>
      <w:lang w:eastAsia="en-GB"/>
    </w:rPr>
  </w:style>
  <w:style w:type="paragraph" w:customStyle="1" w:styleId="ListNumberLevel2">
    <w:name w:val="List Number (Level 2)"/>
    <w:basedOn w:val="Normal"/>
    <w:rsid w:val="004C7DC8"/>
    <w:pPr>
      <w:numPr>
        <w:ilvl w:val="1"/>
        <w:numId w:val="23"/>
      </w:numPr>
      <w:spacing w:after="240" w:line="240" w:lineRule="auto"/>
      <w:jc w:val="both"/>
    </w:pPr>
    <w:rPr>
      <w:rFonts w:ascii="Times New Roman" w:eastAsia="Times New Roman" w:hAnsi="Times New Roman" w:cs="Times New Roman"/>
      <w:sz w:val="24"/>
      <w:lang w:val="en-GB" w:eastAsia="en-GB"/>
    </w:rPr>
  </w:style>
  <w:style w:type="paragraph" w:customStyle="1" w:styleId="ListNumberLevel3">
    <w:name w:val="List Number (Level 3)"/>
    <w:basedOn w:val="Normal"/>
    <w:rsid w:val="004C7DC8"/>
    <w:pPr>
      <w:numPr>
        <w:ilvl w:val="2"/>
        <w:numId w:val="23"/>
      </w:numPr>
      <w:spacing w:after="240" w:line="240" w:lineRule="auto"/>
      <w:jc w:val="both"/>
    </w:pPr>
    <w:rPr>
      <w:rFonts w:ascii="Times New Roman" w:eastAsia="Times New Roman" w:hAnsi="Times New Roman" w:cs="Times New Roman"/>
      <w:sz w:val="24"/>
      <w:lang w:val="en-GB" w:eastAsia="en-GB"/>
    </w:rPr>
  </w:style>
  <w:style w:type="paragraph" w:customStyle="1" w:styleId="ListNumberLevel4">
    <w:name w:val="List Number (Level 4)"/>
    <w:basedOn w:val="Normal"/>
    <w:rsid w:val="004C7DC8"/>
    <w:pPr>
      <w:numPr>
        <w:ilvl w:val="3"/>
        <w:numId w:val="23"/>
      </w:numPr>
      <w:spacing w:after="240" w:line="240" w:lineRule="auto"/>
      <w:jc w:val="both"/>
    </w:pPr>
    <w:rPr>
      <w:rFonts w:ascii="Times New Roman" w:eastAsia="Times New Roman" w:hAnsi="Times New Roman" w:cs="Times New Roman"/>
      <w:sz w:val="24"/>
      <w:lang w:val="en-GB" w:eastAsia="en-GB"/>
    </w:rPr>
  </w:style>
  <w:style w:type="paragraph" w:customStyle="1" w:styleId="ListNumber1">
    <w:name w:val="List Number 1"/>
    <w:basedOn w:val="Text1"/>
    <w:rsid w:val="004C7DC8"/>
    <w:pPr>
      <w:numPr>
        <w:numId w:val="45"/>
      </w:numPr>
      <w:tabs>
        <w:tab w:val="clear" w:pos="1191"/>
        <w:tab w:val="num" w:pos="2199"/>
      </w:tabs>
      <w:spacing w:before="0" w:after="240" w:line="240" w:lineRule="auto"/>
      <w:ind w:left="2199" w:hanging="283"/>
      <w:jc w:val="both"/>
    </w:pPr>
    <w:rPr>
      <w:rFonts w:eastAsia="Times New Roman"/>
      <w:lang w:val="en-US" w:eastAsia="en-GB"/>
    </w:rPr>
  </w:style>
  <w:style w:type="paragraph" w:customStyle="1" w:styleId="ListNumber1Level2">
    <w:name w:val="List Number 1 (Level 2)"/>
    <w:basedOn w:val="Text1"/>
    <w:rsid w:val="004C7DC8"/>
    <w:pPr>
      <w:numPr>
        <w:ilvl w:val="1"/>
        <w:numId w:val="45"/>
      </w:numPr>
      <w:tabs>
        <w:tab w:val="clear" w:pos="1899"/>
        <w:tab w:val="num" w:pos="2199"/>
      </w:tabs>
      <w:spacing w:before="0" w:after="240" w:line="240" w:lineRule="auto"/>
      <w:ind w:left="2199" w:hanging="283"/>
      <w:jc w:val="both"/>
    </w:pPr>
    <w:rPr>
      <w:rFonts w:eastAsia="Times New Roman"/>
      <w:lang w:val="en-US" w:eastAsia="en-GB"/>
    </w:rPr>
  </w:style>
  <w:style w:type="paragraph" w:customStyle="1" w:styleId="ListNumber1Level3">
    <w:name w:val="List Number 1 (Level 3)"/>
    <w:basedOn w:val="Text1"/>
    <w:rsid w:val="004C7DC8"/>
    <w:pPr>
      <w:numPr>
        <w:ilvl w:val="2"/>
        <w:numId w:val="45"/>
      </w:numPr>
      <w:tabs>
        <w:tab w:val="clear" w:pos="2608"/>
        <w:tab w:val="num" w:pos="2199"/>
      </w:tabs>
      <w:spacing w:before="0" w:after="240" w:line="240" w:lineRule="auto"/>
      <w:ind w:left="2199" w:hanging="283"/>
      <w:jc w:val="both"/>
    </w:pPr>
    <w:rPr>
      <w:rFonts w:eastAsia="Times New Roman"/>
      <w:lang w:val="en-US" w:eastAsia="en-GB"/>
    </w:rPr>
  </w:style>
  <w:style w:type="paragraph" w:customStyle="1" w:styleId="ListNumber1Level4">
    <w:name w:val="List Number 1 (Level 4)"/>
    <w:basedOn w:val="Text1"/>
    <w:rsid w:val="004C7DC8"/>
    <w:pPr>
      <w:numPr>
        <w:ilvl w:val="3"/>
        <w:numId w:val="45"/>
      </w:numPr>
      <w:tabs>
        <w:tab w:val="clear" w:pos="3317"/>
        <w:tab w:val="num" w:pos="2199"/>
      </w:tabs>
      <w:spacing w:before="0" w:after="240" w:line="240" w:lineRule="auto"/>
      <w:ind w:left="2199" w:hanging="283"/>
      <w:jc w:val="both"/>
    </w:pPr>
    <w:rPr>
      <w:rFonts w:eastAsia="Times New Roman"/>
      <w:lang w:val="en-US" w:eastAsia="en-GB"/>
    </w:rPr>
  </w:style>
  <w:style w:type="paragraph" w:customStyle="1" w:styleId="ListNumber2Level2">
    <w:name w:val="List Number 2 (Level 2)"/>
    <w:basedOn w:val="Text2"/>
    <w:rsid w:val="004C7DC8"/>
    <w:pPr>
      <w:numPr>
        <w:ilvl w:val="1"/>
        <w:numId w:val="46"/>
      </w:numPr>
      <w:spacing w:before="0" w:after="240" w:line="240" w:lineRule="auto"/>
      <w:jc w:val="both"/>
    </w:pPr>
    <w:rPr>
      <w:rFonts w:eastAsia="Times New Roman"/>
      <w:lang w:eastAsia="en-GB"/>
    </w:rPr>
  </w:style>
  <w:style w:type="paragraph" w:customStyle="1" w:styleId="ListNumber2Level3">
    <w:name w:val="List Number 2 (Level 3)"/>
    <w:basedOn w:val="Text2"/>
    <w:rsid w:val="004C7DC8"/>
    <w:pPr>
      <w:numPr>
        <w:ilvl w:val="2"/>
        <w:numId w:val="46"/>
      </w:numPr>
      <w:spacing w:before="0" w:after="240" w:line="240" w:lineRule="auto"/>
      <w:jc w:val="both"/>
    </w:pPr>
    <w:rPr>
      <w:rFonts w:eastAsia="Times New Roman"/>
      <w:lang w:eastAsia="en-GB"/>
    </w:rPr>
  </w:style>
  <w:style w:type="paragraph" w:customStyle="1" w:styleId="ListNumber2Level4">
    <w:name w:val="List Number 2 (Level 4)"/>
    <w:basedOn w:val="Text2"/>
    <w:rsid w:val="004C7DC8"/>
    <w:pPr>
      <w:numPr>
        <w:ilvl w:val="3"/>
        <w:numId w:val="46"/>
      </w:numPr>
      <w:spacing w:before="0" w:after="240" w:line="240" w:lineRule="auto"/>
      <w:ind w:left="3901" w:hanging="703"/>
      <w:jc w:val="both"/>
    </w:pPr>
    <w:rPr>
      <w:rFonts w:eastAsia="Times New Roman"/>
      <w:lang w:eastAsia="en-GB"/>
    </w:rPr>
  </w:style>
  <w:style w:type="paragraph" w:customStyle="1" w:styleId="ListNumber3Level2">
    <w:name w:val="List Number 3 (Level 2)"/>
    <w:basedOn w:val="Text3"/>
    <w:rsid w:val="004C7DC8"/>
    <w:pPr>
      <w:numPr>
        <w:ilvl w:val="1"/>
        <w:numId w:val="47"/>
      </w:numPr>
      <w:spacing w:before="0" w:after="240" w:line="240" w:lineRule="auto"/>
      <w:jc w:val="both"/>
    </w:pPr>
    <w:rPr>
      <w:rFonts w:eastAsia="Times New Roman"/>
      <w:lang w:eastAsia="en-GB"/>
    </w:rPr>
  </w:style>
  <w:style w:type="paragraph" w:customStyle="1" w:styleId="ListNumber3Level3">
    <w:name w:val="List Number 3 (Level 3)"/>
    <w:basedOn w:val="Text3"/>
    <w:rsid w:val="004C7DC8"/>
    <w:pPr>
      <w:numPr>
        <w:ilvl w:val="2"/>
        <w:numId w:val="47"/>
      </w:numPr>
      <w:spacing w:before="0" w:after="240" w:line="240" w:lineRule="auto"/>
      <w:jc w:val="both"/>
    </w:pPr>
    <w:rPr>
      <w:rFonts w:eastAsia="Times New Roman"/>
      <w:lang w:eastAsia="en-GB"/>
    </w:rPr>
  </w:style>
  <w:style w:type="paragraph" w:customStyle="1" w:styleId="ListNumber3Level4">
    <w:name w:val="List Number 3 (Level 4)"/>
    <w:basedOn w:val="Text3"/>
    <w:rsid w:val="004C7DC8"/>
    <w:pPr>
      <w:numPr>
        <w:ilvl w:val="3"/>
        <w:numId w:val="47"/>
      </w:numPr>
      <w:spacing w:before="0" w:after="240" w:line="240" w:lineRule="auto"/>
      <w:jc w:val="both"/>
    </w:pPr>
    <w:rPr>
      <w:rFonts w:eastAsia="Times New Roman"/>
      <w:lang w:eastAsia="en-GB"/>
    </w:rPr>
  </w:style>
  <w:style w:type="paragraph" w:customStyle="1" w:styleId="ListNumber4Level2">
    <w:name w:val="List Number 4 (Level 2)"/>
    <w:basedOn w:val="Text4"/>
    <w:rsid w:val="004C7DC8"/>
    <w:pPr>
      <w:numPr>
        <w:ilvl w:val="1"/>
        <w:numId w:val="48"/>
      </w:numPr>
      <w:spacing w:before="0" w:after="240" w:line="240" w:lineRule="auto"/>
      <w:jc w:val="both"/>
    </w:pPr>
    <w:rPr>
      <w:rFonts w:eastAsia="Times New Roman"/>
      <w:lang w:eastAsia="en-GB"/>
    </w:rPr>
  </w:style>
  <w:style w:type="paragraph" w:customStyle="1" w:styleId="ListNumber4Level3">
    <w:name w:val="List Number 4 (Level 3)"/>
    <w:basedOn w:val="Text4"/>
    <w:rsid w:val="004C7DC8"/>
    <w:pPr>
      <w:numPr>
        <w:ilvl w:val="2"/>
        <w:numId w:val="48"/>
      </w:numPr>
      <w:spacing w:before="0" w:after="240" w:line="240" w:lineRule="auto"/>
      <w:jc w:val="both"/>
    </w:pPr>
    <w:rPr>
      <w:rFonts w:eastAsia="Times New Roman"/>
      <w:lang w:eastAsia="en-GB"/>
    </w:rPr>
  </w:style>
  <w:style w:type="paragraph" w:customStyle="1" w:styleId="ListNumber4Level4">
    <w:name w:val="List Number 4 (Level 4)"/>
    <w:basedOn w:val="Text4"/>
    <w:rsid w:val="004C7DC8"/>
    <w:pPr>
      <w:numPr>
        <w:ilvl w:val="3"/>
        <w:numId w:val="48"/>
      </w:numPr>
      <w:spacing w:before="0" w:after="240" w:line="240" w:lineRule="auto"/>
      <w:jc w:val="both"/>
    </w:pPr>
    <w:rPr>
      <w:rFonts w:eastAsia="Times New Roman"/>
      <w:lang w:eastAsia="en-GB"/>
    </w:rPr>
  </w:style>
  <w:style w:type="paragraph" w:customStyle="1" w:styleId="DisclaimerNotice">
    <w:name w:val="Disclaimer Notice"/>
    <w:basedOn w:val="Normal"/>
    <w:next w:val="AddressTR"/>
    <w:rsid w:val="004C7DC8"/>
    <w:pPr>
      <w:spacing w:after="240" w:line="240" w:lineRule="auto"/>
      <w:ind w:left="5103"/>
    </w:pPr>
    <w:rPr>
      <w:rFonts w:ascii="Times New Roman" w:eastAsia="Times New Roman" w:hAnsi="Times New Roman" w:cs="Times New Roman"/>
      <w:i/>
      <w:sz w:val="20"/>
      <w:lang w:val="en-GB" w:eastAsia="en-GB"/>
    </w:rPr>
  </w:style>
  <w:style w:type="paragraph" w:customStyle="1" w:styleId="Disclaimer">
    <w:name w:val="Disclaimer"/>
    <w:basedOn w:val="Normal"/>
    <w:rsid w:val="004C7DC8"/>
    <w:pPr>
      <w:keepLines/>
      <w:pBdr>
        <w:top w:val="single" w:sz="4" w:space="1" w:color="auto"/>
      </w:pBdr>
      <w:spacing w:before="480" w:after="0" w:line="240" w:lineRule="auto"/>
      <w:jc w:val="both"/>
    </w:pPr>
    <w:rPr>
      <w:rFonts w:ascii="Times New Roman" w:eastAsia="Times New Roman" w:hAnsi="Times New Roman" w:cs="Times New Roman"/>
      <w:i/>
      <w:sz w:val="24"/>
      <w:lang w:val="en-GB" w:eastAsia="en-GB"/>
    </w:rPr>
  </w:style>
  <w:style w:type="paragraph" w:customStyle="1" w:styleId="DisclaimerSJ">
    <w:name w:val="Disclaimer_SJ"/>
    <w:basedOn w:val="Normal"/>
    <w:next w:val="Normal"/>
    <w:rsid w:val="004C7DC8"/>
    <w:pPr>
      <w:spacing w:after="0" w:line="240" w:lineRule="auto"/>
      <w:jc w:val="both"/>
    </w:pPr>
    <w:rPr>
      <w:rFonts w:ascii="Arial" w:eastAsia="Times New Roman" w:hAnsi="Arial" w:cs="Times New Roman"/>
      <w:b/>
      <w:sz w:val="16"/>
      <w:lang w:val="en-GB" w:eastAsia="en-GB"/>
    </w:rPr>
  </w:style>
  <w:style w:type="paragraph" w:customStyle="1" w:styleId="StyleHeading3BoldNotItalic">
    <w:name w:val="Style Heading 3 + Bold Not Italic"/>
    <w:basedOn w:val="Titlu3"/>
    <w:autoRedefine/>
    <w:rsid w:val="004C7DC8"/>
    <w:pPr>
      <w:numPr>
        <w:numId w:val="49"/>
      </w:numPr>
      <w:tabs>
        <w:tab w:val="num" w:pos="850"/>
      </w:tabs>
      <w:spacing w:before="0" w:after="240"/>
      <w:ind w:left="720" w:hanging="720"/>
    </w:pPr>
    <w:rPr>
      <w:rFonts w:ascii="Times New Roman Bold" w:eastAsia="Times New Roman" w:hAnsi="Times New Roman Bold" w:cs="Times New Roman"/>
      <w:bCs/>
      <w:lang w:val="en-GB" w:eastAsia="en-GB"/>
    </w:rPr>
  </w:style>
  <w:style w:type="paragraph" w:customStyle="1" w:styleId="Annextitle">
    <w:name w:val="Annex title"/>
    <w:basedOn w:val="Normal"/>
    <w:autoRedefine/>
    <w:rsid w:val="004C7DC8"/>
    <w:pPr>
      <w:spacing w:before="120" w:after="240" w:line="240" w:lineRule="auto"/>
      <w:jc w:val="center"/>
    </w:pPr>
    <w:rPr>
      <w:rFonts w:ascii="Times New Roman Bold" w:eastAsia="Times New Roman" w:hAnsi="Times New Roman Bold" w:cs="Times New Roman"/>
      <w:b/>
      <w:iCs/>
      <w:smallCaps/>
      <w:sz w:val="24"/>
      <w:szCs w:val="24"/>
      <w:lang w:val="en-GB" w:eastAsia="en-GB"/>
    </w:rPr>
  </w:style>
  <w:style w:type="paragraph" w:customStyle="1" w:styleId="StyleHeading1Hanging085cm">
    <w:name w:val="Style Heading 1 + Hanging:  0.85 cm"/>
    <w:basedOn w:val="Titlu1"/>
    <w:autoRedefine/>
    <w:rsid w:val="004C7DC8"/>
    <w:pPr>
      <w:numPr>
        <w:numId w:val="0"/>
      </w:numPr>
      <w:tabs>
        <w:tab w:val="left" w:pos="1134"/>
        <w:tab w:val="left" w:pos="1560"/>
      </w:tabs>
      <w:spacing w:after="240"/>
    </w:pPr>
    <w:rPr>
      <w:rFonts w:eastAsia="Times New Roman" w:cs="Times New Roman"/>
      <w:i/>
      <w:szCs w:val="24"/>
      <w:lang w:val="en-GB" w:eastAsia="en-GB"/>
    </w:rPr>
  </w:style>
  <w:style w:type="paragraph" w:customStyle="1" w:styleId="StyleHeading1Left0cm">
    <w:name w:val="Style Heading 1 + Left:  0 cm"/>
    <w:basedOn w:val="Titlu1"/>
    <w:autoRedefine/>
    <w:rsid w:val="004C7DC8"/>
    <w:pPr>
      <w:numPr>
        <w:numId w:val="50"/>
      </w:numPr>
      <w:tabs>
        <w:tab w:val="left" w:pos="1134"/>
        <w:tab w:val="left" w:pos="1560"/>
      </w:tabs>
      <w:spacing w:after="240"/>
    </w:pPr>
    <w:rPr>
      <w:rFonts w:ascii="Times New Roman Bold" w:eastAsia="Times New Roman" w:hAnsi="Times New Roman Bold" w:cs="Times New Roman"/>
      <w:i/>
      <w:szCs w:val="24"/>
      <w:lang w:val="en-GB" w:eastAsia="en-GB"/>
    </w:rPr>
  </w:style>
  <w:style w:type="paragraph" w:customStyle="1" w:styleId="CM1">
    <w:name w:val="CM1"/>
    <w:basedOn w:val="Default"/>
    <w:next w:val="Default"/>
    <w:uiPriority w:val="99"/>
    <w:rsid w:val="004C7DC8"/>
    <w:pPr>
      <w:spacing w:after="200" w:line="276" w:lineRule="auto"/>
    </w:pPr>
    <w:rPr>
      <w:rFonts w:ascii="EUAlbertina" w:eastAsia="Calibri" w:hAnsi="EUAlbertina" w:cs="Times New Roman"/>
      <w:color w:val="auto"/>
    </w:rPr>
  </w:style>
  <w:style w:type="paragraph" w:customStyle="1" w:styleId="Annextitre">
    <w:name w:val="Annex titre"/>
    <w:basedOn w:val="Normal"/>
    <w:rsid w:val="004C7DC8"/>
    <w:pPr>
      <w:spacing w:before="120" w:after="120" w:line="240" w:lineRule="auto"/>
      <w:jc w:val="both"/>
    </w:pPr>
    <w:rPr>
      <w:rFonts w:ascii="Times New Roman" w:eastAsia="Calibri" w:hAnsi="Times New Roman" w:cs="Times New Roman"/>
      <w:sz w:val="24"/>
      <w:lang w:val="en-GB" w:eastAsia="en-GB"/>
    </w:rPr>
  </w:style>
  <w:style w:type="paragraph" w:customStyle="1" w:styleId="NormalLeft">
    <w:name w:val="Normal Left"/>
    <w:basedOn w:val="Normal"/>
    <w:rsid w:val="004C7DC8"/>
    <w:pPr>
      <w:spacing w:before="120" w:after="120" w:line="240" w:lineRule="auto"/>
    </w:pPr>
    <w:rPr>
      <w:rFonts w:ascii="Times New Roman" w:eastAsia="Calibri" w:hAnsi="Times New Roman" w:cs="Times New Roman"/>
      <w:sz w:val="24"/>
      <w:lang w:val="en-GB" w:eastAsia="en-GB"/>
    </w:rPr>
  </w:style>
  <w:style w:type="paragraph" w:customStyle="1" w:styleId="QuotedText">
    <w:name w:val="Quoted Text"/>
    <w:basedOn w:val="Normal"/>
    <w:rsid w:val="004C7DC8"/>
    <w:pPr>
      <w:spacing w:before="120" w:after="120" w:line="240" w:lineRule="auto"/>
      <w:ind w:left="1417"/>
      <w:jc w:val="both"/>
    </w:pPr>
    <w:rPr>
      <w:rFonts w:ascii="Times New Roman" w:eastAsia="Calibri" w:hAnsi="Times New Roman" w:cs="Times New Roman"/>
      <w:sz w:val="24"/>
      <w:lang w:val="en-GB" w:eastAsia="en-GB"/>
    </w:rPr>
  </w:style>
  <w:style w:type="paragraph" w:customStyle="1" w:styleId="Point0">
    <w:name w:val="Point 0"/>
    <w:basedOn w:val="Normal"/>
    <w:rsid w:val="004C7DC8"/>
    <w:pPr>
      <w:spacing w:before="120" w:after="120" w:line="240" w:lineRule="auto"/>
      <w:ind w:left="850" w:hanging="850"/>
      <w:jc w:val="both"/>
    </w:pPr>
    <w:rPr>
      <w:rFonts w:ascii="Times New Roman" w:eastAsia="Calibri" w:hAnsi="Times New Roman" w:cs="Times New Roman"/>
      <w:sz w:val="24"/>
      <w:lang w:val="en-GB" w:eastAsia="en-GB"/>
    </w:rPr>
  </w:style>
  <w:style w:type="paragraph" w:customStyle="1" w:styleId="Point1">
    <w:name w:val="Point 1"/>
    <w:basedOn w:val="Normal"/>
    <w:rsid w:val="004C7DC8"/>
    <w:pPr>
      <w:spacing w:before="120" w:after="120" w:line="240" w:lineRule="auto"/>
      <w:ind w:left="1417" w:hanging="567"/>
      <w:jc w:val="both"/>
    </w:pPr>
    <w:rPr>
      <w:rFonts w:ascii="Times New Roman" w:eastAsia="Calibri" w:hAnsi="Times New Roman" w:cs="Times New Roman"/>
      <w:sz w:val="24"/>
      <w:lang w:val="en-GB" w:eastAsia="en-GB"/>
    </w:rPr>
  </w:style>
  <w:style w:type="paragraph" w:customStyle="1" w:styleId="Point3">
    <w:name w:val="Point 3"/>
    <w:basedOn w:val="Normal"/>
    <w:rsid w:val="004C7DC8"/>
    <w:pPr>
      <w:spacing w:before="120" w:after="120" w:line="240" w:lineRule="auto"/>
      <w:ind w:left="2551" w:hanging="567"/>
      <w:jc w:val="both"/>
    </w:pPr>
    <w:rPr>
      <w:rFonts w:ascii="Times New Roman" w:eastAsia="Calibri" w:hAnsi="Times New Roman" w:cs="Times New Roman"/>
      <w:sz w:val="24"/>
      <w:lang w:val="en-GB" w:eastAsia="en-GB"/>
    </w:rPr>
  </w:style>
  <w:style w:type="paragraph" w:customStyle="1" w:styleId="Point4">
    <w:name w:val="Point 4"/>
    <w:basedOn w:val="Normal"/>
    <w:rsid w:val="004C7DC8"/>
    <w:pPr>
      <w:spacing w:before="120" w:after="120" w:line="240" w:lineRule="auto"/>
      <w:ind w:left="3118" w:hanging="567"/>
      <w:jc w:val="both"/>
    </w:pPr>
    <w:rPr>
      <w:rFonts w:ascii="Times New Roman" w:eastAsia="Calibri" w:hAnsi="Times New Roman" w:cs="Times New Roman"/>
      <w:sz w:val="24"/>
      <w:lang w:val="en-GB" w:eastAsia="en-GB"/>
    </w:rPr>
  </w:style>
  <w:style w:type="paragraph" w:customStyle="1" w:styleId="Tiret0">
    <w:name w:val="Tiret 0"/>
    <w:basedOn w:val="Point0"/>
    <w:rsid w:val="004C7DC8"/>
    <w:pPr>
      <w:numPr>
        <w:numId w:val="51"/>
      </w:numPr>
    </w:pPr>
  </w:style>
  <w:style w:type="paragraph" w:customStyle="1" w:styleId="Tiret1">
    <w:name w:val="Tiret 1"/>
    <w:basedOn w:val="Point1"/>
    <w:rsid w:val="004C7DC8"/>
    <w:pPr>
      <w:numPr>
        <w:numId w:val="52"/>
      </w:numPr>
    </w:pPr>
  </w:style>
  <w:style w:type="paragraph" w:customStyle="1" w:styleId="Tiret2">
    <w:name w:val="Tiret 2"/>
    <w:basedOn w:val="Point2"/>
    <w:rsid w:val="004C7DC8"/>
    <w:pPr>
      <w:numPr>
        <w:numId w:val="53"/>
      </w:numPr>
    </w:pPr>
    <w:rPr>
      <w:lang w:eastAsia="en-GB"/>
    </w:rPr>
  </w:style>
  <w:style w:type="paragraph" w:customStyle="1" w:styleId="Tiret3">
    <w:name w:val="Tiret 3"/>
    <w:basedOn w:val="Point3"/>
    <w:rsid w:val="004C7DC8"/>
    <w:pPr>
      <w:numPr>
        <w:numId w:val="54"/>
      </w:numPr>
    </w:pPr>
  </w:style>
  <w:style w:type="paragraph" w:customStyle="1" w:styleId="Tiret4">
    <w:name w:val="Tiret 4"/>
    <w:basedOn w:val="Point4"/>
    <w:rsid w:val="004C7DC8"/>
    <w:pPr>
      <w:numPr>
        <w:numId w:val="55"/>
      </w:numPr>
    </w:pPr>
  </w:style>
  <w:style w:type="paragraph" w:customStyle="1" w:styleId="PointDouble0">
    <w:name w:val="PointDouble 0"/>
    <w:basedOn w:val="Normal"/>
    <w:rsid w:val="004C7DC8"/>
    <w:pPr>
      <w:tabs>
        <w:tab w:val="left" w:pos="850"/>
      </w:tabs>
      <w:spacing w:before="120" w:after="120" w:line="240" w:lineRule="auto"/>
      <w:ind w:left="1417" w:hanging="1417"/>
      <w:jc w:val="both"/>
    </w:pPr>
    <w:rPr>
      <w:rFonts w:ascii="Times New Roman" w:eastAsia="Calibri" w:hAnsi="Times New Roman" w:cs="Times New Roman"/>
      <w:sz w:val="24"/>
      <w:lang w:val="en-GB" w:eastAsia="en-GB"/>
    </w:rPr>
  </w:style>
  <w:style w:type="paragraph" w:customStyle="1" w:styleId="PointDouble1">
    <w:name w:val="PointDouble 1"/>
    <w:basedOn w:val="Normal"/>
    <w:rsid w:val="004C7DC8"/>
    <w:pPr>
      <w:tabs>
        <w:tab w:val="left" w:pos="1417"/>
      </w:tabs>
      <w:spacing w:before="120" w:after="120" w:line="240" w:lineRule="auto"/>
      <w:ind w:left="1984" w:hanging="1134"/>
      <w:jc w:val="both"/>
    </w:pPr>
    <w:rPr>
      <w:rFonts w:ascii="Times New Roman" w:eastAsia="Calibri" w:hAnsi="Times New Roman" w:cs="Times New Roman"/>
      <w:sz w:val="24"/>
      <w:lang w:val="en-GB" w:eastAsia="en-GB"/>
    </w:rPr>
  </w:style>
  <w:style w:type="paragraph" w:customStyle="1" w:styleId="PointDouble2">
    <w:name w:val="PointDouble 2"/>
    <w:basedOn w:val="Normal"/>
    <w:rsid w:val="004C7DC8"/>
    <w:pPr>
      <w:tabs>
        <w:tab w:val="left" w:pos="1984"/>
      </w:tabs>
      <w:spacing w:before="120" w:after="120" w:line="240" w:lineRule="auto"/>
      <w:ind w:left="2551" w:hanging="1134"/>
      <w:jc w:val="both"/>
    </w:pPr>
    <w:rPr>
      <w:rFonts w:ascii="Times New Roman" w:eastAsia="Calibri" w:hAnsi="Times New Roman" w:cs="Times New Roman"/>
      <w:sz w:val="24"/>
      <w:lang w:val="en-GB" w:eastAsia="en-GB"/>
    </w:rPr>
  </w:style>
  <w:style w:type="paragraph" w:customStyle="1" w:styleId="PointDouble3">
    <w:name w:val="PointDouble 3"/>
    <w:basedOn w:val="Normal"/>
    <w:rsid w:val="004C7DC8"/>
    <w:pPr>
      <w:tabs>
        <w:tab w:val="left" w:pos="2551"/>
      </w:tabs>
      <w:spacing w:before="120" w:after="120" w:line="240" w:lineRule="auto"/>
      <w:ind w:left="3118" w:hanging="1134"/>
      <w:jc w:val="both"/>
    </w:pPr>
    <w:rPr>
      <w:rFonts w:ascii="Times New Roman" w:eastAsia="Calibri" w:hAnsi="Times New Roman" w:cs="Times New Roman"/>
      <w:sz w:val="24"/>
      <w:lang w:val="en-GB" w:eastAsia="en-GB"/>
    </w:rPr>
  </w:style>
  <w:style w:type="paragraph" w:customStyle="1" w:styleId="PointDouble4">
    <w:name w:val="PointDouble 4"/>
    <w:basedOn w:val="Normal"/>
    <w:rsid w:val="004C7DC8"/>
    <w:pPr>
      <w:tabs>
        <w:tab w:val="left" w:pos="3118"/>
      </w:tabs>
      <w:spacing w:before="120" w:after="120" w:line="240" w:lineRule="auto"/>
      <w:ind w:left="3685" w:hanging="1134"/>
      <w:jc w:val="both"/>
    </w:pPr>
    <w:rPr>
      <w:rFonts w:ascii="Times New Roman" w:eastAsia="Calibri" w:hAnsi="Times New Roman" w:cs="Times New Roman"/>
      <w:sz w:val="24"/>
      <w:lang w:val="en-GB" w:eastAsia="en-GB"/>
    </w:rPr>
  </w:style>
  <w:style w:type="paragraph" w:customStyle="1" w:styleId="PointTriple0">
    <w:name w:val="PointTriple 0"/>
    <w:basedOn w:val="Normal"/>
    <w:rsid w:val="004C7DC8"/>
    <w:pPr>
      <w:tabs>
        <w:tab w:val="left" w:pos="850"/>
        <w:tab w:val="left" w:pos="1417"/>
      </w:tabs>
      <w:spacing w:before="120" w:after="120" w:line="240" w:lineRule="auto"/>
      <w:ind w:left="1984" w:hanging="1984"/>
      <w:jc w:val="both"/>
    </w:pPr>
    <w:rPr>
      <w:rFonts w:ascii="Times New Roman" w:eastAsia="Calibri" w:hAnsi="Times New Roman" w:cs="Times New Roman"/>
      <w:sz w:val="24"/>
      <w:lang w:val="en-GB" w:eastAsia="en-GB"/>
    </w:rPr>
  </w:style>
  <w:style w:type="paragraph" w:customStyle="1" w:styleId="PointTriple1">
    <w:name w:val="PointTriple 1"/>
    <w:basedOn w:val="Normal"/>
    <w:rsid w:val="004C7DC8"/>
    <w:pPr>
      <w:tabs>
        <w:tab w:val="left" w:pos="1417"/>
        <w:tab w:val="left" w:pos="1984"/>
      </w:tabs>
      <w:spacing w:before="120" w:after="120" w:line="240" w:lineRule="auto"/>
      <w:ind w:left="2551" w:hanging="1701"/>
      <w:jc w:val="both"/>
    </w:pPr>
    <w:rPr>
      <w:rFonts w:ascii="Times New Roman" w:eastAsia="Calibri" w:hAnsi="Times New Roman" w:cs="Times New Roman"/>
      <w:sz w:val="24"/>
      <w:lang w:val="en-GB" w:eastAsia="en-GB"/>
    </w:rPr>
  </w:style>
  <w:style w:type="paragraph" w:customStyle="1" w:styleId="PointTriple2">
    <w:name w:val="PointTriple 2"/>
    <w:basedOn w:val="Normal"/>
    <w:rsid w:val="004C7DC8"/>
    <w:pPr>
      <w:tabs>
        <w:tab w:val="left" w:pos="1984"/>
        <w:tab w:val="left" w:pos="2551"/>
      </w:tabs>
      <w:spacing w:before="120" w:after="120" w:line="240" w:lineRule="auto"/>
      <w:ind w:left="3118" w:hanging="1701"/>
      <w:jc w:val="both"/>
    </w:pPr>
    <w:rPr>
      <w:rFonts w:ascii="Times New Roman" w:eastAsia="Calibri" w:hAnsi="Times New Roman" w:cs="Times New Roman"/>
      <w:sz w:val="24"/>
      <w:lang w:val="en-GB" w:eastAsia="en-GB"/>
    </w:rPr>
  </w:style>
  <w:style w:type="paragraph" w:customStyle="1" w:styleId="PointTriple3">
    <w:name w:val="PointTriple 3"/>
    <w:basedOn w:val="Normal"/>
    <w:rsid w:val="004C7DC8"/>
    <w:pPr>
      <w:tabs>
        <w:tab w:val="left" w:pos="2551"/>
        <w:tab w:val="left" w:pos="3118"/>
      </w:tabs>
      <w:spacing w:before="120" w:after="120" w:line="240" w:lineRule="auto"/>
      <w:ind w:left="3685" w:hanging="1701"/>
      <w:jc w:val="both"/>
    </w:pPr>
    <w:rPr>
      <w:rFonts w:ascii="Times New Roman" w:eastAsia="Calibri" w:hAnsi="Times New Roman" w:cs="Times New Roman"/>
      <w:sz w:val="24"/>
      <w:lang w:val="en-GB" w:eastAsia="en-GB"/>
    </w:rPr>
  </w:style>
  <w:style w:type="paragraph" w:customStyle="1" w:styleId="PointTriple4">
    <w:name w:val="PointTriple 4"/>
    <w:basedOn w:val="Normal"/>
    <w:rsid w:val="004C7DC8"/>
    <w:pPr>
      <w:tabs>
        <w:tab w:val="left" w:pos="3118"/>
        <w:tab w:val="left" w:pos="3685"/>
      </w:tabs>
      <w:spacing w:before="120" w:after="120" w:line="240" w:lineRule="auto"/>
      <w:ind w:left="4252" w:hanging="1701"/>
      <w:jc w:val="both"/>
    </w:pPr>
    <w:rPr>
      <w:rFonts w:ascii="Times New Roman" w:eastAsia="Calibri" w:hAnsi="Times New Roman" w:cs="Times New Roman"/>
      <w:sz w:val="24"/>
      <w:lang w:val="en-GB" w:eastAsia="en-GB"/>
    </w:rPr>
  </w:style>
  <w:style w:type="paragraph" w:customStyle="1" w:styleId="NumPar2">
    <w:name w:val="NumPar 2"/>
    <w:basedOn w:val="Normal"/>
    <w:next w:val="Text1"/>
    <w:rsid w:val="004C7DC8"/>
    <w:pPr>
      <w:tabs>
        <w:tab w:val="num" w:pos="850"/>
      </w:tabs>
      <w:spacing w:before="120" w:after="120" w:line="240" w:lineRule="auto"/>
      <w:ind w:left="850" w:hanging="850"/>
      <w:jc w:val="both"/>
    </w:pPr>
    <w:rPr>
      <w:rFonts w:ascii="Times New Roman" w:eastAsia="Calibri" w:hAnsi="Times New Roman" w:cs="Times New Roman"/>
      <w:sz w:val="24"/>
      <w:lang w:val="en-GB" w:eastAsia="en-GB"/>
    </w:rPr>
  </w:style>
  <w:style w:type="paragraph" w:customStyle="1" w:styleId="NumPar3">
    <w:name w:val="NumPar 3"/>
    <w:basedOn w:val="Normal"/>
    <w:next w:val="Text1"/>
    <w:rsid w:val="004C7DC8"/>
    <w:pPr>
      <w:tabs>
        <w:tab w:val="num" w:pos="850"/>
      </w:tabs>
      <w:spacing w:before="120" w:after="120" w:line="240" w:lineRule="auto"/>
      <w:ind w:left="850" w:hanging="850"/>
      <w:jc w:val="both"/>
    </w:pPr>
    <w:rPr>
      <w:rFonts w:ascii="Times New Roman" w:eastAsia="Calibri" w:hAnsi="Times New Roman" w:cs="Times New Roman"/>
      <w:sz w:val="24"/>
      <w:lang w:val="en-GB" w:eastAsia="en-GB"/>
    </w:rPr>
  </w:style>
  <w:style w:type="paragraph" w:customStyle="1" w:styleId="NumPar4">
    <w:name w:val="NumPar 4"/>
    <w:basedOn w:val="Normal"/>
    <w:next w:val="Text1"/>
    <w:rsid w:val="004C7DC8"/>
    <w:pPr>
      <w:tabs>
        <w:tab w:val="num" w:pos="850"/>
      </w:tabs>
      <w:spacing w:before="120" w:after="120" w:line="240" w:lineRule="auto"/>
      <w:ind w:left="850" w:hanging="850"/>
      <w:jc w:val="both"/>
    </w:pPr>
    <w:rPr>
      <w:rFonts w:ascii="Times New Roman" w:eastAsia="Calibri" w:hAnsi="Times New Roman" w:cs="Times New Roman"/>
      <w:sz w:val="24"/>
      <w:lang w:val="en-GB" w:eastAsia="en-GB"/>
    </w:rPr>
  </w:style>
  <w:style w:type="paragraph" w:customStyle="1" w:styleId="ManualNumPar2">
    <w:name w:val="Manual NumPar 2"/>
    <w:basedOn w:val="Normal"/>
    <w:next w:val="Text1"/>
    <w:rsid w:val="004C7DC8"/>
    <w:pPr>
      <w:spacing w:before="120" w:after="120" w:line="240" w:lineRule="auto"/>
      <w:ind w:left="850" w:hanging="850"/>
      <w:jc w:val="both"/>
    </w:pPr>
    <w:rPr>
      <w:rFonts w:ascii="Times New Roman" w:eastAsia="Calibri" w:hAnsi="Times New Roman" w:cs="Times New Roman"/>
      <w:sz w:val="24"/>
      <w:lang w:val="en-GB" w:eastAsia="en-GB"/>
    </w:rPr>
  </w:style>
  <w:style w:type="paragraph" w:customStyle="1" w:styleId="ManualNumPar3">
    <w:name w:val="Manual NumPar 3"/>
    <w:basedOn w:val="Normal"/>
    <w:next w:val="Text1"/>
    <w:rsid w:val="004C7DC8"/>
    <w:pPr>
      <w:spacing w:before="120" w:after="120" w:line="240" w:lineRule="auto"/>
      <w:ind w:left="850" w:hanging="850"/>
      <w:jc w:val="both"/>
    </w:pPr>
    <w:rPr>
      <w:rFonts w:ascii="Times New Roman" w:eastAsia="Calibri" w:hAnsi="Times New Roman" w:cs="Times New Roman"/>
      <w:sz w:val="24"/>
      <w:lang w:val="en-GB" w:eastAsia="en-GB"/>
    </w:rPr>
  </w:style>
  <w:style w:type="paragraph" w:customStyle="1" w:styleId="ManualNumPar4">
    <w:name w:val="Manual NumPar 4"/>
    <w:basedOn w:val="Normal"/>
    <w:next w:val="Text1"/>
    <w:rsid w:val="004C7DC8"/>
    <w:pPr>
      <w:spacing w:before="120" w:after="120" w:line="240" w:lineRule="auto"/>
      <w:ind w:left="850" w:hanging="850"/>
      <w:jc w:val="both"/>
    </w:pPr>
    <w:rPr>
      <w:rFonts w:ascii="Times New Roman" w:eastAsia="Calibri" w:hAnsi="Times New Roman" w:cs="Times New Roman"/>
      <w:sz w:val="24"/>
      <w:lang w:val="en-GB" w:eastAsia="en-GB"/>
    </w:rPr>
  </w:style>
  <w:style w:type="paragraph" w:customStyle="1" w:styleId="QuotedNumPar">
    <w:name w:val="Quoted NumPar"/>
    <w:basedOn w:val="Normal"/>
    <w:rsid w:val="004C7DC8"/>
    <w:pPr>
      <w:spacing w:before="120" w:after="120" w:line="240" w:lineRule="auto"/>
      <w:ind w:left="1417" w:hanging="567"/>
      <w:jc w:val="both"/>
    </w:pPr>
    <w:rPr>
      <w:rFonts w:ascii="Times New Roman" w:eastAsia="Calibri" w:hAnsi="Times New Roman" w:cs="Times New Roman"/>
      <w:sz w:val="24"/>
      <w:lang w:val="en-GB" w:eastAsia="en-GB"/>
    </w:rPr>
  </w:style>
  <w:style w:type="paragraph" w:customStyle="1" w:styleId="ManualHeading1">
    <w:name w:val="Manual Heading 1"/>
    <w:basedOn w:val="Normal"/>
    <w:next w:val="Text1"/>
    <w:rsid w:val="004C7DC8"/>
    <w:pPr>
      <w:keepNext/>
      <w:tabs>
        <w:tab w:val="left" w:pos="850"/>
      </w:tabs>
      <w:spacing w:before="360" w:after="120" w:line="240" w:lineRule="auto"/>
      <w:ind w:left="850" w:hanging="850"/>
      <w:jc w:val="both"/>
      <w:outlineLvl w:val="0"/>
    </w:pPr>
    <w:rPr>
      <w:rFonts w:ascii="Times New Roman" w:eastAsia="Calibri" w:hAnsi="Times New Roman" w:cs="Times New Roman"/>
      <w:b/>
      <w:smallCaps/>
      <w:sz w:val="24"/>
      <w:lang w:val="en-GB" w:eastAsia="en-GB"/>
    </w:rPr>
  </w:style>
  <w:style w:type="paragraph" w:customStyle="1" w:styleId="ManualHeading2">
    <w:name w:val="Manual Heading 2"/>
    <w:basedOn w:val="Normal"/>
    <w:next w:val="Text1"/>
    <w:rsid w:val="004C7DC8"/>
    <w:pPr>
      <w:keepNext/>
      <w:tabs>
        <w:tab w:val="left" w:pos="850"/>
      </w:tabs>
      <w:spacing w:before="120" w:after="120" w:line="240" w:lineRule="auto"/>
      <w:ind w:left="850" w:hanging="850"/>
      <w:jc w:val="both"/>
      <w:outlineLvl w:val="1"/>
    </w:pPr>
    <w:rPr>
      <w:rFonts w:ascii="Times New Roman" w:eastAsia="Calibri" w:hAnsi="Times New Roman" w:cs="Times New Roman"/>
      <w:b/>
      <w:sz w:val="24"/>
      <w:lang w:val="en-GB" w:eastAsia="en-GB"/>
    </w:rPr>
  </w:style>
  <w:style w:type="paragraph" w:customStyle="1" w:styleId="ManualHeading3">
    <w:name w:val="Manual Heading 3"/>
    <w:basedOn w:val="Normal"/>
    <w:next w:val="Text1"/>
    <w:rsid w:val="004C7DC8"/>
    <w:pPr>
      <w:keepNext/>
      <w:tabs>
        <w:tab w:val="left" w:pos="850"/>
      </w:tabs>
      <w:spacing w:before="120" w:after="120" w:line="240" w:lineRule="auto"/>
      <w:ind w:left="850" w:hanging="850"/>
      <w:jc w:val="both"/>
      <w:outlineLvl w:val="2"/>
    </w:pPr>
    <w:rPr>
      <w:rFonts w:ascii="Times New Roman" w:eastAsia="Calibri" w:hAnsi="Times New Roman" w:cs="Times New Roman"/>
      <w:i/>
      <w:sz w:val="24"/>
      <w:lang w:val="en-GB" w:eastAsia="en-GB"/>
    </w:rPr>
  </w:style>
  <w:style w:type="paragraph" w:customStyle="1" w:styleId="ManualHeading4">
    <w:name w:val="Manual Heading 4"/>
    <w:basedOn w:val="Normal"/>
    <w:next w:val="Text1"/>
    <w:rsid w:val="004C7DC8"/>
    <w:pPr>
      <w:keepNext/>
      <w:tabs>
        <w:tab w:val="left" w:pos="850"/>
      </w:tabs>
      <w:spacing w:before="120" w:after="120" w:line="240" w:lineRule="auto"/>
      <w:ind w:left="850" w:hanging="850"/>
      <w:jc w:val="both"/>
      <w:outlineLvl w:val="3"/>
    </w:pPr>
    <w:rPr>
      <w:rFonts w:ascii="Times New Roman" w:eastAsia="Calibri" w:hAnsi="Times New Roman" w:cs="Times New Roman"/>
      <w:sz w:val="24"/>
      <w:lang w:val="en-GB" w:eastAsia="en-GB"/>
    </w:rPr>
  </w:style>
  <w:style w:type="paragraph" w:customStyle="1" w:styleId="PartTitle">
    <w:name w:val="PartTitle"/>
    <w:basedOn w:val="Normal"/>
    <w:next w:val="ChapterTitle"/>
    <w:rsid w:val="004C7DC8"/>
    <w:pPr>
      <w:keepNext/>
      <w:pageBreakBefore/>
      <w:spacing w:before="120" w:after="360" w:line="240" w:lineRule="auto"/>
      <w:jc w:val="center"/>
    </w:pPr>
    <w:rPr>
      <w:rFonts w:ascii="Times New Roman" w:eastAsia="Calibri" w:hAnsi="Times New Roman" w:cs="Times New Roman"/>
      <w:b/>
      <w:sz w:val="36"/>
      <w:lang w:val="en-GB" w:eastAsia="en-GB"/>
    </w:rPr>
  </w:style>
  <w:style w:type="paragraph" w:customStyle="1" w:styleId="TableTitle">
    <w:name w:val="Table Title"/>
    <w:basedOn w:val="Normal"/>
    <w:next w:val="Normal"/>
    <w:rsid w:val="004C7DC8"/>
    <w:pPr>
      <w:spacing w:before="120" w:after="120" w:line="240" w:lineRule="auto"/>
      <w:jc w:val="center"/>
    </w:pPr>
    <w:rPr>
      <w:rFonts w:ascii="Times New Roman" w:eastAsia="Calibri" w:hAnsi="Times New Roman" w:cs="Times New Roman"/>
      <w:b/>
      <w:sz w:val="24"/>
      <w:lang w:val="en-GB" w:eastAsia="en-GB"/>
    </w:rPr>
  </w:style>
  <w:style w:type="paragraph" w:customStyle="1" w:styleId="Bullet0">
    <w:name w:val="Bullet 0"/>
    <w:basedOn w:val="Normal"/>
    <w:rsid w:val="004C7DC8"/>
    <w:pPr>
      <w:numPr>
        <w:numId w:val="56"/>
      </w:numPr>
      <w:spacing w:before="120" w:after="120" w:line="240" w:lineRule="auto"/>
      <w:jc w:val="both"/>
    </w:pPr>
    <w:rPr>
      <w:rFonts w:ascii="Times New Roman" w:eastAsia="Calibri" w:hAnsi="Times New Roman" w:cs="Times New Roman"/>
      <w:sz w:val="24"/>
      <w:lang w:val="en-GB" w:eastAsia="en-GB"/>
    </w:rPr>
  </w:style>
  <w:style w:type="paragraph" w:customStyle="1" w:styleId="Annexetitreexpos">
    <w:name w:val="Annexe titre (exposé)"/>
    <w:basedOn w:val="Normal"/>
    <w:next w:val="Normal"/>
    <w:rsid w:val="004C7DC8"/>
    <w:pPr>
      <w:spacing w:before="120" w:after="120" w:line="240" w:lineRule="auto"/>
      <w:jc w:val="center"/>
    </w:pPr>
    <w:rPr>
      <w:rFonts w:ascii="Times New Roman" w:eastAsia="Calibri" w:hAnsi="Times New Roman" w:cs="Times New Roman"/>
      <w:b/>
      <w:sz w:val="24"/>
      <w:u w:val="single"/>
      <w:lang w:val="en-GB" w:eastAsia="en-GB"/>
    </w:rPr>
  </w:style>
  <w:style w:type="paragraph" w:customStyle="1" w:styleId="Annexetitrefichefinancire">
    <w:name w:val="Annexe titre (fiche financière)"/>
    <w:basedOn w:val="Normal"/>
    <w:next w:val="Normal"/>
    <w:rsid w:val="004C7DC8"/>
    <w:pPr>
      <w:spacing w:before="120" w:after="120" w:line="240" w:lineRule="auto"/>
      <w:jc w:val="center"/>
    </w:pPr>
    <w:rPr>
      <w:rFonts w:ascii="Times New Roman" w:eastAsia="Calibri" w:hAnsi="Times New Roman" w:cs="Times New Roman"/>
      <w:b/>
      <w:sz w:val="24"/>
      <w:u w:val="single"/>
      <w:lang w:val="en-GB" w:eastAsia="en-GB"/>
    </w:rPr>
  </w:style>
  <w:style w:type="paragraph" w:customStyle="1" w:styleId="Fait">
    <w:name w:val="Fait à"/>
    <w:basedOn w:val="Normal"/>
    <w:next w:val="Institutionquisigne"/>
    <w:rsid w:val="004C7DC8"/>
    <w:pPr>
      <w:keepNext/>
      <w:spacing w:before="120" w:after="0" w:line="240" w:lineRule="auto"/>
      <w:jc w:val="both"/>
    </w:pPr>
    <w:rPr>
      <w:rFonts w:ascii="Times New Roman" w:eastAsia="Calibri" w:hAnsi="Times New Roman" w:cs="Times New Roman"/>
      <w:sz w:val="24"/>
      <w:lang w:val="en-GB" w:eastAsia="en-GB"/>
    </w:rPr>
  </w:style>
  <w:style w:type="paragraph" w:customStyle="1" w:styleId="Institutionquisigne">
    <w:name w:val="Institution qui signe"/>
    <w:basedOn w:val="Normal"/>
    <w:next w:val="Personnequisigne"/>
    <w:rsid w:val="004C7DC8"/>
    <w:pPr>
      <w:keepNext/>
      <w:tabs>
        <w:tab w:val="left" w:pos="4252"/>
      </w:tabs>
      <w:spacing w:before="720" w:after="0" w:line="240" w:lineRule="auto"/>
      <w:jc w:val="both"/>
    </w:pPr>
    <w:rPr>
      <w:rFonts w:ascii="Times New Roman" w:eastAsia="Calibri" w:hAnsi="Times New Roman" w:cs="Times New Roman"/>
      <w:i/>
      <w:sz w:val="24"/>
      <w:lang w:val="en-GB" w:eastAsia="en-GB"/>
    </w:rPr>
  </w:style>
  <w:style w:type="paragraph" w:customStyle="1" w:styleId="Personnequisigne">
    <w:name w:val="Personne qui signe"/>
    <w:basedOn w:val="Normal"/>
    <w:next w:val="Institutionquisigne"/>
    <w:rsid w:val="004C7DC8"/>
    <w:pPr>
      <w:tabs>
        <w:tab w:val="left" w:pos="4252"/>
      </w:tabs>
      <w:spacing w:after="0" w:line="240" w:lineRule="auto"/>
    </w:pPr>
    <w:rPr>
      <w:rFonts w:ascii="Times New Roman" w:eastAsia="Calibri" w:hAnsi="Times New Roman" w:cs="Times New Roman"/>
      <w:i/>
      <w:sz w:val="24"/>
      <w:lang w:val="en-GB" w:eastAsia="en-GB"/>
    </w:rPr>
  </w:style>
  <w:style w:type="paragraph" w:customStyle="1" w:styleId="Applicationdirecte">
    <w:name w:val="Application directe"/>
    <w:basedOn w:val="Normal"/>
    <w:next w:val="Fait"/>
    <w:rsid w:val="004C7DC8"/>
    <w:pPr>
      <w:spacing w:before="480" w:after="120" w:line="240" w:lineRule="auto"/>
      <w:jc w:val="both"/>
    </w:pPr>
    <w:rPr>
      <w:rFonts w:ascii="Times New Roman" w:eastAsia="Calibri" w:hAnsi="Times New Roman" w:cs="Times New Roman"/>
      <w:sz w:val="24"/>
      <w:lang w:val="en-GB" w:eastAsia="en-GB"/>
    </w:rPr>
  </w:style>
  <w:style w:type="paragraph" w:customStyle="1" w:styleId="Avertissementtitre">
    <w:name w:val="Avertissement titre"/>
    <w:basedOn w:val="Normal"/>
    <w:next w:val="Normal"/>
    <w:rsid w:val="004C7DC8"/>
    <w:pPr>
      <w:keepNext/>
      <w:spacing w:before="480" w:after="120" w:line="240" w:lineRule="auto"/>
      <w:jc w:val="both"/>
    </w:pPr>
    <w:rPr>
      <w:rFonts w:ascii="Times New Roman" w:eastAsia="Calibri" w:hAnsi="Times New Roman" w:cs="Times New Roman"/>
      <w:sz w:val="24"/>
      <w:u w:val="single"/>
      <w:lang w:val="en-GB" w:eastAsia="en-GB"/>
    </w:rPr>
  </w:style>
  <w:style w:type="paragraph" w:customStyle="1" w:styleId="Confidence">
    <w:name w:val="Confidence"/>
    <w:basedOn w:val="Normal"/>
    <w:next w:val="Normal"/>
    <w:rsid w:val="004C7DC8"/>
    <w:pPr>
      <w:spacing w:before="360" w:after="120" w:line="240" w:lineRule="auto"/>
      <w:jc w:val="center"/>
    </w:pPr>
    <w:rPr>
      <w:rFonts w:ascii="Times New Roman" w:eastAsia="Calibri" w:hAnsi="Times New Roman" w:cs="Times New Roman"/>
      <w:sz w:val="24"/>
      <w:lang w:val="en-GB" w:eastAsia="en-GB"/>
    </w:rPr>
  </w:style>
  <w:style w:type="paragraph" w:customStyle="1" w:styleId="TypedudocumentPagedecouverture">
    <w:name w:val="Type du document (Page de couverture)"/>
    <w:basedOn w:val="Typedudocument"/>
    <w:next w:val="TitreobjetPagedecouverture"/>
    <w:rsid w:val="004C7DC8"/>
  </w:style>
  <w:style w:type="paragraph" w:customStyle="1" w:styleId="Typedudocument">
    <w:name w:val="Type du document"/>
    <w:basedOn w:val="Normal"/>
    <w:next w:val="Titreobjet"/>
    <w:rsid w:val="004C7DC8"/>
    <w:pPr>
      <w:spacing w:before="360" w:after="180" w:line="240" w:lineRule="auto"/>
      <w:jc w:val="center"/>
    </w:pPr>
    <w:rPr>
      <w:rFonts w:ascii="Times New Roman" w:eastAsia="Calibri" w:hAnsi="Times New Roman" w:cs="Times New Roman"/>
      <w:b/>
      <w:sz w:val="24"/>
      <w:lang w:val="en-GB" w:eastAsia="en-GB"/>
    </w:rPr>
  </w:style>
  <w:style w:type="paragraph" w:customStyle="1" w:styleId="Titreobjet">
    <w:name w:val="Titre objet"/>
    <w:basedOn w:val="Normal"/>
    <w:next w:val="Sous-titreobjet"/>
    <w:rsid w:val="004C7DC8"/>
    <w:pPr>
      <w:spacing w:before="180" w:after="180" w:line="240" w:lineRule="auto"/>
      <w:jc w:val="center"/>
    </w:pPr>
    <w:rPr>
      <w:rFonts w:ascii="Times New Roman" w:eastAsia="Calibri" w:hAnsi="Times New Roman" w:cs="Times New Roman"/>
      <w:b/>
      <w:sz w:val="24"/>
      <w:lang w:val="en-GB" w:eastAsia="en-GB"/>
    </w:rPr>
  </w:style>
  <w:style w:type="paragraph" w:customStyle="1" w:styleId="Sous-titreobjet">
    <w:name w:val="Sous-titre objet"/>
    <w:basedOn w:val="Normal"/>
    <w:rsid w:val="004C7DC8"/>
    <w:pPr>
      <w:spacing w:after="0" w:line="240" w:lineRule="auto"/>
      <w:jc w:val="center"/>
    </w:pPr>
    <w:rPr>
      <w:rFonts w:ascii="Times New Roman" w:eastAsia="Calibri" w:hAnsi="Times New Roman" w:cs="Times New Roman"/>
      <w:b/>
      <w:sz w:val="24"/>
      <w:lang w:val="en-GB" w:eastAsia="en-GB"/>
    </w:rPr>
  </w:style>
  <w:style w:type="paragraph" w:customStyle="1" w:styleId="TitreobjetPagedecouverture">
    <w:name w:val="Titre objet (Page de couverture)"/>
    <w:basedOn w:val="Titreobjet"/>
    <w:next w:val="Sous-titreobjetPagedecouverture"/>
    <w:rsid w:val="004C7DC8"/>
  </w:style>
  <w:style w:type="paragraph" w:customStyle="1" w:styleId="Sous-titreobjetPagedecouverture">
    <w:name w:val="Sous-titre objet (Page de couverture)"/>
    <w:basedOn w:val="Sous-titreobjet"/>
    <w:rsid w:val="004C7DC8"/>
  </w:style>
  <w:style w:type="paragraph" w:customStyle="1" w:styleId="Confidentialit">
    <w:name w:val="Confidentialité"/>
    <w:basedOn w:val="Normal"/>
    <w:next w:val="TypedudocumentPagedecouverture"/>
    <w:rsid w:val="004C7DC8"/>
    <w:pPr>
      <w:spacing w:before="240" w:after="240" w:line="240" w:lineRule="auto"/>
      <w:ind w:left="5103"/>
    </w:pPr>
    <w:rPr>
      <w:rFonts w:ascii="Times New Roman" w:eastAsia="Calibri" w:hAnsi="Times New Roman" w:cs="Times New Roman"/>
      <w:i/>
      <w:sz w:val="32"/>
      <w:lang w:val="en-GB" w:eastAsia="en-GB"/>
    </w:rPr>
  </w:style>
  <w:style w:type="paragraph" w:customStyle="1" w:styleId="Considrant">
    <w:name w:val="Considérant"/>
    <w:basedOn w:val="Normal"/>
    <w:rsid w:val="004C7DC8"/>
    <w:pPr>
      <w:numPr>
        <w:numId w:val="57"/>
      </w:numPr>
      <w:spacing w:before="120" w:after="120" w:line="240" w:lineRule="auto"/>
      <w:jc w:val="both"/>
    </w:pPr>
    <w:rPr>
      <w:rFonts w:ascii="Times New Roman" w:eastAsia="Calibri" w:hAnsi="Times New Roman" w:cs="Times New Roman"/>
      <w:sz w:val="24"/>
      <w:lang w:val="en-GB" w:eastAsia="en-GB"/>
    </w:rPr>
  </w:style>
  <w:style w:type="paragraph" w:customStyle="1" w:styleId="Corrigendum">
    <w:name w:val="Corrigendum"/>
    <w:basedOn w:val="Normal"/>
    <w:next w:val="Normal"/>
    <w:rsid w:val="004C7DC8"/>
    <w:pPr>
      <w:spacing w:after="240" w:line="240" w:lineRule="auto"/>
    </w:pPr>
    <w:rPr>
      <w:rFonts w:ascii="Times New Roman" w:eastAsia="Calibri" w:hAnsi="Times New Roman" w:cs="Times New Roman"/>
      <w:sz w:val="24"/>
      <w:lang w:val="en-GB" w:eastAsia="en-GB"/>
    </w:rPr>
  </w:style>
  <w:style w:type="paragraph" w:customStyle="1" w:styleId="Datedadoption">
    <w:name w:val="Date d'adoption"/>
    <w:basedOn w:val="Normal"/>
    <w:next w:val="Titreobjet"/>
    <w:rsid w:val="004C7DC8"/>
    <w:pPr>
      <w:spacing w:before="360" w:after="0" w:line="240" w:lineRule="auto"/>
      <w:jc w:val="center"/>
    </w:pPr>
    <w:rPr>
      <w:rFonts w:ascii="Times New Roman" w:eastAsia="Calibri" w:hAnsi="Times New Roman" w:cs="Times New Roman"/>
      <w:b/>
      <w:sz w:val="24"/>
      <w:lang w:val="en-GB" w:eastAsia="en-GB"/>
    </w:rPr>
  </w:style>
  <w:style w:type="paragraph" w:customStyle="1" w:styleId="Rfrenceinstitutionnelle">
    <w:name w:val="Référence institutionnelle"/>
    <w:basedOn w:val="Normal"/>
    <w:next w:val="Confidentialit"/>
    <w:rsid w:val="004C7DC8"/>
    <w:pPr>
      <w:spacing w:after="240" w:line="240" w:lineRule="auto"/>
      <w:ind w:left="5103"/>
    </w:pPr>
    <w:rPr>
      <w:rFonts w:ascii="Times New Roman" w:eastAsia="Calibri" w:hAnsi="Times New Roman" w:cs="Times New Roman"/>
      <w:sz w:val="24"/>
      <w:lang w:val="en-GB" w:eastAsia="en-GB"/>
    </w:rPr>
  </w:style>
  <w:style w:type="paragraph" w:customStyle="1" w:styleId="Emission">
    <w:name w:val="Emission"/>
    <w:basedOn w:val="Normal"/>
    <w:next w:val="Rfrenceinstitutionnelle"/>
    <w:rsid w:val="004C7DC8"/>
    <w:pPr>
      <w:spacing w:after="0" w:line="240" w:lineRule="auto"/>
      <w:ind w:left="5103"/>
    </w:pPr>
    <w:rPr>
      <w:rFonts w:ascii="Times New Roman" w:eastAsia="Calibri" w:hAnsi="Times New Roman" w:cs="Times New Roman"/>
      <w:sz w:val="24"/>
      <w:lang w:val="en-GB" w:eastAsia="en-GB"/>
    </w:rPr>
  </w:style>
  <w:style w:type="paragraph" w:customStyle="1" w:styleId="Exposdesmotifstitre">
    <w:name w:val="Exposé des motifs titre"/>
    <w:basedOn w:val="Normal"/>
    <w:next w:val="Normal"/>
    <w:rsid w:val="004C7DC8"/>
    <w:pPr>
      <w:spacing w:before="120" w:after="120" w:line="240" w:lineRule="auto"/>
      <w:jc w:val="center"/>
    </w:pPr>
    <w:rPr>
      <w:rFonts w:ascii="Times New Roman" w:eastAsia="Calibri" w:hAnsi="Times New Roman" w:cs="Times New Roman"/>
      <w:b/>
      <w:sz w:val="24"/>
      <w:u w:val="single"/>
      <w:lang w:val="en-GB" w:eastAsia="en-GB"/>
    </w:rPr>
  </w:style>
  <w:style w:type="paragraph" w:customStyle="1" w:styleId="Formuledadoption">
    <w:name w:val="Formule d'adoption"/>
    <w:basedOn w:val="Normal"/>
    <w:next w:val="Titrearticle"/>
    <w:rsid w:val="004C7DC8"/>
    <w:pPr>
      <w:keepNext/>
      <w:spacing w:before="120" w:after="120" w:line="240" w:lineRule="auto"/>
      <w:jc w:val="both"/>
    </w:pPr>
    <w:rPr>
      <w:rFonts w:ascii="Times New Roman" w:eastAsia="Calibri" w:hAnsi="Times New Roman" w:cs="Times New Roman"/>
      <w:sz w:val="24"/>
      <w:lang w:val="en-GB" w:eastAsia="en-GB"/>
    </w:rPr>
  </w:style>
  <w:style w:type="paragraph" w:customStyle="1" w:styleId="Institutionquiagit">
    <w:name w:val="Institution qui agit"/>
    <w:basedOn w:val="Normal"/>
    <w:next w:val="Normal"/>
    <w:rsid w:val="004C7DC8"/>
    <w:pPr>
      <w:keepNext/>
      <w:spacing w:before="600" w:after="120" w:line="240" w:lineRule="auto"/>
      <w:jc w:val="both"/>
    </w:pPr>
    <w:rPr>
      <w:rFonts w:ascii="Times New Roman" w:eastAsia="Calibri" w:hAnsi="Times New Roman" w:cs="Times New Roman"/>
      <w:sz w:val="24"/>
      <w:lang w:val="en-GB" w:eastAsia="en-GB"/>
    </w:rPr>
  </w:style>
  <w:style w:type="paragraph" w:customStyle="1" w:styleId="Rfrenceinterne">
    <w:name w:val="Référence interne"/>
    <w:basedOn w:val="Normal"/>
    <w:next w:val="Rfrenceinterinstitutionnelle"/>
    <w:rsid w:val="004C7DC8"/>
    <w:pPr>
      <w:spacing w:after="0" w:line="240" w:lineRule="auto"/>
      <w:ind w:left="5103"/>
    </w:pPr>
    <w:rPr>
      <w:rFonts w:ascii="Times New Roman" w:eastAsia="Calibri" w:hAnsi="Times New Roman" w:cs="Times New Roman"/>
      <w:sz w:val="24"/>
      <w:lang w:val="en-GB" w:eastAsia="en-GB"/>
    </w:rPr>
  </w:style>
  <w:style w:type="paragraph" w:customStyle="1" w:styleId="Rfrenceinterinstitutionnelle">
    <w:name w:val="Référence interinstitutionnelle"/>
    <w:basedOn w:val="Normal"/>
    <w:next w:val="Statut"/>
    <w:rsid w:val="004C7DC8"/>
    <w:pPr>
      <w:spacing w:after="0" w:line="240" w:lineRule="auto"/>
      <w:ind w:left="5103"/>
    </w:pPr>
    <w:rPr>
      <w:rFonts w:ascii="Times New Roman" w:eastAsia="Calibri" w:hAnsi="Times New Roman" w:cs="Times New Roman"/>
      <w:sz w:val="24"/>
      <w:lang w:val="en-GB" w:eastAsia="en-GB"/>
    </w:rPr>
  </w:style>
  <w:style w:type="paragraph" w:customStyle="1" w:styleId="Statut">
    <w:name w:val="Statut"/>
    <w:basedOn w:val="Normal"/>
    <w:next w:val="Typedudocument"/>
    <w:rsid w:val="004C7DC8"/>
    <w:pPr>
      <w:spacing w:before="360" w:after="0" w:line="240" w:lineRule="auto"/>
      <w:jc w:val="center"/>
    </w:pPr>
    <w:rPr>
      <w:rFonts w:ascii="Times New Roman" w:eastAsia="Calibri" w:hAnsi="Times New Roman" w:cs="Times New Roman"/>
      <w:sz w:val="24"/>
      <w:lang w:val="en-GB" w:eastAsia="en-GB"/>
    </w:rPr>
  </w:style>
  <w:style w:type="paragraph" w:customStyle="1" w:styleId="Langue">
    <w:name w:val="Langue"/>
    <w:basedOn w:val="Normal"/>
    <w:next w:val="Rfrenceinterne"/>
    <w:rsid w:val="004C7DC8"/>
    <w:pPr>
      <w:framePr w:wrap="around" w:vAnchor="page" w:hAnchor="text" w:xAlign="center" w:y="14741"/>
      <w:spacing w:after="600" w:line="240" w:lineRule="auto"/>
      <w:jc w:val="center"/>
    </w:pPr>
    <w:rPr>
      <w:rFonts w:ascii="Times New Roman" w:eastAsia="Calibri" w:hAnsi="Times New Roman" w:cs="Times New Roman"/>
      <w:b/>
      <w:caps/>
      <w:sz w:val="24"/>
      <w:lang w:val="en-GB" w:eastAsia="en-GB"/>
    </w:rPr>
  </w:style>
  <w:style w:type="paragraph" w:customStyle="1" w:styleId="Nomdelinstitution">
    <w:name w:val="Nom de l'institution"/>
    <w:basedOn w:val="Normal"/>
    <w:next w:val="Emission"/>
    <w:rsid w:val="004C7DC8"/>
    <w:pPr>
      <w:spacing w:after="0" w:line="240" w:lineRule="auto"/>
    </w:pPr>
    <w:rPr>
      <w:rFonts w:ascii="Arial" w:eastAsia="Calibri" w:hAnsi="Arial" w:cs="Arial"/>
      <w:sz w:val="24"/>
      <w:lang w:val="en-GB" w:eastAsia="en-GB"/>
    </w:rPr>
  </w:style>
  <w:style w:type="paragraph" w:customStyle="1" w:styleId="Address">
    <w:name w:val="Address"/>
    <w:basedOn w:val="Normal"/>
    <w:next w:val="Normal"/>
    <w:rsid w:val="004C7DC8"/>
    <w:pPr>
      <w:keepLines/>
      <w:spacing w:before="120" w:after="120" w:line="360" w:lineRule="auto"/>
      <w:ind w:left="3402"/>
    </w:pPr>
    <w:rPr>
      <w:rFonts w:ascii="Times New Roman" w:eastAsia="Calibri" w:hAnsi="Times New Roman" w:cs="Times New Roman"/>
      <w:sz w:val="24"/>
      <w:lang w:val="en-GB" w:eastAsia="en-GB"/>
    </w:rPr>
  </w:style>
  <w:style w:type="paragraph" w:customStyle="1" w:styleId="Objetexterne">
    <w:name w:val="Objet externe"/>
    <w:basedOn w:val="Normal"/>
    <w:next w:val="Normal"/>
    <w:rsid w:val="004C7DC8"/>
    <w:pPr>
      <w:spacing w:before="120" w:after="120" w:line="240" w:lineRule="auto"/>
      <w:jc w:val="both"/>
    </w:pPr>
    <w:rPr>
      <w:rFonts w:ascii="Times New Roman" w:eastAsia="Calibri" w:hAnsi="Times New Roman" w:cs="Times New Roman"/>
      <w:i/>
      <w:caps/>
      <w:sz w:val="24"/>
      <w:lang w:val="en-GB" w:eastAsia="en-GB"/>
    </w:rPr>
  </w:style>
  <w:style w:type="paragraph" w:customStyle="1" w:styleId="Supertitre">
    <w:name w:val="Supertitre"/>
    <w:basedOn w:val="Normal"/>
    <w:next w:val="Normal"/>
    <w:rsid w:val="004C7DC8"/>
    <w:pPr>
      <w:spacing w:after="600" w:line="240" w:lineRule="auto"/>
      <w:jc w:val="center"/>
    </w:pPr>
    <w:rPr>
      <w:rFonts w:ascii="Times New Roman" w:eastAsia="Calibri" w:hAnsi="Times New Roman" w:cs="Times New Roman"/>
      <w:b/>
      <w:sz w:val="24"/>
      <w:lang w:val="en-GB" w:eastAsia="en-GB"/>
    </w:rPr>
  </w:style>
  <w:style w:type="paragraph" w:customStyle="1" w:styleId="Languesfaisantfoi">
    <w:name w:val="Langues faisant foi"/>
    <w:basedOn w:val="Normal"/>
    <w:next w:val="Normal"/>
    <w:rsid w:val="004C7DC8"/>
    <w:pPr>
      <w:spacing w:before="360" w:after="0" w:line="240" w:lineRule="auto"/>
      <w:jc w:val="center"/>
    </w:pPr>
    <w:rPr>
      <w:rFonts w:ascii="Times New Roman" w:eastAsia="Calibri" w:hAnsi="Times New Roman" w:cs="Times New Roman"/>
      <w:sz w:val="24"/>
      <w:lang w:val="en-GB" w:eastAsia="en-GB"/>
    </w:rPr>
  </w:style>
  <w:style w:type="paragraph" w:customStyle="1" w:styleId="Rfrencecroise">
    <w:name w:val="Référence croisée"/>
    <w:basedOn w:val="Normal"/>
    <w:rsid w:val="004C7DC8"/>
    <w:pPr>
      <w:spacing w:after="0" w:line="240" w:lineRule="auto"/>
      <w:jc w:val="center"/>
    </w:pPr>
    <w:rPr>
      <w:rFonts w:ascii="Times New Roman" w:eastAsia="Calibri" w:hAnsi="Times New Roman" w:cs="Times New Roman"/>
      <w:sz w:val="24"/>
      <w:lang w:val="en-GB" w:eastAsia="en-GB"/>
    </w:rPr>
  </w:style>
  <w:style w:type="paragraph" w:customStyle="1" w:styleId="Fichefinanciretitre">
    <w:name w:val="Fiche financière titre"/>
    <w:basedOn w:val="Normal"/>
    <w:next w:val="Normal"/>
    <w:rsid w:val="004C7DC8"/>
    <w:pPr>
      <w:spacing w:before="120" w:after="120" w:line="240" w:lineRule="auto"/>
      <w:jc w:val="center"/>
    </w:pPr>
    <w:rPr>
      <w:rFonts w:ascii="Times New Roman" w:eastAsia="Calibri" w:hAnsi="Times New Roman" w:cs="Times New Roman"/>
      <w:b/>
      <w:sz w:val="24"/>
      <w:u w:val="single"/>
      <w:lang w:val="en-GB" w:eastAsia="en-GB"/>
    </w:rPr>
  </w:style>
  <w:style w:type="paragraph" w:customStyle="1" w:styleId="DatedadoptionPagedecouverture">
    <w:name w:val="Date d'adoption (Page de couverture)"/>
    <w:basedOn w:val="Datedadoption"/>
    <w:next w:val="TitreobjetPagedecouverture"/>
    <w:rsid w:val="004C7DC8"/>
  </w:style>
  <w:style w:type="paragraph" w:customStyle="1" w:styleId="RfrenceinterinstitutionnellePagedecouverture">
    <w:name w:val="Référence interinstitutionnelle (Page de couverture)"/>
    <w:basedOn w:val="Rfrenceinterinstitutionnelle"/>
    <w:next w:val="Confidentialit"/>
    <w:rsid w:val="004C7DC8"/>
  </w:style>
  <w:style w:type="paragraph" w:customStyle="1" w:styleId="StatutPagedecouverture">
    <w:name w:val="Statut (Page de couverture)"/>
    <w:basedOn w:val="Statut"/>
    <w:next w:val="TypedudocumentPagedecouverture"/>
    <w:rsid w:val="004C7DC8"/>
  </w:style>
  <w:style w:type="paragraph" w:customStyle="1" w:styleId="Volume">
    <w:name w:val="Volume"/>
    <w:basedOn w:val="Normal"/>
    <w:next w:val="Confidentialit"/>
    <w:rsid w:val="004C7DC8"/>
    <w:pPr>
      <w:spacing w:after="240" w:line="240" w:lineRule="auto"/>
      <w:ind w:left="5103"/>
    </w:pPr>
    <w:rPr>
      <w:rFonts w:ascii="Times New Roman" w:eastAsia="Calibri" w:hAnsi="Times New Roman" w:cs="Times New Roman"/>
      <w:sz w:val="24"/>
      <w:lang w:val="en-GB" w:eastAsia="en-GB"/>
    </w:rPr>
  </w:style>
  <w:style w:type="paragraph" w:customStyle="1" w:styleId="IntrtEEE">
    <w:name w:val="Intérêt EEE"/>
    <w:basedOn w:val="Languesfaisantfoi"/>
    <w:next w:val="Normal"/>
    <w:rsid w:val="004C7DC8"/>
    <w:pPr>
      <w:spacing w:after="240"/>
    </w:pPr>
  </w:style>
  <w:style w:type="paragraph" w:customStyle="1" w:styleId="Typeacteprincipal">
    <w:name w:val="Type acte principal"/>
    <w:basedOn w:val="Normal"/>
    <w:next w:val="Objetacteprincipal"/>
    <w:rsid w:val="004C7DC8"/>
    <w:pPr>
      <w:spacing w:after="240" w:line="240" w:lineRule="auto"/>
      <w:jc w:val="center"/>
    </w:pPr>
    <w:rPr>
      <w:rFonts w:ascii="Times New Roman" w:eastAsia="Calibri" w:hAnsi="Times New Roman" w:cs="Times New Roman"/>
      <w:b/>
      <w:sz w:val="24"/>
      <w:lang w:val="en-GB" w:eastAsia="en-GB"/>
    </w:rPr>
  </w:style>
  <w:style w:type="paragraph" w:customStyle="1" w:styleId="Objetacteprincipal">
    <w:name w:val="Objet acte principal"/>
    <w:basedOn w:val="Normal"/>
    <w:next w:val="Titrearticle"/>
    <w:rsid w:val="004C7DC8"/>
    <w:pPr>
      <w:spacing w:after="360" w:line="240" w:lineRule="auto"/>
      <w:jc w:val="center"/>
    </w:pPr>
    <w:rPr>
      <w:rFonts w:ascii="Times New Roman" w:eastAsia="Calibri" w:hAnsi="Times New Roman" w:cs="Times New Roman"/>
      <w:b/>
      <w:sz w:val="24"/>
      <w:lang w:val="en-GB" w:eastAsia="en-GB"/>
    </w:rPr>
  </w:style>
  <w:style w:type="paragraph" w:customStyle="1" w:styleId="Accompagnant">
    <w:name w:val="Accompagnant"/>
    <w:basedOn w:val="Normal"/>
    <w:next w:val="Typeacteprincipal"/>
    <w:rsid w:val="004C7DC8"/>
    <w:pPr>
      <w:spacing w:before="180" w:after="240" w:line="240" w:lineRule="auto"/>
      <w:jc w:val="center"/>
    </w:pPr>
    <w:rPr>
      <w:rFonts w:ascii="Times New Roman" w:eastAsia="Calibri" w:hAnsi="Times New Roman" w:cs="Times New Roman"/>
      <w:b/>
      <w:sz w:val="24"/>
      <w:lang w:val="en-GB" w:eastAsia="en-GB"/>
    </w:rPr>
  </w:style>
  <w:style w:type="paragraph" w:customStyle="1" w:styleId="IntrtEEEPagedecouverture">
    <w:name w:val="Intérêt EEE (Page de couverture)"/>
    <w:basedOn w:val="IntrtEEE"/>
    <w:next w:val="Rfrencecroise"/>
    <w:rsid w:val="004C7DC8"/>
  </w:style>
  <w:style w:type="paragraph" w:customStyle="1" w:styleId="TypeacteprincipalPagedecouverture">
    <w:name w:val="Type acte principal (Page de couverture)"/>
    <w:basedOn w:val="Typeacteprincipal"/>
    <w:next w:val="ObjetacteprincipalPagedecouverture"/>
    <w:rsid w:val="004C7DC8"/>
  </w:style>
  <w:style w:type="paragraph" w:customStyle="1" w:styleId="ObjetacteprincipalPagedecouverture">
    <w:name w:val="Objet acte principal (Page de couverture)"/>
    <w:basedOn w:val="Objetacteprincipal"/>
    <w:next w:val="Rfrencecroise"/>
    <w:rsid w:val="004C7DC8"/>
  </w:style>
  <w:style w:type="paragraph" w:customStyle="1" w:styleId="AccompagnantPagedecouverture">
    <w:name w:val="Accompagnant (Page de couverture)"/>
    <w:basedOn w:val="Accompagnant"/>
    <w:next w:val="TypeacteprincipalPagedecouverture"/>
    <w:rsid w:val="004C7DC8"/>
  </w:style>
  <w:style w:type="paragraph" w:customStyle="1" w:styleId="LanguesfaisantfoiPagedecouverture">
    <w:name w:val="Langues faisant foi (Page de couverture)"/>
    <w:basedOn w:val="Normal"/>
    <w:next w:val="Normal"/>
    <w:rsid w:val="004C7DC8"/>
    <w:pPr>
      <w:spacing w:before="360" w:after="0" w:line="240" w:lineRule="auto"/>
      <w:jc w:val="center"/>
    </w:pPr>
    <w:rPr>
      <w:rFonts w:ascii="Times New Roman" w:eastAsia="Calibri" w:hAnsi="Times New Roman" w:cs="Times New Roman"/>
      <w:sz w:val="24"/>
      <w:lang w:val="en-GB" w:eastAsia="en-GB"/>
    </w:rPr>
  </w:style>
  <w:style w:type="paragraph" w:customStyle="1" w:styleId="Declassification">
    <w:name w:val="Declassification"/>
    <w:basedOn w:val="Normal"/>
    <w:next w:val="Normal"/>
    <w:rsid w:val="004C7DC8"/>
    <w:pPr>
      <w:spacing w:after="0" w:line="240" w:lineRule="auto"/>
      <w:jc w:val="both"/>
    </w:pPr>
    <w:rPr>
      <w:rFonts w:ascii="Times New Roman" w:hAnsi="Times New Roman" w:cs="Times New Roman"/>
      <w:sz w:val="24"/>
      <w:lang w:val="en-GB"/>
    </w:rPr>
  </w:style>
  <w:style w:type="paragraph" w:customStyle="1" w:styleId="ZDGName">
    <w:name w:val="Z_DGName"/>
    <w:basedOn w:val="Normal"/>
    <w:rsid w:val="004C7DC8"/>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customStyle="1" w:styleId="ZCom">
    <w:name w:val="Z_Com"/>
    <w:basedOn w:val="Normal"/>
    <w:next w:val="ZDGName"/>
    <w:uiPriority w:val="99"/>
    <w:rsid w:val="004C7DC8"/>
    <w:pPr>
      <w:widowControl w:val="0"/>
      <w:autoSpaceDE w:val="0"/>
      <w:autoSpaceDN w:val="0"/>
      <w:spacing w:after="0" w:line="240" w:lineRule="auto"/>
      <w:ind w:right="85"/>
      <w:jc w:val="both"/>
    </w:pPr>
    <w:rPr>
      <w:rFonts w:ascii="Arial" w:eastAsia="Times New Roman" w:hAnsi="Arial" w:cs="Arial"/>
      <w:sz w:val="24"/>
      <w:szCs w:val="24"/>
      <w:lang w:val="en-GB" w:eastAsia="en-GB"/>
    </w:rPr>
  </w:style>
  <w:style w:type="paragraph" w:customStyle="1" w:styleId="EntText">
    <w:name w:val="EntText"/>
    <w:basedOn w:val="Normal"/>
    <w:rsid w:val="004C7DC8"/>
    <w:pPr>
      <w:spacing w:before="120" w:after="120" w:line="360" w:lineRule="auto"/>
    </w:pPr>
    <w:rPr>
      <w:rFonts w:ascii="Times New Roman" w:hAnsi="Times New Roman" w:cs="Times New Roman"/>
      <w:sz w:val="24"/>
      <w:lang w:val="en-GB"/>
    </w:rPr>
  </w:style>
  <w:style w:type="paragraph" w:customStyle="1" w:styleId="Lignefinal">
    <w:name w:val="Ligne final"/>
    <w:basedOn w:val="Normal"/>
    <w:next w:val="Normal"/>
    <w:rsid w:val="004C7DC8"/>
    <w:pPr>
      <w:pBdr>
        <w:bottom w:val="single" w:sz="4" w:space="0" w:color="000000"/>
      </w:pBdr>
      <w:spacing w:before="360" w:after="120" w:line="360" w:lineRule="auto"/>
      <w:ind w:left="3400" w:right="3400"/>
      <w:jc w:val="center"/>
    </w:pPr>
    <w:rPr>
      <w:rFonts w:ascii="Times New Roman" w:hAnsi="Times New Roman" w:cs="Times New Roman"/>
      <w:b/>
      <w:sz w:val="24"/>
      <w:lang w:val="en-GB"/>
    </w:rPr>
  </w:style>
  <w:style w:type="character" w:customStyle="1" w:styleId="pjChar">
    <w:name w:val="p.j. Char"/>
    <w:basedOn w:val="TechnicalBlockChar"/>
    <w:link w:val="pj"/>
    <w:locked/>
    <w:rsid w:val="004C7DC8"/>
    <w:rPr>
      <w:rFonts w:ascii="Times New Roman" w:eastAsia="Calibri" w:hAnsi="Times New Roman" w:cs="Times New Roman"/>
      <w:sz w:val="24"/>
      <w:szCs w:val="20"/>
      <w:lang w:val="en-GB" w:eastAsia="en-GB"/>
    </w:rPr>
  </w:style>
  <w:style w:type="paragraph" w:customStyle="1" w:styleId="pj">
    <w:name w:val="p.j."/>
    <w:basedOn w:val="Normal"/>
    <w:link w:val="pjChar"/>
    <w:rsid w:val="004C7DC8"/>
    <w:pPr>
      <w:spacing w:before="1200" w:after="120" w:line="240" w:lineRule="auto"/>
      <w:ind w:left="1440" w:hanging="1440"/>
    </w:pPr>
    <w:rPr>
      <w:rFonts w:ascii="Times New Roman" w:eastAsia="Calibri" w:hAnsi="Times New Roman" w:cs="Times New Roman"/>
      <w:sz w:val="24"/>
      <w:szCs w:val="20"/>
      <w:lang w:val="en-GB" w:eastAsia="en-GB"/>
    </w:rPr>
  </w:style>
  <w:style w:type="character" w:customStyle="1" w:styleId="nbborderedChar">
    <w:name w:val="nb bordered Char"/>
    <w:basedOn w:val="TechnicalBlockChar"/>
    <w:link w:val="nbbordered"/>
    <w:locked/>
    <w:rsid w:val="004C7DC8"/>
    <w:rPr>
      <w:rFonts w:ascii="Times New Roman" w:eastAsia="Calibri" w:hAnsi="Times New Roman" w:cs="Times New Roman"/>
      <w:b/>
      <w:sz w:val="24"/>
      <w:szCs w:val="20"/>
      <w:lang w:val="en-GB" w:eastAsia="en-GB"/>
    </w:rPr>
  </w:style>
  <w:style w:type="paragraph" w:customStyle="1" w:styleId="nbbordered">
    <w:name w:val="nb bordered"/>
    <w:basedOn w:val="Normal"/>
    <w:link w:val="nbborderedChar"/>
    <w:rsid w:val="004C7DC8"/>
    <w:pPr>
      <w:pBdr>
        <w:top w:val="single" w:sz="4" w:space="1" w:color="auto"/>
        <w:left w:val="single" w:sz="4" w:space="4" w:color="auto"/>
        <w:bottom w:val="single" w:sz="4" w:space="1" w:color="auto"/>
        <w:right w:val="single" w:sz="4" w:space="4" w:color="auto"/>
      </w:pBdr>
      <w:spacing w:before="120" w:after="160" w:line="240" w:lineRule="auto"/>
      <w:ind w:left="480" w:hanging="480"/>
      <w:jc w:val="both"/>
    </w:pPr>
    <w:rPr>
      <w:rFonts w:ascii="Times New Roman" w:eastAsia="Calibri" w:hAnsi="Times New Roman" w:cs="Times New Roman"/>
      <w:b/>
      <w:sz w:val="24"/>
      <w:szCs w:val="20"/>
      <w:lang w:val="en-GB" w:eastAsia="en-GB"/>
    </w:rPr>
  </w:style>
  <w:style w:type="paragraph" w:customStyle="1" w:styleId="default0">
    <w:name w:val="default"/>
    <w:basedOn w:val="Normal"/>
    <w:uiPriority w:val="99"/>
    <w:rsid w:val="004C7DC8"/>
    <w:pPr>
      <w:autoSpaceDE w:val="0"/>
      <w:autoSpaceDN w:val="0"/>
      <w:spacing w:after="0" w:line="240" w:lineRule="auto"/>
    </w:pPr>
    <w:rPr>
      <w:rFonts w:ascii="Times New Roman" w:hAnsi="Times New Roman" w:cs="Times New Roman"/>
      <w:color w:val="000000"/>
      <w:sz w:val="24"/>
      <w:szCs w:val="24"/>
      <w:lang w:val="en-GB" w:eastAsia="en-GB"/>
    </w:rPr>
  </w:style>
  <w:style w:type="paragraph" w:customStyle="1" w:styleId="Char2Char">
    <w:name w:val="Char2 Char"/>
    <w:basedOn w:val="Normal"/>
    <w:rsid w:val="004C7DC8"/>
    <w:pPr>
      <w:autoSpaceDE w:val="0"/>
      <w:autoSpaceDN w:val="0"/>
      <w:adjustRightInd w:val="0"/>
      <w:spacing w:after="160" w:line="240" w:lineRule="exact"/>
    </w:pPr>
    <w:rPr>
      <w:rFonts w:ascii="Tahoma" w:eastAsia="Times New Roman" w:hAnsi="Tahoma" w:cs="Times New Roman"/>
      <w:sz w:val="20"/>
      <w:szCs w:val="20"/>
      <w:lang w:val="en-US"/>
    </w:rPr>
  </w:style>
  <w:style w:type="paragraph" w:customStyle="1" w:styleId="Time">
    <w:name w:val="Time"/>
    <w:basedOn w:val="Normal"/>
    <w:rsid w:val="004C7DC8"/>
    <w:rPr>
      <w:lang w:val="en-GB"/>
    </w:rPr>
  </w:style>
  <w:style w:type="paragraph" w:customStyle="1" w:styleId="Pa0">
    <w:name w:val="Pa0"/>
    <w:basedOn w:val="Default"/>
    <w:next w:val="Default"/>
    <w:uiPriority w:val="99"/>
    <w:rsid w:val="004C7DC8"/>
    <w:pPr>
      <w:spacing w:before="120" w:after="120" w:line="361" w:lineRule="atLeast"/>
    </w:pPr>
    <w:rPr>
      <w:rFonts w:ascii="Verdana" w:hAnsi="Verdana" w:cs="Times New Roman"/>
      <w:color w:val="auto"/>
    </w:rPr>
  </w:style>
  <w:style w:type="paragraph" w:customStyle="1" w:styleId="Pa3">
    <w:name w:val="Pa3"/>
    <w:basedOn w:val="Default"/>
    <w:next w:val="Default"/>
    <w:uiPriority w:val="99"/>
    <w:rsid w:val="004C7DC8"/>
    <w:pPr>
      <w:spacing w:before="120" w:after="120" w:line="240" w:lineRule="atLeast"/>
    </w:pPr>
    <w:rPr>
      <w:rFonts w:ascii="Helvetica Neue" w:hAnsi="Helvetica Neue" w:cs="Times New Roman"/>
      <w:color w:val="auto"/>
    </w:rPr>
  </w:style>
  <w:style w:type="paragraph" w:customStyle="1" w:styleId="TabellenInhalt">
    <w:name w:val="Tabellen Inhalt"/>
    <w:basedOn w:val="Normal"/>
    <w:rsid w:val="004C7DC8"/>
    <w:pPr>
      <w:suppressLineNumbers/>
      <w:suppressAutoHyphens/>
      <w:spacing w:before="120" w:after="120" w:line="240" w:lineRule="auto"/>
      <w:jc w:val="both"/>
    </w:pPr>
    <w:rPr>
      <w:rFonts w:ascii="Times New Roman" w:eastAsia="Times New Roman" w:hAnsi="Times New Roman" w:cs="Times New Roman"/>
      <w:sz w:val="24"/>
      <w:szCs w:val="20"/>
      <w:lang w:val="en-GB" w:eastAsia="ar-SA"/>
    </w:rPr>
  </w:style>
  <w:style w:type="paragraph" w:customStyle="1" w:styleId="Tabellenberschrift">
    <w:name w:val="Tabellen Überschrift"/>
    <w:basedOn w:val="TabellenInhalt"/>
    <w:rsid w:val="004C7DC8"/>
    <w:pPr>
      <w:jc w:val="center"/>
    </w:pPr>
    <w:rPr>
      <w:b/>
      <w:bCs/>
    </w:rPr>
  </w:style>
  <w:style w:type="paragraph" w:customStyle="1" w:styleId="xmsolistparagraph">
    <w:name w:val="x_msolistparagraph"/>
    <w:basedOn w:val="Normal"/>
    <w:rsid w:val="004C7DC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msonormal">
    <w:name w:val="x_msonormal"/>
    <w:basedOn w:val="Normal"/>
    <w:rsid w:val="004C7DC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ormal1">
    <w:name w:val="Normal1"/>
    <w:basedOn w:val="Normal"/>
    <w:rsid w:val="004C7DC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titrearticle0">
    <w:name w:val="titrearticle"/>
    <w:basedOn w:val="Normal"/>
    <w:rsid w:val="004C7DC8"/>
    <w:pPr>
      <w:spacing w:before="100" w:beforeAutospacing="1" w:after="100" w:afterAutospacing="1" w:line="240" w:lineRule="auto"/>
    </w:pPr>
    <w:rPr>
      <w:rFonts w:ascii="Times New Roman" w:hAnsi="Times New Roman" w:cs="Times New Roman"/>
      <w:sz w:val="24"/>
      <w:szCs w:val="24"/>
      <w:lang w:val="en-US"/>
    </w:rPr>
  </w:style>
  <w:style w:type="character" w:customStyle="1" w:styleId="Teksttreci3">
    <w:name w:val="Tekst treści (3)_"/>
    <w:basedOn w:val="Fontdeparagrafimplicit"/>
    <w:link w:val="Teksttreci30"/>
    <w:uiPriority w:val="99"/>
    <w:locked/>
    <w:rsid w:val="004C7DC8"/>
    <w:rPr>
      <w:rFonts w:ascii="Times New Roman" w:hAnsi="Times New Roman" w:cs="Times New Roman"/>
      <w:b/>
      <w:bCs/>
      <w:sz w:val="36"/>
      <w:szCs w:val="36"/>
      <w:shd w:val="clear" w:color="auto" w:fill="FFFFFF"/>
    </w:rPr>
  </w:style>
  <w:style w:type="paragraph" w:customStyle="1" w:styleId="Teksttreci30">
    <w:name w:val="Tekst treści (3)"/>
    <w:basedOn w:val="Normal"/>
    <w:link w:val="Teksttreci3"/>
    <w:uiPriority w:val="99"/>
    <w:rsid w:val="004C7DC8"/>
    <w:pPr>
      <w:widowControl w:val="0"/>
      <w:shd w:val="clear" w:color="auto" w:fill="FFFFFF"/>
      <w:spacing w:after="0" w:line="240" w:lineRule="auto"/>
    </w:pPr>
    <w:rPr>
      <w:rFonts w:ascii="Times New Roman" w:hAnsi="Times New Roman" w:cs="Times New Roman"/>
      <w:b/>
      <w:bCs/>
      <w:sz w:val="36"/>
      <w:szCs w:val="36"/>
    </w:rPr>
  </w:style>
  <w:style w:type="character" w:customStyle="1" w:styleId="Inne">
    <w:name w:val="Inne_"/>
    <w:basedOn w:val="Fontdeparagrafimplicit"/>
    <w:link w:val="Inne0"/>
    <w:uiPriority w:val="99"/>
    <w:locked/>
    <w:rsid w:val="004C7DC8"/>
    <w:rPr>
      <w:rFonts w:ascii="Times New Roman" w:hAnsi="Times New Roman" w:cs="Times New Roman"/>
      <w:shd w:val="clear" w:color="auto" w:fill="FFFFFF"/>
    </w:rPr>
  </w:style>
  <w:style w:type="paragraph" w:customStyle="1" w:styleId="Inne0">
    <w:name w:val="Inne"/>
    <w:basedOn w:val="Normal"/>
    <w:link w:val="Inne"/>
    <w:uiPriority w:val="99"/>
    <w:rsid w:val="004C7DC8"/>
    <w:pPr>
      <w:widowControl w:val="0"/>
      <w:shd w:val="clear" w:color="auto" w:fill="FFFFFF"/>
      <w:spacing w:after="100" w:line="360" w:lineRule="auto"/>
    </w:pPr>
    <w:rPr>
      <w:rFonts w:ascii="Times New Roman" w:hAnsi="Times New Roman" w:cs="Times New Roman"/>
    </w:rPr>
  </w:style>
  <w:style w:type="character" w:styleId="Referincomentariu">
    <w:name w:val="annotation reference"/>
    <w:basedOn w:val="Fontdeparagrafimplicit"/>
    <w:uiPriority w:val="99"/>
    <w:semiHidden/>
    <w:unhideWhenUsed/>
    <w:rsid w:val="004C7DC8"/>
    <w:rPr>
      <w:sz w:val="16"/>
      <w:szCs w:val="16"/>
    </w:rPr>
  </w:style>
  <w:style w:type="character" w:customStyle="1" w:styleId="DontTranslate">
    <w:name w:val="DontTranslate"/>
    <w:rsid w:val="004C7DC8"/>
    <w:rPr>
      <w:color w:val="auto"/>
    </w:rPr>
  </w:style>
  <w:style w:type="character" w:customStyle="1" w:styleId="ManualNumPar1Char">
    <w:name w:val="Manual NumPar 1 Char"/>
    <w:rsid w:val="004C7DC8"/>
    <w:rPr>
      <w:rFonts w:ascii="Times New Roman" w:hAnsi="Times New Roman" w:cs="Times New Roman" w:hint="default"/>
      <w:sz w:val="24"/>
      <w:szCs w:val="22"/>
      <w:lang w:eastAsia="en-US"/>
    </w:rPr>
  </w:style>
  <w:style w:type="character" w:customStyle="1" w:styleId="CharacterStyle2">
    <w:name w:val="Character Style 2"/>
    <w:uiPriority w:val="99"/>
    <w:rsid w:val="004C7DC8"/>
    <w:rPr>
      <w:sz w:val="20"/>
      <w:szCs w:val="20"/>
    </w:rPr>
  </w:style>
  <w:style w:type="character" w:customStyle="1" w:styleId="Marker2">
    <w:name w:val="Marker2"/>
    <w:rsid w:val="004C7DC8"/>
    <w:rPr>
      <w:color w:val="FF0000"/>
    </w:rPr>
  </w:style>
  <w:style w:type="character" w:customStyle="1" w:styleId="Added">
    <w:name w:val="Added"/>
    <w:rsid w:val="004C7DC8"/>
    <w:rPr>
      <w:b/>
      <w:bCs w:val="0"/>
      <w:u w:val="single"/>
    </w:rPr>
  </w:style>
  <w:style w:type="character" w:customStyle="1" w:styleId="Deleted">
    <w:name w:val="Deleted"/>
    <w:rsid w:val="004C7DC8"/>
    <w:rPr>
      <w:strike/>
    </w:rPr>
  </w:style>
  <w:style w:type="character" w:customStyle="1" w:styleId="leaf">
    <w:name w:val="leaf"/>
    <w:uiPriority w:val="99"/>
    <w:rsid w:val="004C7DC8"/>
    <w:rPr>
      <w:rFonts w:ascii="Times New Roman" w:hAnsi="Times New Roman" w:cs="Times New Roman" w:hint="default"/>
    </w:rPr>
  </w:style>
  <w:style w:type="character" w:customStyle="1" w:styleId="style221">
    <w:name w:val="style221"/>
    <w:uiPriority w:val="99"/>
    <w:rsid w:val="004C7DC8"/>
    <w:rPr>
      <w:rFonts w:ascii="Times New Roman" w:hAnsi="Times New Roman" w:cs="Times New Roman" w:hint="default"/>
      <w:b/>
      <w:bCs/>
      <w:color w:val="990000"/>
    </w:rPr>
  </w:style>
  <w:style w:type="character" w:customStyle="1" w:styleId="A1">
    <w:name w:val="A1"/>
    <w:uiPriority w:val="99"/>
    <w:rsid w:val="004C7DC8"/>
    <w:rPr>
      <w:b/>
      <w:bCs w:val="0"/>
      <w:color w:val="000000"/>
      <w:sz w:val="80"/>
    </w:rPr>
  </w:style>
  <w:style w:type="character" w:customStyle="1" w:styleId="A2">
    <w:name w:val="A2"/>
    <w:uiPriority w:val="99"/>
    <w:rsid w:val="004C7DC8"/>
    <w:rPr>
      <w:b/>
      <w:bCs w:val="0"/>
      <w:color w:val="000000"/>
      <w:sz w:val="48"/>
    </w:rPr>
  </w:style>
  <w:style w:type="character" w:customStyle="1" w:styleId="A3">
    <w:name w:val="A3"/>
    <w:uiPriority w:val="99"/>
    <w:rsid w:val="004C7DC8"/>
    <w:rPr>
      <w:b/>
      <w:bCs w:val="0"/>
      <w:color w:val="000000"/>
      <w:sz w:val="32"/>
    </w:rPr>
  </w:style>
  <w:style w:type="character" w:customStyle="1" w:styleId="Funotenzeichen">
    <w:name w:val="Fußnotenzeichen"/>
    <w:rsid w:val="004C7DC8"/>
    <w:rPr>
      <w:rFonts w:ascii="Times New Roman" w:hAnsi="Times New Roman" w:cs="Times New Roman" w:hint="default"/>
      <w:vertAlign w:val="superscript"/>
    </w:rPr>
  </w:style>
  <w:style w:type="character" w:customStyle="1" w:styleId="tlid-translation">
    <w:name w:val="tlid-translation"/>
    <w:qFormat/>
    <w:rsid w:val="004C7DC8"/>
  </w:style>
  <w:style w:type="character" w:customStyle="1" w:styleId="TeksttreciMaelitery">
    <w:name w:val="Tekst treści + Małe litery"/>
    <w:rsid w:val="004C7DC8"/>
    <w:rPr>
      <w:rFonts w:ascii="AngsanaUPC" w:eastAsia="AngsanaUPC" w:hAnsi="AngsanaUPC" w:cs="AngsanaUPC" w:hint="default"/>
      <w:b w:val="0"/>
      <w:bCs w:val="0"/>
      <w:i w:val="0"/>
      <w:iCs w:val="0"/>
      <w:smallCaps/>
      <w:color w:val="000000"/>
      <w:spacing w:val="0"/>
      <w:w w:val="100"/>
      <w:position w:val="0"/>
      <w:sz w:val="34"/>
      <w:szCs w:val="34"/>
      <w:u w:val="single"/>
      <w:lang w:val="pl-PL"/>
    </w:rPr>
  </w:style>
  <w:style w:type="character" w:customStyle="1" w:styleId="apple-tab-span">
    <w:name w:val="apple-tab-span"/>
    <w:basedOn w:val="Fontdeparagrafimplicit"/>
    <w:rsid w:val="004C7DC8"/>
  </w:style>
  <w:style w:type="table" w:customStyle="1" w:styleId="TableGrid2">
    <w:name w:val="Table Grid2"/>
    <w:basedOn w:val="TabelNormal"/>
    <w:next w:val="Tabelgril"/>
    <w:uiPriority w:val="59"/>
    <w:rsid w:val="004C7DC8"/>
    <w:pPr>
      <w:spacing w:after="0" w:line="240" w:lineRule="auto"/>
    </w:pPr>
    <w:rPr>
      <w:rFonts w:ascii="Calibri" w:eastAsia="Calibri" w:hAnsi="Calibri" w:cs="Arial"/>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elNormal"/>
    <w:uiPriority w:val="40"/>
    <w:rsid w:val="004C7DC8"/>
    <w:pPr>
      <w:spacing w:after="0" w:line="240" w:lineRule="auto"/>
    </w:pPr>
    <w:rPr>
      <w:rFonts w:ascii="Calibri" w:eastAsia="Calibri" w:hAnsi="Calibri" w:cs="Arial"/>
      <w:lang w:val="en-US"/>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3">
    <w:name w:val="Table Grid3"/>
    <w:basedOn w:val="TabelNormal"/>
    <w:uiPriority w:val="59"/>
    <w:rsid w:val="004C7DC8"/>
    <w:pPr>
      <w:spacing w:after="0" w:line="240" w:lineRule="auto"/>
    </w:pPr>
    <w:rPr>
      <w:rFonts w:ascii="Calibri" w:eastAsia="Calibri" w:hAnsi="Calibri" w:cs="Arial"/>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elNormal"/>
    <w:uiPriority w:val="59"/>
    <w:rsid w:val="004C7DC8"/>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elNormal"/>
    <w:uiPriority w:val="59"/>
    <w:rsid w:val="004C7DC8"/>
    <w:pPr>
      <w:spacing w:before="120" w:after="0" w:line="240" w:lineRule="auto"/>
    </w:pPr>
    <w:rPr>
      <w:rFonts w:ascii="Times New Roman" w:eastAsia="Times New Roman" w:hAnsi="Times New Roman"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1">
    <w:name w:val="Table Grid Light11"/>
    <w:basedOn w:val="TabelNormal"/>
    <w:uiPriority w:val="40"/>
    <w:rsid w:val="004C7DC8"/>
    <w:pPr>
      <w:spacing w:after="0" w:line="240" w:lineRule="auto"/>
    </w:pPr>
    <w:rPr>
      <w:lang w:val="en-US"/>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5">
    <w:name w:val="Table Grid5"/>
    <w:basedOn w:val="TabelNormal"/>
    <w:uiPriority w:val="59"/>
    <w:rsid w:val="004C7DC8"/>
    <w:pPr>
      <w:spacing w:before="120" w:after="0" w:line="240" w:lineRule="auto"/>
    </w:pPr>
    <w:rPr>
      <w:rFonts w:ascii="Times New Roman" w:eastAsia="Times New Roman" w:hAnsi="Times New Roman"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2">
    <w:name w:val="Table Grid Light12"/>
    <w:basedOn w:val="TabelNormal"/>
    <w:uiPriority w:val="40"/>
    <w:rsid w:val="004C7DC8"/>
    <w:pPr>
      <w:spacing w:after="0" w:line="240" w:lineRule="auto"/>
    </w:pPr>
    <w:rPr>
      <w:lang w:val="en-US"/>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15">
    <w:name w:val="Table Grid15"/>
    <w:basedOn w:val="TabelNormal"/>
    <w:uiPriority w:val="59"/>
    <w:rsid w:val="004C7DC8"/>
    <w:pPr>
      <w:spacing w:after="0" w:line="240" w:lineRule="auto"/>
    </w:pPr>
    <w:rPr>
      <w:rFonts w:ascii="Calibri" w:eastAsia="Calibri" w:hAnsi="Calibri" w:cs="Arial"/>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elNormal"/>
    <w:uiPriority w:val="59"/>
    <w:rsid w:val="004C7DC8"/>
    <w:pPr>
      <w:spacing w:after="0" w:line="240" w:lineRule="auto"/>
    </w:pPr>
    <w:rPr>
      <w:rFonts w:ascii="Calibri" w:eastAsia="Calibri" w:hAnsi="Calibri" w:cs="Arial"/>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numerotat4">
    <w:name w:val="List Number 4"/>
    <w:basedOn w:val="Text4"/>
    <w:semiHidden/>
    <w:unhideWhenUsed/>
    <w:rsid w:val="004C7DC8"/>
    <w:pPr>
      <w:numPr>
        <w:numId w:val="48"/>
      </w:numPr>
      <w:spacing w:before="0" w:after="240" w:line="240" w:lineRule="auto"/>
      <w:jc w:val="both"/>
    </w:pPr>
    <w:rPr>
      <w:rFonts w:eastAsia="Times New Roman"/>
      <w:lang w:eastAsia="en-GB"/>
    </w:rPr>
  </w:style>
  <w:style w:type="paragraph" w:styleId="Listanumerotat2">
    <w:name w:val="List Number 2"/>
    <w:basedOn w:val="Text2"/>
    <w:semiHidden/>
    <w:unhideWhenUsed/>
    <w:rsid w:val="004C7DC8"/>
    <w:pPr>
      <w:numPr>
        <w:numId w:val="46"/>
      </w:numPr>
      <w:spacing w:before="0" w:after="240" w:line="240" w:lineRule="auto"/>
      <w:jc w:val="both"/>
    </w:pPr>
    <w:rPr>
      <w:rFonts w:eastAsia="Times New Roman"/>
      <w:lang w:eastAsia="en-GB"/>
    </w:rPr>
  </w:style>
  <w:style w:type="paragraph" w:styleId="Listanumerotat3">
    <w:name w:val="List Number 3"/>
    <w:basedOn w:val="Text3"/>
    <w:semiHidden/>
    <w:unhideWhenUsed/>
    <w:rsid w:val="004C7DC8"/>
    <w:pPr>
      <w:numPr>
        <w:numId w:val="47"/>
      </w:numPr>
      <w:spacing w:before="0" w:after="240" w:line="240" w:lineRule="auto"/>
      <w:jc w:val="both"/>
    </w:pPr>
    <w:rPr>
      <w:rFonts w:eastAsia="Times New Roman"/>
      <w:lang w:eastAsia="en-GB"/>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Referinnotdesubsol"/>
    <w:uiPriority w:val="99"/>
    <w:rsid w:val="004752D3"/>
    <w:pPr>
      <w:spacing w:before="110" w:after="160" w:line="240" w:lineRule="exact"/>
      <w:jc w:val="both"/>
    </w:pPr>
    <w:rPr>
      <w:b/>
      <w:vertAlign w:val="superscript"/>
    </w:rPr>
  </w:style>
  <w:style w:type="paragraph" w:customStyle="1" w:styleId="BVIfnrCaracter">
    <w:name w:val="BVI fnr Caracter"/>
    <w:aliases w:val="Footnote symbol Caracter,16 Point Caracter,Superscript 6 Point Caracter,ftref Caracter,BVI fnr Char1 Char Char Caracter,Footnote Reference Number Char Char Char Caracter,Times 10 Point Char Char Char Caracter"/>
    <w:basedOn w:val="Normal"/>
    <w:next w:val="Normal"/>
    <w:rsid w:val="00677485"/>
    <w:pPr>
      <w:spacing w:after="0" w:line="240" w:lineRule="exact"/>
    </w:pPr>
    <w:rPr>
      <w:b/>
      <w:vertAlign w:val="superscript"/>
    </w:rPr>
  </w:style>
  <w:style w:type="character" w:customStyle="1" w:styleId="BulletChar">
    <w:name w:val="Bullet Char"/>
    <w:basedOn w:val="Fontdeparagrafimplicit"/>
    <w:link w:val="Bullet"/>
    <w:rsid w:val="0070572B"/>
    <w:rPr>
      <w:rFonts w:ascii="Times New Roman" w:hAnsi="Times New Roman" w:cs="Times New Roman"/>
      <w:sz w:val="24"/>
      <w:lang w:val="en-GB"/>
    </w:rPr>
  </w:style>
  <w:style w:type="character" w:customStyle="1" w:styleId="m5617782119332985476msohyperlink">
    <w:name w:val="m_5617782119332985476msohyperlink"/>
    <w:basedOn w:val="Fontdeparagrafimplicit"/>
    <w:rsid w:val="009436DF"/>
  </w:style>
  <w:style w:type="paragraph" w:styleId="Revizuire">
    <w:name w:val="Revision"/>
    <w:hidden/>
    <w:uiPriority w:val="99"/>
    <w:semiHidden/>
    <w:rsid w:val="007636D3"/>
    <w:pPr>
      <w:spacing w:after="0" w:line="240" w:lineRule="auto"/>
    </w:p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basedOn w:val="Fontdeparagrafimplicit"/>
    <w:uiPriority w:val="34"/>
    <w:locked/>
    <w:rsid w:val="00D75B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705962">
      <w:bodyDiv w:val="1"/>
      <w:marLeft w:val="0"/>
      <w:marRight w:val="0"/>
      <w:marTop w:val="0"/>
      <w:marBottom w:val="0"/>
      <w:divBdr>
        <w:top w:val="none" w:sz="0" w:space="0" w:color="auto"/>
        <w:left w:val="none" w:sz="0" w:space="0" w:color="auto"/>
        <w:bottom w:val="none" w:sz="0" w:space="0" w:color="auto"/>
        <w:right w:val="none" w:sz="0" w:space="0" w:color="auto"/>
      </w:divBdr>
    </w:div>
    <w:div w:id="93404335">
      <w:bodyDiv w:val="1"/>
      <w:marLeft w:val="0"/>
      <w:marRight w:val="0"/>
      <w:marTop w:val="0"/>
      <w:marBottom w:val="0"/>
      <w:divBdr>
        <w:top w:val="none" w:sz="0" w:space="0" w:color="auto"/>
        <w:left w:val="none" w:sz="0" w:space="0" w:color="auto"/>
        <w:bottom w:val="none" w:sz="0" w:space="0" w:color="auto"/>
        <w:right w:val="none" w:sz="0" w:space="0" w:color="auto"/>
      </w:divBdr>
    </w:div>
    <w:div w:id="261301997">
      <w:bodyDiv w:val="1"/>
      <w:marLeft w:val="0"/>
      <w:marRight w:val="0"/>
      <w:marTop w:val="0"/>
      <w:marBottom w:val="0"/>
      <w:divBdr>
        <w:top w:val="none" w:sz="0" w:space="0" w:color="auto"/>
        <w:left w:val="none" w:sz="0" w:space="0" w:color="auto"/>
        <w:bottom w:val="none" w:sz="0" w:space="0" w:color="auto"/>
        <w:right w:val="none" w:sz="0" w:space="0" w:color="auto"/>
      </w:divBdr>
    </w:div>
    <w:div w:id="342782771">
      <w:bodyDiv w:val="1"/>
      <w:marLeft w:val="0"/>
      <w:marRight w:val="0"/>
      <w:marTop w:val="0"/>
      <w:marBottom w:val="0"/>
      <w:divBdr>
        <w:top w:val="none" w:sz="0" w:space="0" w:color="auto"/>
        <w:left w:val="none" w:sz="0" w:space="0" w:color="auto"/>
        <w:bottom w:val="none" w:sz="0" w:space="0" w:color="auto"/>
        <w:right w:val="none" w:sz="0" w:space="0" w:color="auto"/>
      </w:divBdr>
    </w:div>
    <w:div w:id="493766449">
      <w:bodyDiv w:val="1"/>
      <w:marLeft w:val="0"/>
      <w:marRight w:val="0"/>
      <w:marTop w:val="0"/>
      <w:marBottom w:val="0"/>
      <w:divBdr>
        <w:top w:val="none" w:sz="0" w:space="0" w:color="auto"/>
        <w:left w:val="none" w:sz="0" w:space="0" w:color="auto"/>
        <w:bottom w:val="none" w:sz="0" w:space="0" w:color="auto"/>
        <w:right w:val="none" w:sz="0" w:space="0" w:color="auto"/>
      </w:divBdr>
    </w:div>
    <w:div w:id="662706994">
      <w:bodyDiv w:val="1"/>
      <w:marLeft w:val="0"/>
      <w:marRight w:val="0"/>
      <w:marTop w:val="0"/>
      <w:marBottom w:val="0"/>
      <w:divBdr>
        <w:top w:val="none" w:sz="0" w:space="0" w:color="auto"/>
        <w:left w:val="none" w:sz="0" w:space="0" w:color="auto"/>
        <w:bottom w:val="none" w:sz="0" w:space="0" w:color="auto"/>
        <w:right w:val="none" w:sz="0" w:space="0" w:color="auto"/>
      </w:divBdr>
    </w:div>
    <w:div w:id="735054201">
      <w:bodyDiv w:val="1"/>
      <w:marLeft w:val="0"/>
      <w:marRight w:val="0"/>
      <w:marTop w:val="0"/>
      <w:marBottom w:val="0"/>
      <w:divBdr>
        <w:top w:val="none" w:sz="0" w:space="0" w:color="auto"/>
        <w:left w:val="none" w:sz="0" w:space="0" w:color="auto"/>
        <w:bottom w:val="none" w:sz="0" w:space="0" w:color="auto"/>
        <w:right w:val="none" w:sz="0" w:space="0" w:color="auto"/>
      </w:divBdr>
    </w:div>
    <w:div w:id="1192917165">
      <w:bodyDiv w:val="1"/>
      <w:marLeft w:val="0"/>
      <w:marRight w:val="0"/>
      <w:marTop w:val="0"/>
      <w:marBottom w:val="0"/>
      <w:divBdr>
        <w:top w:val="none" w:sz="0" w:space="0" w:color="auto"/>
        <w:left w:val="none" w:sz="0" w:space="0" w:color="auto"/>
        <w:bottom w:val="none" w:sz="0" w:space="0" w:color="auto"/>
        <w:right w:val="none" w:sz="0" w:space="0" w:color="auto"/>
      </w:divBdr>
    </w:div>
    <w:div w:id="1354191724">
      <w:bodyDiv w:val="1"/>
      <w:marLeft w:val="0"/>
      <w:marRight w:val="0"/>
      <w:marTop w:val="0"/>
      <w:marBottom w:val="0"/>
      <w:divBdr>
        <w:top w:val="none" w:sz="0" w:space="0" w:color="auto"/>
        <w:left w:val="none" w:sz="0" w:space="0" w:color="auto"/>
        <w:bottom w:val="none" w:sz="0" w:space="0" w:color="auto"/>
        <w:right w:val="none" w:sz="0" w:space="0" w:color="auto"/>
      </w:divBdr>
    </w:div>
    <w:div w:id="1357465804">
      <w:bodyDiv w:val="1"/>
      <w:marLeft w:val="0"/>
      <w:marRight w:val="0"/>
      <w:marTop w:val="0"/>
      <w:marBottom w:val="0"/>
      <w:divBdr>
        <w:top w:val="none" w:sz="0" w:space="0" w:color="auto"/>
        <w:left w:val="none" w:sz="0" w:space="0" w:color="auto"/>
        <w:bottom w:val="none" w:sz="0" w:space="0" w:color="auto"/>
        <w:right w:val="none" w:sz="0" w:space="0" w:color="auto"/>
      </w:divBdr>
    </w:div>
    <w:div w:id="1374422674">
      <w:bodyDiv w:val="1"/>
      <w:marLeft w:val="0"/>
      <w:marRight w:val="0"/>
      <w:marTop w:val="0"/>
      <w:marBottom w:val="0"/>
      <w:divBdr>
        <w:top w:val="none" w:sz="0" w:space="0" w:color="auto"/>
        <w:left w:val="none" w:sz="0" w:space="0" w:color="auto"/>
        <w:bottom w:val="none" w:sz="0" w:space="0" w:color="auto"/>
        <w:right w:val="none" w:sz="0" w:space="0" w:color="auto"/>
      </w:divBdr>
    </w:div>
    <w:div w:id="1393388876">
      <w:bodyDiv w:val="1"/>
      <w:marLeft w:val="0"/>
      <w:marRight w:val="0"/>
      <w:marTop w:val="0"/>
      <w:marBottom w:val="0"/>
      <w:divBdr>
        <w:top w:val="none" w:sz="0" w:space="0" w:color="auto"/>
        <w:left w:val="none" w:sz="0" w:space="0" w:color="auto"/>
        <w:bottom w:val="none" w:sz="0" w:space="0" w:color="auto"/>
        <w:right w:val="none" w:sz="0" w:space="0" w:color="auto"/>
      </w:divBdr>
      <w:divsChild>
        <w:div w:id="654063719">
          <w:marLeft w:val="547"/>
          <w:marRight w:val="0"/>
          <w:marTop w:val="0"/>
          <w:marBottom w:val="0"/>
          <w:divBdr>
            <w:top w:val="none" w:sz="0" w:space="0" w:color="auto"/>
            <w:left w:val="none" w:sz="0" w:space="0" w:color="auto"/>
            <w:bottom w:val="none" w:sz="0" w:space="0" w:color="auto"/>
            <w:right w:val="none" w:sz="0" w:space="0" w:color="auto"/>
          </w:divBdr>
        </w:div>
      </w:divsChild>
    </w:div>
    <w:div w:id="1408264944">
      <w:bodyDiv w:val="1"/>
      <w:marLeft w:val="0"/>
      <w:marRight w:val="0"/>
      <w:marTop w:val="0"/>
      <w:marBottom w:val="0"/>
      <w:divBdr>
        <w:top w:val="none" w:sz="0" w:space="0" w:color="auto"/>
        <w:left w:val="none" w:sz="0" w:space="0" w:color="auto"/>
        <w:bottom w:val="none" w:sz="0" w:space="0" w:color="auto"/>
        <w:right w:val="none" w:sz="0" w:space="0" w:color="auto"/>
      </w:divBdr>
    </w:div>
    <w:div w:id="1622035242">
      <w:bodyDiv w:val="1"/>
      <w:marLeft w:val="0"/>
      <w:marRight w:val="0"/>
      <w:marTop w:val="0"/>
      <w:marBottom w:val="0"/>
      <w:divBdr>
        <w:top w:val="none" w:sz="0" w:space="0" w:color="auto"/>
        <w:left w:val="none" w:sz="0" w:space="0" w:color="auto"/>
        <w:bottom w:val="none" w:sz="0" w:space="0" w:color="auto"/>
        <w:right w:val="none" w:sz="0" w:space="0" w:color="auto"/>
      </w:divBdr>
    </w:div>
    <w:div w:id="1641034369">
      <w:bodyDiv w:val="1"/>
      <w:marLeft w:val="0"/>
      <w:marRight w:val="0"/>
      <w:marTop w:val="0"/>
      <w:marBottom w:val="0"/>
      <w:divBdr>
        <w:top w:val="none" w:sz="0" w:space="0" w:color="auto"/>
        <w:left w:val="none" w:sz="0" w:space="0" w:color="auto"/>
        <w:bottom w:val="none" w:sz="0" w:space="0" w:color="auto"/>
        <w:right w:val="none" w:sz="0" w:space="0" w:color="auto"/>
      </w:divBdr>
    </w:div>
    <w:div w:id="1777016440">
      <w:bodyDiv w:val="1"/>
      <w:marLeft w:val="0"/>
      <w:marRight w:val="0"/>
      <w:marTop w:val="0"/>
      <w:marBottom w:val="0"/>
      <w:divBdr>
        <w:top w:val="none" w:sz="0" w:space="0" w:color="auto"/>
        <w:left w:val="none" w:sz="0" w:space="0" w:color="auto"/>
        <w:bottom w:val="none" w:sz="0" w:space="0" w:color="auto"/>
        <w:right w:val="none" w:sz="0" w:space="0" w:color="auto"/>
      </w:divBdr>
    </w:div>
    <w:div w:id="1791825582">
      <w:bodyDiv w:val="1"/>
      <w:marLeft w:val="0"/>
      <w:marRight w:val="0"/>
      <w:marTop w:val="0"/>
      <w:marBottom w:val="0"/>
      <w:divBdr>
        <w:top w:val="none" w:sz="0" w:space="0" w:color="auto"/>
        <w:left w:val="none" w:sz="0" w:space="0" w:color="auto"/>
        <w:bottom w:val="none" w:sz="0" w:space="0" w:color="auto"/>
        <w:right w:val="none" w:sz="0" w:space="0" w:color="auto"/>
      </w:divBdr>
    </w:div>
    <w:div w:id="1974869314">
      <w:bodyDiv w:val="1"/>
      <w:marLeft w:val="0"/>
      <w:marRight w:val="0"/>
      <w:marTop w:val="0"/>
      <w:marBottom w:val="0"/>
      <w:divBdr>
        <w:top w:val="none" w:sz="0" w:space="0" w:color="auto"/>
        <w:left w:val="none" w:sz="0" w:space="0" w:color="auto"/>
        <w:bottom w:val="none" w:sz="0" w:space="0" w:color="auto"/>
        <w:right w:val="none" w:sz="0" w:space="0" w:color="auto"/>
      </w:divBdr>
    </w:div>
    <w:div w:id="2103449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footer" Target="footer9.xml"/><Relationship Id="rId21" Type="http://schemas.openxmlformats.org/officeDocument/2006/relationships/header" Target="header5.xml"/><Relationship Id="rId34" Type="http://schemas.openxmlformats.org/officeDocument/2006/relationships/footer" Target="footer12.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footer" Target="footer8.xml"/><Relationship Id="rId33" Type="http://schemas.openxmlformats.org/officeDocument/2006/relationships/header" Target="header10.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corehabs.ro/ro/rapoarte-produse" TargetMode="External"/><Relationship Id="rId20" Type="http://schemas.openxmlformats.org/officeDocument/2006/relationships/footer" Target="footer6.xml"/><Relationship Id="rId29" Type="http://schemas.openxmlformats.org/officeDocument/2006/relationships/hyperlink" Target="http://mfe.gov.ro/minister/perioade-de-programare/perioada-2021-202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7.xml"/><Relationship Id="rId32" Type="http://schemas.openxmlformats.org/officeDocument/2006/relationships/footer" Target="footer1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6.xml"/><Relationship Id="rId28" Type="http://schemas.openxmlformats.org/officeDocument/2006/relationships/footer" Target="footer10.xml"/><Relationship Id="rId36" Type="http://schemas.openxmlformats.org/officeDocument/2006/relationships/footer" Target="footer13.xml"/><Relationship Id="rId10" Type="http://schemas.openxmlformats.org/officeDocument/2006/relationships/footer" Target="footer1.xml"/><Relationship Id="rId19" Type="http://schemas.openxmlformats.org/officeDocument/2006/relationships/header" Target="header4.xml"/><Relationship Id="rId31" Type="http://schemas.openxmlformats.org/officeDocument/2006/relationships/header" Target="header9.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header" Target="header8.xml"/><Relationship Id="rId30" Type="http://schemas.openxmlformats.org/officeDocument/2006/relationships/hyperlink" Target="http://regio-adrcentru.ro/programare-2021-2027/" TargetMode="External"/><Relationship Id="rId35" Type="http://schemas.openxmlformats.org/officeDocument/2006/relationships/header" Target="header11.xml"/><Relationship Id="rId8" Type="http://schemas.openxmlformats.org/officeDocument/2006/relationships/image" Target="media/image2.jpeg"/><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8" Type="http://schemas.openxmlformats.org/officeDocument/2006/relationships/hyperlink" Target="https://www.interregeurope.eu/bio4eco/library/" TargetMode="External"/><Relationship Id="rId13" Type="http://schemas.openxmlformats.org/officeDocument/2006/relationships/hyperlink" Target="http://www.insse.ro" TargetMode="External"/><Relationship Id="rId18" Type="http://schemas.openxmlformats.org/officeDocument/2006/relationships/hyperlink" Target="https://danube-region.eu/wp-content/uploads/2020/04/EUSDR-ACTION-PLAN-SWD202059-final.pdf" TargetMode="External"/><Relationship Id="rId3" Type="http://schemas.openxmlformats.org/officeDocument/2006/relationships/hyperlink" Target="https://ec.europa.eu/info/sites/info/files/2019-european-semester-country-specific-recommendation-commission-recommendation-romania_ro.pdf" TargetMode="External"/><Relationship Id="rId21" Type="http://schemas.openxmlformats.org/officeDocument/2006/relationships/hyperlink" Target="https://www.edu.ro/sites/default/files/Strategie%20SMIE_2017docx_0.pdf" TargetMode="External"/><Relationship Id="rId7" Type="http://schemas.openxmlformats.org/officeDocument/2006/relationships/hyperlink" Target="https://ec.europa.eu/eurostat/statistics-explained/images/b/bb/Total_general_government_expenditure_on_education%2C_2018_%28%25_of_GDP%29_.png" TargetMode="External"/><Relationship Id="rId12" Type="http://schemas.openxmlformats.org/officeDocument/2006/relationships/hyperlink" Target="http://sdtr.mdrap.ro/" TargetMode="External"/><Relationship Id="rId17" Type="http://schemas.openxmlformats.org/officeDocument/2006/relationships/hyperlink" Target="https://appsso.eurostat.ec.europa.eu/nui/submitViewTableAction.do" TargetMode="External"/><Relationship Id="rId2" Type="http://schemas.openxmlformats.org/officeDocument/2006/relationships/hyperlink" Target="http://documents.worldbank.org/curated/en/448771499322731333/pdf/116400-ROMANIAN-REVISED-PUBLIC-Magnet-Cities-Migration-and-Commuting-in-Romania-RO.pdf" TargetMode="External"/><Relationship Id="rId16" Type="http://schemas.openxmlformats.org/officeDocument/2006/relationships/hyperlink" Target="https://appsso.eurostat.ec.europa.eu/nui/show.do?dataset=trng_lfse_04&amp;lang=en" TargetMode="External"/><Relationship Id="rId20" Type="http://schemas.openxmlformats.org/officeDocument/2006/relationships/hyperlink" Target="https://danube-region.eu/wp-content/uploads/2020/04/EUSDR-ACTION-PLAN-SWD202059-final.pdf" TargetMode="External"/><Relationship Id="rId1" Type="http://schemas.openxmlformats.org/officeDocument/2006/relationships/hyperlink" Target="https://ec.europa.eu/docsroom/documents/41888" TargetMode="External"/><Relationship Id="rId6" Type="http://schemas.openxmlformats.org/officeDocument/2006/relationships/hyperlink" Target="https://eur-lex.europa.eu/legal-content/RO/TXT/PDF/?uri=CELEX:52020SC0522&amp;from=EN" TargetMode="External"/><Relationship Id="rId11" Type="http://schemas.openxmlformats.org/officeDocument/2006/relationships/hyperlink" Target="http://energie.gov.ro/wp-content/uploads/2020/01/Anunt-consultare-publica-proiect-PNIESC-revizuit.pdf" TargetMode="External"/><Relationship Id="rId5" Type="http://schemas.openxmlformats.org/officeDocument/2006/relationships/hyperlink" Target="https://ec.europa.eu/info/sites/info/files/file_import/2019-european-semester-country-report-romania_ro.pdf" TargetMode="External"/><Relationship Id="rId15" Type="http://schemas.openxmlformats.org/officeDocument/2006/relationships/hyperlink" Target="https://appsso.eurostat.ec.europa.eu/nui/show.do?dataset=lfsa_enewasn&amp;lang=en" TargetMode="External"/><Relationship Id="rId10" Type="http://schemas.openxmlformats.org/officeDocument/2006/relationships/hyperlink" Target="https://eur-lex.europa.eu/legal-content/EN/TXT/?qid=1588580774040&amp;uri=CELEX:52019DC0640" TargetMode="External"/><Relationship Id="rId19" Type="http://schemas.openxmlformats.org/officeDocument/2006/relationships/hyperlink" Target="https://danube-region.eu/wp-content/uploads/2020/04/EUSDR-ACTION-PLAN-SWD202059-final.pdf" TargetMode="External"/><Relationship Id="rId4" Type="http://schemas.openxmlformats.org/officeDocument/2006/relationships/hyperlink" Target="https://ec.europa.eu/info/sites/info/files/2020-european_semester_country-report-romania_en.pdf" TargetMode="External"/><Relationship Id="rId9" Type="http://schemas.openxmlformats.org/officeDocument/2006/relationships/hyperlink" Target="http://www.adrcentru.ro/dezvoltare-regionala-cat/pdr-centru-2021-2027/" TargetMode="External"/><Relationship Id="rId14" Type="http://schemas.openxmlformats.org/officeDocument/2006/relationships/hyperlink" Target="https://appsso.eurostat.ec.europa.eu/nui/submitViewTableAction.do"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CB9E8B-2BE1-4243-9064-CAE6E9D53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106</Pages>
  <Words>37878</Words>
  <Characters>215905</Characters>
  <Application>Microsoft Office Word</Application>
  <DocSecurity>0</DocSecurity>
  <Lines>1799</Lines>
  <Paragraphs>506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Paula Tapalaga</dc:creator>
  <cp:lastModifiedBy>adriana.muresan@por.adrcentru</cp:lastModifiedBy>
  <cp:revision>2</cp:revision>
  <cp:lastPrinted>2020-08-13T10:12:00Z</cp:lastPrinted>
  <dcterms:created xsi:type="dcterms:W3CDTF">2020-09-29T13:15:00Z</dcterms:created>
  <dcterms:modified xsi:type="dcterms:W3CDTF">2020-09-29T13:15:00Z</dcterms:modified>
</cp:coreProperties>
</file>